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1" w:tblpY="905"/>
        <w:tblW w:w="10731" w:type="dxa"/>
        <w:tblLayout w:type="fixed"/>
        <w:tblCellMar>
          <w:left w:w="21" w:type="dxa"/>
          <w:right w:w="21" w:type="dxa"/>
        </w:tblCellMar>
        <w:tblLook w:val="0000"/>
      </w:tblPr>
      <w:tblGrid>
        <w:gridCol w:w="263"/>
        <w:gridCol w:w="208"/>
        <w:gridCol w:w="630"/>
        <w:gridCol w:w="1170"/>
        <w:gridCol w:w="360"/>
        <w:gridCol w:w="493"/>
        <w:gridCol w:w="317"/>
        <w:gridCol w:w="40"/>
        <w:gridCol w:w="50"/>
        <w:gridCol w:w="270"/>
        <w:gridCol w:w="90"/>
        <w:gridCol w:w="540"/>
        <w:gridCol w:w="360"/>
        <w:gridCol w:w="630"/>
        <w:gridCol w:w="180"/>
        <w:gridCol w:w="180"/>
        <w:gridCol w:w="180"/>
        <w:gridCol w:w="450"/>
        <w:gridCol w:w="360"/>
        <w:gridCol w:w="429"/>
        <w:gridCol w:w="111"/>
        <w:gridCol w:w="90"/>
        <w:gridCol w:w="180"/>
        <w:gridCol w:w="90"/>
        <w:gridCol w:w="270"/>
        <w:gridCol w:w="540"/>
        <w:gridCol w:w="270"/>
        <w:gridCol w:w="90"/>
        <w:gridCol w:w="270"/>
        <w:gridCol w:w="90"/>
        <w:gridCol w:w="270"/>
        <w:gridCol w:w="180"/>
        <w:gridCol w:w="180"/>
        <w:gridCol w:w="180"/>
        <w:gridCol w:w="720"/>
      </w:tblGrid>
      <w:tr w:rsidR="00D53402" w:rsidRPr="002856F3" w:rsidTr="00182571">
        <w:trPr>
          <w:cantSplit/>
        </w:trPr>
        <w:tc>
          <w:tcPr>
            <w:tcW w:w="10731" w:type="dxa"/>
            <w:gridSpan w:val="35"/>
            <w:tcBorders>
              <w:bottom w:val="double" w:sz="4" w:space="0" w:color="auto"/>
            </w:tcBorders>
          </w:tcPr>
          <w:p w:rsidR="00D53402" w:rsidRPr="001D7768" w:rsidRDefault="00D53402">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iCs/>
                <w:color w:val="FFFFFF"/>
                <w:sz w:val="10"/>
                <w:szCs w:val="10"/>
              </w:rPr>
            </w:pPr>
            <w:r w:rsidRPr="00DD0F41">
              <w:rPr>
                <w:noProof/>
                <w:color w:val="FFFFFF"/>
                <w:sz w:val="10"/>
                <w:szCs w:val="10"/>
              </w:rPr>
              <w:t>1030150</w:t>
            </w:r>
            <w:r>
              <w:rPr>
                <w:color w:val="FFFFFF"/>
                <w:sz w:val="10"/>
                <w:szCs w:val="10"/>
              </w:rPr>
              <w:t xml:space="preserve"> </w:t>
            </w:r>
            <w:r w:rsidRPr="00DD0F41">
              <w:rPr>
                <w:noProof/>
                <w:color w:val="FFFFFF"/>
                <w:sz w:val="10"/>
                <w:szCs w:val="10"/>
              </w:rPr>
              <w:t>75634</w:t>
            </w:r>
          </w:p>
        </w:tc>
      </w:tr>
      <w:tr w:rsidR="00D53402" w:rsidRPr="002856F3" w:rsidTr="00182571">
        <w:trPr>
          <w:cantSplit/>
        </w:trPr>
        <w:tc>
          <w:tcPr>
            <w:tcW w:w="7200" w:type="dxa"/>
            <w:gridSpan w:val="20"/>
            <w:tcBorders>
              <w:top w:val="double" w:sz="4" w:space="0" w:color="auto"/>
              <w:left w:val="double" w:sz="4" w:space="0" w:color="auto"/>
            </w:tcBorders>
            <w:vAlign w:val="bottom"/>
          </w:tcPr>
          <w:p w:rsidR="00D53402" w:rsidRPr="002856F3" w:rsidRDefault="00D53402">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DD0F41">
              <w:rPr>
                <w:rFonts w:ascii="Tahoma" w:hAnsi="Tahoma" w:cs="Tahoma"/>
                <w:b/>
                <w:bCs/>
                <w:noProof/>
                <w:sz w:val="22"/>
              </w:rPr>
              <w:t>West Pharmaceutical Services of Florida, Inc.</w:t>
            </w:r>
          </w:p>
        </w:tc>
        <w:tc>
          <w:tcPr>
            <w:tcW w:w="3531" w:type="dxa"/>
            <w:gridSpan w:val="15"/>
            <w:tcBorders>
              <w:left w:val="single" w:sz="4" w:space="0" w:color="000000"/>
              <w:bottom w:val="single" w:sz="4" w:space="0" w:color="auto"/>
              <w:right w:val="double" w:sz="4" w:space="0" w:color="auto"/>
            </w:tcBorders>
            <w:vAlign w:val="bottom"/>
          </w:tcPr>
          <w:p w:rsidR="00D53402" w:rsidRPr="002856F3" w:rsidRDefault="00D53402">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DD0F41">
              <w:rPr>
                <w:rFonts w:ascii="Tahoma" w:hAnsi="Tahoma" w:cs="Tahoma"/>
                <w:b/>
                <w:bCs/>
                <w:noProof/>
                <w:sz w:val="22"/>
              </w:rPr>
              <w:t>215</w:t>
            </w:r>
          </w:p>
        </w:tc>
      </w:tr>
      <w:tr w:rsidR="00D53402" w:rsidRPr="002856F3" w:rsidTr="00182571">
        <w:trPr>
          <w:cantSplit/>
        </w:trPr>
        <w:tc>
          <w:tcPr>
            <w:tcW w:w="7200" w:type="dxa"/>
            <w:gridSpan w:val="20"/>
            <w:tcBorders>
              <w:left w:val="double" w:sz="4" w:space="0" w:color="auto"/>
              <w:bottom w:val="single" w:sz="12" w:space="0" w:color="auto"/>
            </w:tcBorders>
            <w:vAlign w:val="bottom"/>
          </w:tcPr>
          <w:p w:rsidR="00D53402" w:rsidRPr="002856F3" w:rsidRDefault="00D53402">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DD0F41">
              <w:rPr>
                <w:rFonts w:ascii="Tahoma" w:hAnsi="Tahoma" w:cs="Tahoma"/>
                <w:b/>
                <w:bCs/>
                <w:noProof/>
                <w:color w:val="800000"/>
                <w:sz w:val="20"/>
              </w:rPr>
              <w:t>West Pharmaceutical Services, Clearwater</w:t>
            </w:r>
          </w:p>
        </w:tc>
        <w:tc>
          <w:tcPr>
            <w:tcW w:w="3531" w:type="dxa"/>
            <w:gridSpan w:val="15"/>
            <w:tcBorders>
              <w:left w:val="single" w:sz="4" w:space="0" w:color="000000"/>
              <w:bottom w:val="single" w:sz="12" w:space="0" w:color="auto"/>
              <w:right w:val="double" w:sz="4" w:space="0" w:color="auto"/>
            </w:tcBorders>
            <w:vAlign w:val="bottom"/>
          </w:tcPr>
          <w:p w:rsidR="00D53402" w:rsidRPr="002856F3" w:rsidRDefault="00D53402">
            <w:pPr>
              <w:spacing w:line="72" w:lineRule="exact"/>
              <w:rPr>
                <w:sz w:val="22"/>
              </w:rPr>
            </w:pPr>
          </w:p>
          <w:p w:rsidR="00D53402" w:rsidRPr="002856F3" w:rsidRDefault="00D53402">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D53402" w:rsidRPr="002856F3" w:rsidTr="00182571">
        <w:trPr>
          <w:cantSplit/>
        </w:trPr>
        <w:tc>
          <w:tcPr>
            <w:tcW w:w="7200" w:type="dxa"/>
            <w:gridSpan w:val="20"/>
            <w:tcBorders>
              <w:top w:val="single" w:sz="12" w:space="0" w:color="auto"/>
              <w:left w:val="double" w:sz="4" w:space="0" w:color="auto"/>
            </w:tcBorders>
            <w:vAlign w:val="bottom"/>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DD0F41">
              <w:rPr>
                <w:rFonts w:ascii="Tahoma" w:hAnsi="Tahoma" w:cs="Tahoma"/>
                <w:noProof/>
                <w:sz w:val="22"/>
              </w:rPr>
              <w:t>11600 53rd Street North</w:t>
            </w:r>
          </w:p>
        </w:tc>
        <w:tc>
          <w:tcPr>
            <w:tcW w:w="3531" w:type="dxa"/>
            <w:gridSpan w:val="15"/>
            <w:tcBorders>
              <w:top w:val="single" w:sz="12" w:space="0" w:color="auto"/>
              <w:left w:val="single" w:sz="4" w:space="0" w:color="000000"/>
              <w:right w:val="double" w:sz="4" w:space="0" w:color="auto"/>
            </w:tcBorders>
            <w:vAlign w:val="bottom"/>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D53402" w:rsidRPr="002856F3" w:rsidTr="00182571">
        <w:trPr>
          <w:cantSplit/>
        </w:trPr>
        <w:tc>
          <w:tcPr>
            <w:tcW w:w="7200" w:type="dxa"/>
            <w:gridSpan w:val="20"/>
            <w:tcBorders>
              <w:left w:val="double" w:sz="4" w:space="0" w:color="auto"/>
              <w:bottom w:val="single" w:sz="12" w:space="0" w:color="auto"/>
            </w:tcBorders>
            <w:vAlign w:val="bottom"/>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DD0F41">
              <w:rPr>
                <w:rFonts w:ascii="Tahoma" w:hAnsi="Tahoma" w:cs="Tahoma"/>
                <w:noProof/>
                <w:sz w:val="22"/>
              </w:rPr>
              <w:t>Clearwater</w:t>
            </w:r>
            <w:r w:rsidRPr="002856F3">
              <w:rPr>
                <w:rFonts w:ascii="Tahoma" w:hAnsi="Tahoma" w:cs="Tahoma"/>
                <w:sz w:val="22"/>
              </w:rPr>
              <w:t xml:space="preserve">, </w:t>
            </w:r>
            <w:r w:rsidRPr="00DD0F41">
              <w:rPr>
                <w:rFonts w:ascii="Tahoma" w:hAnsi="Tahoma" w:cs="Tahoma"/>
                <w:noProof/>
                <w:sz w:val="22"/>
              </w:rPr>
              <w:t>FL</w:t>
            </w:r>
          </w:p>
        </w:tc>
        <w:tc>
          <w:tcPr>
            <w:tcW w:w="3531" w:type="dxa"/>
            <w:gridSpan w:val="15"/>
            <w:tcBorders>
              <w:left w:val="single" w:sz="4" w:space="0" w:color="000000"/>
              <w:bottom w:val="single" w:sz="12" w:space="0" w:color="auto"/>
              <w:right w:val="double" w:sz="4" w:space="0" w:color="auto"/>
            </w:tcBorders>
            <w:vAlign w:val="bottom"/>
          </w:tcPr>
          <w:p w:rsidR="00D53402" w:rsidRPr="002856F3" w:rsidRDefault="00D53402">
            <w:pPr>
              <w:spacing w:line="72" w:lineRule="exact"/>
              <w:rPr>
                <w:sz w:val="22"/>
              </w:rPr>
            </w:pPr>
          </w:p>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DD0F41">
              <w:rPr>
                <w:rFonts w:ascii="Tahoma" w:hAnsi="Tahoma" w:cs="Tahoma"/>
                <w:noProof/>
                <w:sz w:val="22"/>
              </w:rPr>
              <w:t>727-572-6183</w:t>
            </w:r>
          </w:p>
        </w:tc>
      </w:tr>
      <w:tr w:rsidR="00D53402" w:rsidRPr="002856F3" w:rsidTr="00182571">
        <w:trPr>
          <w:cantSplit/>
        </w:trPr>
        <w:tc>
          <w:tcPr>
            <w:tcW w:w="3481" w:type="dxa"/>
            <w:gridSpan w:val="8"/>
            <w:vMerge w:val="restart"/>
            <w:tcBorders>
              <w:top w:val="single" w:sz="12" w:space="0" w:color="auto"/>
              <w:left w:val="double" w:sz="4" w:space="0" w:color="auto"/>
              <w:right w:val="single" w:sz="8" w:space="0" w:color="000000"/>
            </w:tcBorders>
          </w:tcPr>
          <w:p w:rsidR="00D53402" w:rsidRPr="002856F3" w:rsidRDefault="00D53402"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D53402" w:rsidRPr="002856F3" w:rsidRDefault="00D53402"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D53402" w:rsidRPr="002856F3" w:rsidRDefault="00D53402"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DD0F41">
              <w:rPr>
                <w:rFonts w:ascii="Tahoma" w:hAnsi="Tahoma" w:cs="Tahoma"/>
                <w:b/>
                <w:bCs/>
                <w:noProof/>
                <w:sz w:val="22"/>
              </w:rPr>
              <w:t>1030150 002</w:t>
            </w:r>
          </w:p>
        </w:tc>
        <w:tc>
          <w:tcPr>
            <w:tcW w:w="3719" w:type="dxa"/>
            <w:gridSpan w:val="12"/>
            <w:tcBorders>
              <w:top w:val="single" w:sz="12" w:space="0" w:color="auto"/>
              <w:left w:val="single" w:sz="8" w:space="0" w:color="000000"/>
            </w:tcBorders>
            <w:vAlign w:val="bottom"/>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31" w:type="dxa"/>
            <w:gridSpan w:val="15"/>
            <w:vMerge w:val="restart"/>
            <w:tcBorders>
              <w:top w:val="single" w:sz="12" w:space="0" w:color="auto"/>
              <w:left w:val="single" w:sz="4" w:space="0" w:color="000000"/>
              <w:right w:val="double" w:sz="4" w:space="0" w:color="auto"/>
            </w:tcBorders>
          </w:tcPr>
          <w:p w:rsidR="00D53402" w:rsidRPr="002856F3" w:rsidRDefault="00D53402"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DD0F41">
              <w:rPr>
                <w:bCs/>
                <w:noProof/>
                <w:sz w:val="22"/>
              </w:rPr>
              <w:t>8/26/13</w:t>
            </w:r>
          </w:p>
          <w:p w:rsidR="00D53402" w:rsidRPr="002856F3" w:rsidRDefault="00D53402"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DD0F41">
              <w:rPr>
                <w:noProof/>
                <w:sz w:val="22"/>
              </w:rPr>
              <w:t>6/27/13</w:t>
            </w:r>
          </w:p>
        </w:tc>
      </w:tr>
      <w:tr w:rsidR="00D53402" w:rsidRPr="002856F3" w:rsidTr="00182571">
        <w:trPr>
          <w:cantSplit/>
          <w:trHeight w:val="253"/>
        </w:trPr>
        <w:tc>
          <w:tcPr>
            <w:tcW w:w="3481" w:type="dxa"/>
            <w:gridSpan w:val="8"/>
            <w:vMerge/>
            <w:tcBorders>
              <w:left w:val="double" w:sz="4" w:space="0" w:color="auto"/>
              <w:right w:val="single" w:sz="8" w:space="0" w:color="000000"/>
            </w:tcBorders>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val="restart"/>
            <w:tcBorders>
              <w:left w:val="single" w:sz="8" w:space="0" w:color="000000"/>
            </w:tcBorders>
            <w:vAlign w:val="center"/>
          </w:tcPr>
          <w:p w:rsidR="00D53402" w:rsidRPr="002856F3" w:rsidRDefault="00D53402" w:rsidP="001138C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DD0F41">
              <w:rPr>
                <w:rFonts w:ascii="Tahoma" w:hAnsi="Tahoma" w:cs="Tahoma"/>
                <w:b/>
                <w:bCs/>
                <w:noProof/>
                <w:sz w:val="22"/>
              </w:rPr>
              <w:t>1030150-014-AO &amp; 1030150-013-AC</w:t>
            </w:r>
          </w:p>
        </w:tc>
        <w:tc>
          <w:tcPr>
            <w:tcW w:w="3531" w:type="dxa"/>
            <w:gridSpan w:val="15"/>
            <w:vMerge/>
            <w:tcBorders>
              <w:left w:val="single" w:sz="4" w:space="0" w:color="000000"/>
              <w:bottom w:val="single" w:sz="12" w:space="0" w:color="auto"/>
              <w:right w:val="double" w:sz="4" w:space="0" w:color="auto"/>
            </w:tcBorders>
            <w:vAlign w:val="bottom"/>
          </w:tcPr>
          <w:p w:rsidR="00D53402" w:rsidRPr="002856F3" w:rsidRDefault="00D53402"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D53402" w:rsidRPr="002856F3" w:rsidTr="00182571">
        <w:trPr>
          <w:cantSplit/>
        </w:trPr>
        <w:tc>
          <w:tcPr>
            <w:tcW w:w="3481" w:type="dxa"/>
            <w:gridSpan w:val="8"/>
            <w:vMerge/>
            <w:tcBorders>
              <w:left w:val="double" w:sz="4" w:space="0" w:color="auto"/>
              <w:bottom w:val="single" w:sz="12" w:space="0" w:color="auto"/>
              <w:right w:val="single" w:sz="8" w:space="0" w:color="000000"/>
            </w:tcBorders>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tcBorders>
              <w:left w:val="single" w:sz="8" w:space="0" w:color="000000"/>
              <w:bottom w:val="single" w:sz="12" w:space="0" w:color="auto"/>
            </w:tcBorders>
            <w:vAlign w:val="bottom"/>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31" w:type="dxa"/>
            <w:gridSpan w:val="15"/>
            <w:tcBorders>
              <w:left w:val="single" w:sz="4" w:space="0" w:color="000000"/>
              <w:bottom w:val="single" w:sz="12" w:space="0" w:color="auto"/>
              <w:right w:val="double" w:sz="4" w:space="0" w:color="auto"/>
            </w:tcBorders>
            <w:vAlign w:val="bottom"/>
          </w:tcPr>
          <w:p w:rsidR="00D53402" w:rsidRPr="002856F3" w:rsidRDefault="00D53402" w:rsidP="00666145">
            <w:pPr>
              <w:tabs>
                <w:tab w:val="left" w:pos="2016"/>
              </w:tabs>
              <w:ind w:left="90"/>
              <w:rPr>
                <w:sz w:val="22"/>
              </w:rPr>
            </w:pPr>
            <w:r w:rsidRPr="002856F3">
              <w:rPr>
                <w:b/>
                <w:bCs/>
                <w:sz w:val="22"/>
              </w:rPr>
              <w:t>Test Due Date:</w:t>
            </w:r>
            <w:r w:rsidRPr="002856F3">
              <w:rPr>
                <w:sz w:val="22"/>
                <w:szCs w:val="22"/>
              </w:rPr>
              <w:t xml:space="preserve">          </w:t>
            </w:r>
            <w:r w:rsidRPr="002856F3">
              <w:rPr>
                <w:sz w:val="22"/>
                <w:szCs w:val="22"/>
              </w:rPr>
              <w:tab/>
            </w:r>
          </w:p>
        </w:tc>
      </w:tr>
      <w:tr w:rsidR="00D53402" w:rsidRPr="002856F3" w:rsidTr="00182571">
        <w:trPr>
          <w:trHeight w:val="645"/>
        </w:trPr>
        <w:tc>
          <w:tcPr>
            <w:tcW w:w="10731" w:type="dxa"/>
            <w:gridSpan w:val="35"/>
            <w:tcBorders>
              <w:top w:val="single" w:sz="12" w:space="0" w:color="auto"/>
              <w:left w:val="double" w:sz="4" w:space="0" w:color="auto"/>
              <w:bottom w:val="single" w:sz="12" w:space="0" w:color="auto"/>
              <w:right w:val="double" w:sz="4" w:space="0" w:color="auto"/>
            </w:tcBorders>
          </w:tcPr>
          <w:p w:rsidR="00D53402" w:rsidRPr="002856F3" w:rsidRDefault="00D53402">
            <w:pPr>
              <w:spacing w:line="91" w:lineRule="exact"/>
              <w:rPr>
                <w:sz w:val="22"/>
              </w:rPr>
            </w:pPr>
          </w:p>
          <w:p w:rsidR="00D53402" w:rsidRPr="002856F3" w:rsidRDefault="00D53402" w:rsidP="00CA3CDE">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sz w:val="22"/>
              </w:rPr>
            </w:pPr>
            <w:r w:rsidRPr="002856F3">
              <w:rPr>
                <w:rFonts w:ascii="Times" w:hAnsi="Times"/>
                <w:b/>
                <w:bCs/>
                <w:iCs/>
                <w:shadow/>
                <w:color w:val="808080"/>
                <w:sz w:val="20"/>
              </w:rPr>
              <w:t>EMISSION UNIT DESCRIPTION :</w:t>
            </w:r>
            <w:r w:rsidRPr="002856F3">
              <w:rPr>
                <w:sz w:val="22"/>
              </w:rPr>
              <w:t xml:space="preserve">  </w:t>
            </w:r>
            <w:r w:rsidRPr="00DD0F41">
              <w:rPr>
                <w:rFonts w:ascii="Tahoma" w:hAnsi="Tahoma" w:cs="Tahoma"/>
                <w:b/>
                <w:bCs/>
                <w:noProof/>
                <w:sz w:val="18"/>
              </w:rPr>
              <w:t>9 Rubber &amp; aluminum lining machines, 18 Punch presses (14 use Lubex, 3 use West Blend or Lubex, and 1 uses IPA), 1 Ink station, 4 Automated pad printers, 1-5 gallon cleaning tank, and 1-75 gallon Safety Clean parts washer; 3 flip-off Assembly Machines</w:t>
            </w:r>
          </w:p>
        </w:tc>
      </w:tr>
      <w:tr w:rsidR="00D53402" w:rsidRPr="002856F3" w:rsidTr="00182571">
        <w:trPr>
          <w:trHeight w:val="300"/>
        </w:trPr>
        <w:tc>
          <w:tcPr>
            <w:tcW w:w="3441" w:type="dxa"/>
            <w:gridSpan w:val="7"/>
            <w:tcBorders>
              <w:top w:val="single" w:sz="12" w:space="0" w:color="auto"/>
              <w:left w:val="double" w:sz="4" w:space="0" w:color="auto"/>
            </w:tcBorders>
            <w:vAlign w:val="center"/>
          </w:tcPr>
          <w:p w:rsidR="00D53402" w:rsidRPr="002856F3" w:rsidRDefault="00D53402">
            <w:pPr>
              <w:spacing w:line="91" w:lineRule="exact"/>
              <w:jc w:val="center"/>
              <w:rPr>
                <w:sz w:val="22"/>
              </w:rPr>
            </w:pPr>
          </w:p>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CMS INSPECTION DATE:</w:t>
            </w:r>
          </w:p>
        </w:tc>
        <w:tc>
          <w:tcPr>
            <w:tcW w:w="3960" w:type="dxa"/>
            <w:gridSpan w:val="15"/>
            <w:tcBorders>
              <w:top w:val="single" w:sz="4" w:space="0" w:color="000000"/>
            </w:tcBorders>
            <w:vAlign w:val="center"/>
          </w:tcPr>
          <w:p w:rsidR="00D53402" w:rsidRPr="002856F3" w:rsidRDefault="00D53402">
            <w:pPr>
              <w:spacing w:line="91" w:lineRule="exact"/>
              <w:jc w:val="center"/>
              <w:rPr>
                <w:sz w:val="22"/>
              </w:rPr>
            </w:pPr>
          </w:p>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30" w:type="dxa"/>
            <w:gridSpan w:val="13"/>
            <w:tcBorders>
              <w:top w:val="single" w:sz="12" w:space="0" w:color="auto"/>
              <w:left w:val="nil"/>
              <w:right w:val="double" w:sz="4" w:space="0" w:color="auto"/>
            </w:tcBorders>
            <w:vAlign w:val="center"/>
          </w:tcPr>
          <w:p w:rsidR="00D53402" w:rsidRPr="002856F3" w:rsidRDefault="00D53402">
            <w:pPr>
              <w:spacing w:line="91" w:lineRule="exact"/>
              <w:jc w:val="center"/>
              <w:rPr>
                <w:iCs/>
                <w:sz w:val="22"/>
              </w:rPr>
            </w:pPr>
          </w:p>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D53402" w:rsidRPr="002856F3" w:rsidTr="00182571">
        <w:trPr>
          <w:cantSplit/>
          <w:trHeight w:hRule="exact" w:val="144"/>
        </w:trPr>
        <w:tc>
          <w:tcPr>
            <w:tcW w:w="10731" w:type="dxa"/>
            <w:gridSpan w:val="35"/>
            <w:tcBorders>
              <w:left w:val="double" w:sz="4" w:space="0" w:color="auto"/>
              <w:right w:val="double" w:sz="4" w:space="0" w:color="auto"/>
            </w:tcBorders>
          </w:tcPr>
          <w:p w:rsidR="00D53402" w:rsidRPr="002856F3" w:rsidRDefault="00D53402">
            <w:pPr>
              <w:rPr>
                <w:sz w:val="16"/>
              </w:rPr>
            </w:pPr>
          </w:p>
        </w:tc>
      </w:tr>
      <w:tr w:rsidR="00D53402" w:rsidRPr="002856F3" w:rsidTr="00182571">
        <w:trPr>
          <w:trHeight w:val="122"/>
        </w:trPr>
        <w:tc>
          <w:tcPr>
            <w:tcW w:w="263" w:type="dxa"/>
            <w:tcBorders>
              <w:left w:val="double" w:sz="4" w:space="0" w:color="auto"/>
              <w:right w:val="dotted" w:sz="4" w:space="0" w:color="auto"/>
            </w:tcBorders>
          </w:tcPr>
          <w:p w:rsidR="00D53402" w:rsidRPr="002856F3" w:rsidRDefault="00D53402">
            <w:pPr>
              <w:spacing w:line="72" w:lineRule="exact"/>
              <w:rPr>
                <w:sz w:val="20"/>
              </w:rPr>
            </w:pPr>
          </w:p>
        </w:tc>
        <w:tc>
          <w:tcPr>
            <w:tcW w:w="2861"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D53402" w:rsidRPr="002856F3" w:rsidRDefault="004C7CA9">
            <w:pPr>
              <w:jc w:val="center"/>
              <w:rPr>
                <w:rFonts w:ascii="Tahoma" w:hAnsi="Tahoma" w:cs="Tahoma"/>
                <w:b/>
                <w:bCs/>
                <w:sz w:val="20"/>
              </w:rPr>
            </w:pPr>
            <w:r>
              <w:rPr>
                <w:rFonts w:ascii="Tahoma" w:hAnsi="Tahoma" w:cs="Tahoma"/>
                <w:b/>
                <w:bCs/>
                <w:sz w:val="20"/>
              </w:rPr>
              <w:t>June 22, 2011</w:t>
            </w:r>
          </w:p>
        </w:tc>
        <w:tc>
          <w:tcPr>
            <w:tcW w:w="317" w:type="dxa"/>
            <w:tcBorders>
              <w:left w:val="dotted" w:sz="4" w:space="0" w:color="auto"/>
              <w:right w:val="single" w:sz="4" w:space="0" w:color="000000"/>
            </w:tcBorders>
          </w:tcPr>
          <w:p w:rsidR="00D53402" w:rsidRPr="002856F3" w:rsidRDefault="00D53402">
            <w:pPr>
              <w:spacing w:line="72" w:lineRule="exact"/>
              <w:rPr>
                <w:sz w:val="20"/>
              </w:rPr>
            </w:pPr>
          </w:p>
        </w:tc>
        <w:tc>
          <w:tcPr>
            <w:tcW w:w="360"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D53402" w:rsidRPr="002856F3" w:rsidRDefault="00D53402">
            <w:pPr>
              <w:pStyle w:val="EndnoteText"/>
              <w:jc w:val="center"/>
              <w:rPr>
                <w:rFonts w:ascii="Tahoma" w:hAnsi="Tahoma" w:cs="Tahoma"/>
                <w:b/>
                <w:bCs/>
                <w:sz w:val="20"/>
              </w:rPr>
            </w:pPr>
          </w:p>
        </w:tc>
        <w:tc>
          <w:tcPr>
            <w:tcW w:w="630" w:type="dxa"/>
            <w:gridSpan w:val="2"/>
            <w:tcBorders>
              <w:left w:val="single" w:sz="12" w:space="0" w:color="000000"/>
              <w:right w:val="single" w:sz="8" w:space="0" w:color="auto"/>
            </w:tcBorders>
            <w:vAlign w:val="center"/>
          </w:tcPr>
          <w:p w:rsidR="00D53402" w:rsidRPr="002856F3" w:rsidRDefault="00D53402">
            <w:pPr>
              <w:pStyle w:val="EndnoteText"/>
              <w:rPr>
                <w:rFonts w:ascii="Times New Roman" w:hAnsi="Times New Roman"/>
                <w:b/>
                <w:bCs/>
                <w:sz w:val="20"/>
              </w:rPr>
            </w:pPr>
            <w:r w:rsidRPr="002856F3">
              <w:rPr>
                <w:sz w:val="20"/>
              </w:rPr>
              <w:t>INS</w:t>
            </w:r>
            <w:r w:rsidRPr="002856F3">
              <w:rPr>
                <w:b/>
                <w:bCs/>
                <w:color w:val="FF0000"/>
                <w:sz w:val="16"/>
              </w:rPr>
              <w:t>1</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D53402" w:rsidRPr="002856F3" w:rsidRDefault="00A774DE">
            <w:pPr>
              <w:pStyle w:val="EndnoteText"/>
              <w:jc w:val="center"/>
              <w:rPr>
                <w:rFonts w:ascii="Tahoma" w:hAnsi="Tahoma" w:cs="Tahoma"/>
                <w:b/>
                <w:bCs/>
                <w:color w:val="000000"/>
                <w:sz w:val="22"/>
              </w:rPr>
            </w:pPr>
            <w:r w:rsidRPr="00A774DE">
              <w:rPr>
                <w:rFonts w:ascii="Tahoma" w:hAnsi="Tahoma" w:cs="Tahoma"/>
                <w:b/>
                <w:sz w:val="22"/>
              </w:rPr>
              <w:sym w:font="Wingdings" w:char="F0FC"/>
            </w:r>
          </w:p>
        </w:tc>
        <w:tc>
          <w:tcPr>
            <w:tcW w:w="630" w:type="dxa"/>
            <w:tcBorders>
              <w:left w:val="single" w:sz="12" w:space="0" w:color="auto"/>
              <w:right w:val="single" w:sz="8" w:space="0" w:color="auto"/>
            </w:tcBorders>
            <w:vAlign w:val="center"/>
          </w:tcPr>
          <w:p w:rsidR="00D53402" w:rsidRPr="002856F3" w:rsidRDefault="00D53402">
            <w:pPr>
              <w:pStyle w:val="EndnoteText"/>
              <w:rPr>
                <w:b/>
                <w:bCs/>
                <w:sz w:val="18"/>
              </w:rPr>
            </w:pPr>
            <w:r w:rsidRPr="002856F3">
              <w:rPr>
                <w:b/>
                <w:bCs/>
                <w:color w:val="000080"/>
                <w:sz w:val="20"/>
              </w:rPr>
              <w:t>INS</w:t>
            </w:r>
            <w:r w:rsidRPr="002856F3">
              <w:rPr>
                <w:b/>
                <w:bCs/>
                <w:color w:val="FF0000"/>
                <w:sz w:val="16"/>
              </w:rPr>
              <w:t>2</w:t>
            </w:r>
          </w:p>
        </w:tc>
        <w:tc>
          <w:tcPr>
            <w:tcW w:w="360"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D53402" w:rsidRPr="002856F3" w:rsidRDefault="00D53402">
            <w:pPr>
              <w:pStyle w:val="EndnoteText"/>
              <w:jc w:val="center"/>
              <w:rPr>
                <w:rFonts w:ascii="Tahoma" w:hAnsi="Tahoma" w:cs="Tahoma"/>
                <w:b/>
                <w:bCs/>
                <w:sz w:val="20"/>
              </w:rPr>
            </w:pPr>
          </w:p>
        </w:tc>
        <w:tc>
          <w:tcPr>
            <w:tcW w:w="630" w:type="dxa"/>
            <w:gridSpan w:val="2"/>
            <w:tcBorders>
              <w:left w:val="single" w:sz="18" w:space="0" w:color="auto"/>
              <w:right w:val="single" w:sz="8" w:space="0" w:color="auto"/>
            </w:tcBorders>
            <w:vAlign w:val="center"/>
          </w:tcPr>
          <w:p w:rsidR="00D53402" w:rsidRPr="002856F3" w:rsidRDefault="00D53402">
            <w:pPr>
              <w:pStyle w:val="EndnoteText"/>
              <w:rPr>
                <w:b/>
                <w:bCs/>
                <w:sz w:val="20"/>
              </w:rPr>
            </w:pPr>
            <w:r w:rsidRPr="002856F3">
              <w:rPr>
                <w:sz w:val="20"/>
              </w:rPr>
              <w:t>INS</w:t>
            </w:r>
            <w:r w:rsidRPr="002856F3">
              <w:rPr>
                <w:b/>
                <w:bCs/>
                <w:color w:val="FF0000"/>
                <w:sz w:val="16"/>
              </w:rPr>
              <w:t>3</w:t>
            </w:r>
          </w:p>
        </w:tc>
        <w:tc>
          <w:tcPr>
            <w:tcW w:w="360" w:type="dxa"/>
            <w:tcBorders>
              <w:top w:val="single" w:sz="8" w:space="0" w:color="auto"/>
              <w:left w:val="single" w:sz="8" w:space="0" w:color="auto"/>
              <w:bottom w:val="single" w:sz="8" w:space="0" w:color="auto"/>
              <w:right w:val="single" w:sz="18" w:space="0" w:color="auto"/>
            </w:tcBorders>
            <w:shd w:val="clear" w:color="auto" w:fill="FFFFE9"/>
            <w:vAlign w:val="center"/>
          </w:tcPr>
          <w:p w:rsidR="00D53402" w:rsidRPr="002856F3" w:rsidRDefault="00D53402">
            <w:pPr>
              <w:pStyle w:val="EndnoteText"/>
              <w:jc w:val="center"/>
              <w:rPr>
                <w:rFonts w:ascii="Tahoma" w:hAnsi="Tahoma" w:cs="Tahoma"/>
                <w:b/>
                <w:bCs/>
                <w:sz w:val="20"/>
              </w:rPr>
            </w:pPr>
          </w:p>
        </w:tc>
        <w:tc>
          <w:tcPr>
            <w:tcW w:w="810" w:type="dxa"/>
            <w:gridSpan w:val="4"/>
            <w:tcBorders>
              <w:left w:val="single" w:sz="18" w:space="0" w:color="auto"/>
              <w:right w:val="single" w:sz="8" w:space="0" w:color="auto"/>
            </w:tcBorders>
            <w:vAlign w:val="center"/>
          </w:tcPr>
          <w:p w:rsidR="00D53402" w:rsidRPr="002856F3" w:rsidRDefault="00D53402">
            <w:pPr>
              <w:pStyle w:val="EndnoteText"/>
              <w:rPr>
                <w:sz w:val="20"/>
              </w:rPr>
            </w:pPr>
            <w:r w:rsidRPr="002856F3">
              <w:rPr>
                <w:sz w:val="20"/>
              </w:rPr>
              <w:t>FUI</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D53402" w:rsidRPr="002856F3" w:rsidRDefault="00A774DE">
            <w:pPr>
              <w:pStyle w:val="EndnoteText"/>
              <w:jc w:val="center"/>
              <w:rPr>
                <w:rFonts w:ascii="Tahoma" w:hAnsi="Tahoma" w:cs="Tahoma"/>
                <w:b/>
                <w:bCs/>
                <w:sz w:val="20"/>
              </w:rPr>
            </w:pPr>
            <w:r w:rsidRPr="00A774DE">
              <w:rPr>
                <w:rFonts w:ascii="Tahoma" w:hAnsi="Tahoma" w:cs="Tahoma"/>
                <w:b/>
                <w:sz w:val="22"/>
              </w:rPr>
              <w:sym w:font="Wingdings" w:char="F0FC"/>
            </w:r>
          </w:p>
        </w:tc>
        <w:tc>
          <w:tcPr>
            <w:tcW w:w="540" w:type="dxa"/>
            <w:tcBorders>
              <w:left w:val="single" w:sz="12" w:space="0" w:color="auto"/>
              <w:right w:val="single" w:sz="4" w:space="0" w:color="auto"/>
            </w:tcBorders>
            <w:vAlign w:val="center"/>
          </w:tcPr>
          <w:p w:rsidR="00D53402" w:rsidRPr="002856F3" w:rsidRDefault="00D53402">
            <w:pPr>
              <w:pStyle w:val="EndnoteText"/>
              <w:rPr>
                <w:b/>
                <w:bCs/>
                <w:color w:val="000080"/>
                <w:sz w:val="20"/>
              </w:rPr>
            </w:pPr>
            <w:r w:rsidRPr="002856F3">
              <w:rPr>
                <w:b/>
                <w:bCs/>
                <w:color w:val="000080"/>
                <w:sz w:val="20"/>
              </w:rPr>
              <w:t>IN</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D53402" w:rsidRPr="002856F3" w:rsidRDefault="00D53402">
            <w:pPr>
              <w:pStyle w:val="EndnoteText"/>
              <w:jc w:val="center"/>
              <w:rPr>
                <w:rFonts w:ascii="Tahoma" w:hAnsi="Tahoma" w:cs="Tahoma"/>
                <w:b/>
                <w:bCs/>
                <w:sz w:val="20"/>
              </w:rPr>
            </w:pPr>
          </w:p>
        </w:tc>
        <w:tc>
          <w:tcPr>
            <w:tcW w:w="630" w:type="dxa"/>
            <w:gridSpan w:val="3"/>
            <w:tcBorders>
              <w:left w:val="single" w:sz="12" w:space="0" w:color="auto"/>
              <w:right w:val="single" w:sz="4" w:space="0" w:color="auto"/>
            </w:tcBorders>
            <w:vAlign w:val="center"/>
          </w:tcPr>
          <w:p w:rsidR="00D53402" w:rsidRPr="002856F3" w:rsidRDefault="00D53402">
            <w:pPr>
              <w:pStyle w:val="EndnoteText"/>
              <w:rPr>
                <w:sz w:val="20"/>
              </w:rPr>
            </w:pPr>
            <w:r w:rsidRPr="002856F3">
              <w:rPr>
                <w:sz w:val="20"/>
              </w:rPr>
              <w:t>MNC</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D53402" w:rsidRPr="002856F3" w:rsidRDefault="00D53402">
            <w:pPr>
              <w:pStyle w:val="EndnoteText"/>
              <w:jc w:val="center"/>
              <w:rPr>
                <w:rFonts w:ascii="Tahoma" w:hAnsi="Tahoma" w:cs="Tahoma"/>
                <w:b/>
                <w:bCs/>
                <w:sz w:val="20"/>
              </w:rPr>
            </w:pPr>
          </w:p>
        </w:tc>
        <w:tc>
          <w:tcPr>
            <w:tcW w:w="900" w:type="dxa"/>
            <w:gridSpan w:val="2"/>
            <w:tcBorders>
              <w:left w:val="single" w:sz="12" w:space="0" w:color="auto"/>
              <w:right w:val="double" w:sz="4" w:space="0" w:color="auto"/>
            </w:tcBorders>
            <w:vAlign w:val="center"/>
          </w:tcPr>
          <w:p w:rsidR="00D53402" w:rsidRPr="002856F3" w:rsidRDefault="00D53402">
            <w:pPr>
              <w:pStyle w:val="EndnoteText"/>
              <w:rPr>
                <w:sz w:val="20"/>
              </w:rPr>
            </w:pPr>
            <w:r w:rsidRPr="002856F3">
              <w:rPr>
                <w:sz w:val="20"/>
              </w:rPr>
              <w:t>SNC</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00"/>
        </w:trPr>
        <w:tc>
          <w:tcPr>
            <w:tcW w:w="10731" w:type="dxa"/>
            <w:gridSpan w:val="35"/>
            <w:tcBorders>
              <w:top w:val="nil"/>
              <w:bottom w:val="nil"/>
            </w:tcBorders>
            <w:vAlign w:val="bottom"/>
          </w:tcPr>
          <w:p w:rsidR="00D53402" w:rsidRPr="002856F3" w:rsidRDefault="00D53402">
            <w:pPr>
              <w:pStyle w:val="EndnoteText"/>
              <w:tabs>
                <w:tab w:val="left" w:pos="292"/>
                <w:tab w:val="left" w:pos="2362"/>
                <w:tab w:val="left" w:pos="3712"/>
                <w:tab w:val="left" w:pos="5782"/>
                <w:tab w:val="left" w:pos="7492"/>
                <w:tab w:val="left" w:pos="9112"/>
              </w:tabs>
              <w:rPr>
                <w:rStyle w:val="CommentReference"/>
              </w:rPr>
            </w:pP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80"/>
        </w:trPr>
        <w:tc>
          <w:tcPr>
            <w:tcW w:w="10731" w:type="dxa"/>
            <w:gridSpan w:val="35"/>
            <w:tcBorders>
              <w:top w:val="nil"/>
              <w:bottom w:val="nil"/>
            </w:tcBorders>
            <w:vAlign w:val="bottom"/>
          </w:tcPr>
          <w:p w:rsidR="00D53402" w:rsidRPr="002856F3" w:rsidRDefault="00D53402">
            <w:pPr>
              <w:pStyle w:val="EndnoteText"/>
              <w:tabs>
                <w:tab w:val="left" w:pos="292"/>
                <w:tab w:val="left" w:pos="2362"/>
                <w:tab w:val="left" w:pos="3712"/>
                <w:tab w:val="left" w:pos="5782"/>
                <w:tab w:val="left" w:pos="7492"/>
                <w:tab w:val="left" w:pos="9112"/>
              </w:tabs>
              <w:rPr>
                <w:rStyle w:val="CommentReference"/>
              </w:rPr>
            </w:pP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2271" w:type="dxa"/>
            <w:gridSpan w:val="4"/>
            <w:tcBorders>
              <w:top w:val="nil"/>
              <w:bottom w:val="nil"/>
              <w:right w:val="single" w:sz="8" w:space="0" w:color="auto"/>
            </w:tcBorders>
            <w:vAlign w:val="center"/>
          </w:tcPr>
          <w:p w:rsidR="00D53402" w:rsidRPr="002856F3" w:rsidRDefault="00D534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D53402" w:rsidRPr="002856F3" w:rsidRDefault="00A774DE">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A774DE">
              <w:rPr>
                <w:rFonts w:ascii="Tahoma" w:hAnsi="Tahoma" w:cs="Tahoma"/>
                <w:b/>
                <w:sz w:val="22"/>
              </w:rPr>
              <w:sym w:font="Wingdings" w:char="F0FC"/>
            </w:r>
          </w:p>
        </w:tc>
        <w:tc>
          <w:tcPr>
            <w:tcW w:w="900" w:type="dxa"/>
            <w:gridSpan w:val="4"/>
            <w:tcBorders>
              <w:top w:val="nil"/>
              <w:left w:val="single" w:sz="12" w:space="0" w:color="auto"/>
              <w:bottom w:val="nil"/>
              <w:right w:val="single" w:sz="8" w:space="0" w:color="auto"/>
            </w:tcBorders>
            <w:vAlign w:val="center"/>
          </w:tcPr>
          <w:p w:rsidR="00D53402" w:rsidRPr="002856F3" w:rsidRDefault="00D53402">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D53402" w:rsidRPr="002856F3" w:rsidRDefault="00D53402">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710" w:type="dxa"/>
            <w:gridSpan w:val="4"/>
            <w:tcBorders>
              <w:top w:val="nil"/>
              <w:left w:val="single" w:sz="12" w:space="0" w:color="auto"/>
              <w:bottom w:val="nil"/>
              <w:right w:val="single" w:sz="8" w:space="0" w:color="auto"/>
            </w:tcBorders>
            <w:vAlign w:val="center"/>
          </w:tcPr>
          <w:p w:rsidR="00D53402" w:rsidRPr="002856F3" w:rsidRDefault="00D53402">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D53402" w:rsidRPr="002856F3" w:rsidRDefault="00D53402">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350" w:type="dxa"/>
            <w:gridSpan w:val="4"/>
            <w:tcBorders>
              <w:top w:val="nil"/>
              <w:left w:val="single" w:sz="12" w:space="0" w:color="auto"/>
              <w:bottom w:val="nil"/>
              <w:right w:val="single" w:sz="8" w:space="0" w:color="auto"/>
            </w:tcBorders>
            <w:vAlign w:val="center"/>
          </w:tcPr>
          <w:p w:rsidR="00D53402" w:rsidRPr="002856F3" w:rsidRDefault="00D53402">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60" w:type="dxa"/>
            <w:gridSpan w:val="3"/>
            <w:tcBorders>
              <w:top w:val="single" w:sz="8" w:space="0" w:color="auto"/>
              <w:left w:val="single" w:sz="8" w:space="0" w:color="auto"/>
              <w:bottom w:val="single" w:sz="8" w:space="0" w:color="auto"/>
              <w:right w:val="single" w:sz="12" w:space="0" w:color="auto"/>
            </w:tcBorders>
            <w:shd w:val="clear" w:color="auto" w:fill="F3F3F3"/>
            <w:vAlign w:val="center"/>
          </w:tcPr>
          <w:p w:rsidR="00D53402" w:rsidRPr="002856F3" w:rsidRDefault="00D53402">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70" w:type="dxa"/>
            <w:gridSpan w:val="4"/>
            <w:tcBorders>
              <w:top w:val="nil"/>
              <w:left w:val="single" w:sz="12" w:space="0" w:color="auto"/>
              <w:bottom w:val="nil"/>
              <w:right w:val="single" w:sz="8" w:space="0" w:color="auto"/>
            </w:tcBorders>
            <w:vAlign w:val="center"/>
          </w:tcPr>
          <w:p w:rsidR="00D53402" w:rsidRPr="002856F3" w:rsidRDefault="00D53402">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D53402" w:rsidRPr="002856F3" w:rsidRDefault="00D53402">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30" w:type="dxa"/>
            <w:gridSpan w:val="5"/>
            <w:tcBorders>
              <w:top w:val="nil"/>
              <w:left w:val="single" w:sz="12" w:space="0" w:color="auto"/>
              <w:bottom w:val="nil"/>
            </w:tcBorders>
            <w:vAlign w:val="center"/>
          </w:tcPr>
          <w:p w:rsidR="00D53402" w:rsidRPr="002856F3" w:rsidRDefault="00D53402">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44"/>
        </w:trPr>
        <w:tc>
          <w:tcPr>
            <w:tcW w:w="10731" w:type="dxa"/>
            <w:gridSpan w:val="35"/>
            <w:tcBorders>
              <w:top w:val="nil"/>
              <w:bottom w:val="single" w:sz="18" w:space="0" w:color="auto"/>
            </w:tcBorders>
            <w:vAlign w:val="bottom"/>
          </w:tcPr>
          <w:p w:rsidR="00D53402" w:rsidRPr="002856F3" w:rsidRDefault="00D53402">
            <w:pPr>
              <w:rPr>
                <w:sz w:val="16"/>
              </w:rPr>
            </w:pP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88"/>
        </w:trPr>
        <w:tc>
          <w:tcPr>
            <w:tcW w:w="1101" w:type="dxa"/>
            <w:gridSpan w:val="3"/>
            <w:tcBorders>
              <w:top w:val="single" w:sz="18" w:space="0" w:color="auto"/>
              <w:bottom w:val="single" w:sz="4" w:space="0" w:color="auto"/>
              <w:right w:val="nil"/>
            </w:tcBorders>
            <w:shd w:val="clear" w:color="auto" w:fill="F3F3F3"/>
            <w:vAlign w:val="center"/>
          </w:tcPr>
          <w:p w:rsidR="00D53402" w:rsidRPr="00A774DE" w:rsidRDefault="00D53402">
            <w:pPr>
              <w:tabs>
                <w:tab w:val="center" w:pos="5062"/>
              </w:tabs>
              <w:jc w:val="center"/>
              <w:rPr>
                <w:b/>
              </w:rPr>
            </w:pPr>
            <w:r w:rsidRPr="00A774DE">
              <w:rPr>
                <w:rFonts w:ascii="Tahoma" w:hAnsi="Tahoma" w:cs="Tahoma"/>
                <w:b/>
                <w:sz w:val="22"/>
              </w:rPr>
              <w:sym w:font="Wingdings" w:char="F0FC"/>
            </w:r>
          </w:p>
        </w:tc>
        <w:tc>
          <w:tcPr>
            <w:tcW w:w="9630" w:type="dxa"/>
            <w:gridSpan w:val="32"/>
            <w:tcBorders>
              <w:top w:val="single" w:sz="18" w:space="0" w:color="auto"/>
              <w:left w:val="nil"/>
              <w:bottom w:val="single" w:sz="4" w:space="0" w:color="auto"/>
            </w:tcBorders>
            <w:shd w:val="clear" w:color="auto" w:fill="F3F3F3"/>
            <w:vAlign w:val="center"/>
          </w:tcPr>
          <w:p w:rsidR="00D53402" w:rsidRPr="002856F3" w:rsidRDefault="00D53402">
            <w:pPr>
              <w:tabs>
                <w:tab w:val="center" w:pos="5062"/>
              </w:tabs>
              <w:jc w:val="center"/>
              <w:rPr>
                <w:color w:val="993300"/>
              </w:rPr>
            </w:pPr>
            <w:r w:rsidRPr="002856F3">
              <w:rPr>
                <w:b/>
                <w:bCs/>
                <w:color w:val="993300"/>
              </w:rPr>
              <w:t>A. General Review:</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471" w:type="dxa"/>
            <w:gridSpan w:val="2"/>
            <w:tcBorders>
              <w:top w:val="single" w:sz="4" w:space="0" w:color="auto"/>
              <w:left w:val="double" w:sz="4" w:space="0" w:color="auto"/>
              <w:bottom w:val="single" w:sz="4" w:space="0" w:color="auto"/>
              <w:right w:val="nil"/>
            </w:tcBorders>
            <w:vAlign w:val="bottom"/>
          </w:tcPr>
          <w:p w:rsidR="00D53402" w:rsidRPr="002856F3" w:rsidRDefault="00D53402">
            <w:pPr>
              <w:jc w:val="center"/>
              <w:rPr>
                <w:b/>
                <w:bCs/>
                <w:sz w:val="20"/>
              </w:rPr>
            </w:pPr>
            <w:r w:rsidRPr="002856F3">
              <w:rPr>
                <w:b/>
                <w:bCs/>
                <w:sz w:val="20"/>
              </w:rPr>
              <w:t>1.</w:t>
            </w:r>
          </w:p>
        </w:tc>
        <w:tc>
          <w:tcPr>
            <w:tcW w:w="8280" w:type="dxa"/>
            <w:gridSpan w:val="25"/>
            <w:tcBorders>
              <w:top w:val="single" w:sz="4" w:space="0" w:color="auto"/>
              <w:left w:val="nil"/>
              <w:bottom w:val="single" w:sz="4" w:space="0" w:color="auto"/>
              <w:right w:val="nil"/>
            </w:tcBorders>
            <w:vAlign w:val="bottom"/>
          </w:tcPr>
          <w:p w:rsidR="00D53402" w:rsidRPr="002856F3" w:rsidRDefault="00D53402">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60" w:type="dxa"/>
            <w:gridSpan w:val="2"/>
            <w:tcBorders>
              <w:top w:val="single" w:sz="4" w:space="0" w:color="auto"/>
              <w:left w:val="nil"/>
              <w:bottom w:val="single" w:sz="4" w:space="0" w:color="auto"/>
              <w:right w:val="nil"/>
            </w:tcBorders>
            <w:shd w:val="clear" w:color="auto" w:fill="FFF4E9"/>
            <w:vAlign w:val="center"/>
          </w:tcPr>
          <w:p w:rsidR="00D53402" w:rsidRPr="002856F3" w:rsidRDefault="00A774DE" w:rsidP="009A5BF6">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D53402" w:rsidRPr="002856F3" w:rsidRDefault="00354DDD"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D53402"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r w:rsidRPr="002856F3">
              <w:rPr>
                <w:sz w:val="20"/>
              </w:rPr>
              <w:t>No</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vAlign w:val="center"/>
          </w:tcPr>
          <w:p w:rsidR="00D53402" w:rsidRPr="002856F3" w:rsidRDefault="00D53402">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D53402" w:rsidRPr="002856F3" w:rsidRDefault="00D53402">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60" w:type="dxa"/>
            <w:gridSpan w:val="2"/>
            <w:tcBorders>
              <w:top w:val="single" w:sz="4" w:space="0" w:color="auto"/>
              <w:left w:val="nil"/>
              <w:bottom w:val="single" w:sz="4" w:space="0" w:color="auto"/>
              <w:right w:val="nil"/>
            </w:tcBorders>
          </w:tcPr>
          <w:p w:rsidR="00D53402" w:rsidRPr="002856F3" w:rsidRDefault="00D53402" w:rsidP="009A5BF6">
            <w:pPr>
              <w:jc w:val="center"/>
            </w:pPr>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D53402" w:rsidRPr="002856F3" w:rsidRDefault="00D53402" w:rsidP="009A5BF6">
            <w:pPr>
              <w:jc w:val="center"/>
            </w:pP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23"/>
        </w:trPr>
        <w:tc>
          <w:tcPr>
            <w:tcW w:w="471" w:type="dxa"/>
            <w:gridSpan w:val="2"/>
            <w:tcBorders>
              <w:top w:val="single" w:sz="4" w:space="0" w:color="auto"/>
              <w:left w:val="double" w:sz="4" w:space="0" w:color="auto"/>
              <w:bottom w:val="single" w:sz="4" w:space="0" w:color="auto"/>
              <w:right w:val="nil"/>
            </w:tcBorders>
            <w:vAlign w:val="center"/>
          </w:tcPr>
          <w:p w:rsidR="00D53402" w:rsidRPr="002856F3" w:rsidRDefault="00D53402">
            <w:pPr>
              <w:jc w:val="center"/>
              <w:rPr>
                <w:b/>
                <w:bCs/>
                <w:sz w:val="20"/>
              </w:rPr>
            </w:pPr>
            <w:r w:rsidRPr="002856F3">
              <w:rPr>
                <w:b/>
                <w:bCs/>
                <w:sz w:val="20"/>
              </w:rPr>
              <w:t>2.</w:t>
            </w:r>
          </w:p>
        </w:tc>
        <w:tc>
          <w:tcPr>
            <w:tcW w:w="8280" w:type="dxa"/>
            <w:gridSpan w:val="25"/>
            <w:tcBorders>
              <w:top w:val="single" w:sz="4" w:space="0" w:color="auto"/>
              <w:left w:val="nil"/>
              <w:bottom w:val="single" w:sz="4" w:space="0" w:color="auto"/>
              <w:right w:val="nil"/>
            </w:tcBorders>
            <w:vAlign w:val="center"/>
          </w:tcPr>
          <w:p w:rsidR="00D53402" w:rsidRPr="002856F3" w:rsidRDefault="00D53402">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60" w:type="dxa"/>
            <w:gridSpan w:val="2"/>
            <w:tcBorders>
              <w:top w:val="single" w:sz="4" w:space="0" w:color="auto"/>
              <w:left w:val="nil"/>
              <w:bottom w:val="single" w:sz="4" w:space="0" w:color="auto"/>
              <w:right w:val="nil"/>
            </w:tcBorders>
            <w:shd w:val="clear" w:color="auto" w:fill="FFF4E9"/>
          </w:tcPr>
          <w:p w:rsidR="00D53402" w:rsidRPr="002856F3" w:rsidRDefault="00A774DE" w:rsidP="009A5BF6">
            <w:pPr>
              <w:jc w:val="center"/>
            </w:pPr>
            <w:r>
              <w:rPr>
                <w:rFonts w:eastAsia="MS Mincho"/>
                <w:i/>
                <w:iCs/>
                <w:sz w:val="22"/>
              </w:rPr>
              <w:fldChar w:fldCharType="begin">
                <w:ffData>
                  <w:name w:val=""/>
                  <w:enabled/>
                  <w:calcOnExit w:val="0"/>
                  <w:checkBox>
                    <w:sizeAuto/>
                    <w:default w:val="1"/>
                  </w:checkBox>
                </w:ffData>
              </w:fldChar>
            </w:r>
            <w:r>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D53402" w:rsidRPr="002856F3" w:rsidRDefault="00354DDD" w:rsidP="009A5BF6">
            <w:pPr>
              <w:jc w:val="center"/>
            </w:pPr>
            <w:r w:rsidRPr="002856F3">
              <w:rPr>
                <w:rFonts w:eastAsia="MS Mincho"/>
                <w:i/>
                <w:iCs/>
                <w:sz w:val="22"/>
              </w:rPr>
              <w:fldChar w:fldCharType="begin">
                <w:ffData>
                  <w:name w:val=""/>
                  <w:enabled/>
                  <w:calcOnExit w:val="0"/>
                  <w:checkBox>
                    <w:sizeAuto/>
                    <w:default w:val="0"/>
                  </w:checkBox>
                </w:ffData>
              </w:fldChar>
            </w:r>
            <w:r w:rsidR="00D53402"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r w:rsidRPr="002856F3">
              <w:rPr>
                <w:sz w:val="20"/>
              </w:rPr>
              <w:t>No</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D53402" w:rsidRPr="002856F3" w:rsidRDefault="00D53402">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D53402" w:rsidRPr="002856F3" w:rsidRDefault="00D53402">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A774DE">
              <w:rPr>
                <w:rFonts w:ascii="Times New Roman" w:hAnsi="Times New Roman"/>
                <w:i/>
                <w:iCs/>
                <w:sz w:val="20"/>
              </w:rPr>
              <w:t xml:space="preserve">I was greeted by Glen York and Sharon Deck.  Mr. York and Ms. Deck answered all of my </w:t>
            </w:r>
            <w:proofErr w:type="gramStart"/>
            <w:r w:rsidR="00A774DE">
              <w:rPr>
                <w:rFonts w:ascii="Times New Roman" w:hAnsi="Times New Roman"/>
                <w:i/>
                <w:iCs/>
                <w:sz w:val="20"/>
              </w:rPr>
              <w:t>questions,</w:t>
            </w:r>
            <w:proofErr w:type="gramEnd"/>
            <w:r w:rsidR="00A774DE">
              <w:rPr>
                <w:rFonts w:ascii="Times New Roman" w:hAnsi="Times New Roman"/>
                <w:i/>
                <w:iCs/>
                <w:sz w:val="20"/>
              </w:rPr>
              <w:t xml:space="preserve"> provided the material usage and emission logs and escorted me in the tour of the production areas.</w:t>
            </w:r>
          </w:p>
        </w:tc>
        <w:tc>
          <w:tcPr>
            <w:tcW w:w="360" w:type="dxa"/>
            <w:gridSpan w:val="2"/>
            <w:tcBorders>
              <w:top w:val="single" w:sz="4" w:space="0" w:color="auto"/>
              <w:left w:val="nil"/>
              <w:bottom w:val="single" w:sz="4" w:space="0" w:color="auto"/>
              <w:right w:val="nil"/>
            </w:tcBorders>
          </w:tcPr>
          <w:p w:rsidR="00D53402" w:rsidRPr="002856F3" w:rsidRDefault="00D53402" w:rsidP="009A5BF6">
            <w:pPr>
              <w:jc w:val="center"/>
            </w:pPr>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D53402" w:rsidRPr="002856F3" w:rsidRDefault="00D53402" w:rsidP="009A5BF6">
            <w:pPr>
              <w:jc w:val="center"/>
            </w:pP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D53402" w:rsidRPr="002856F3" w:rsidRDefault="00D53402">
            <w:pPr>
              <w:jc w:val="center"/>
              <w:rPr>
                <w:b/>
                <w:bCs/>
                <w:sz w:val="20"/>
              </w:rPr>
            </w:pPr>
            <w:r w:rsidRPr="002856F3">
              <w:rPr>
                <w:b/>
                <w:bCs/>
                <w:sz w:val="20"/>
              </w:rPr>
              <w:t>3.</w:t>
            </w:r>
          </w:p>
        </w:tc>
        <w:tc>
          <w:tcPr>
            <w:tcW w:w="8280" w:type="dxa"/>
            <w:gridSpan w:val="25"/>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DD0F41">
              <w:rPr>
                <w:b/>
                <w:bCs/>
                <w:noProof/>
                <w:sz w:val="20"/>
                <w:u w:val="single"/>
              </w:rPr>
              <w:t>Fred McCleery</w:t>
            </w:r>
            <w:r w:rsidRPr="002856F3">
              <w:rPr>
                <w:b/>
                <w:bCs/>
                <w:sz w:val="20"/>
              </w:rPr>
              <w:t>?</w:t>
            </w:r>
          </w:p>
        </w:tc>
        <w:tc>
          <w:tcPr>
            <w:tcW w:w="360" w:type="dxa"/>
            <w:gridSpan w:val="2"/>
            <w:tcBorders>
              <w:top w:val="single" w:sz="4" w:space="0" w:color="auto"/>
              <w:left w:val="nil"/>
              <w:bottom w:val="single" w:sz="4" w:space="0" w:color="auto"/>
              <w:right w:val="nil"/>
            </w:tcBorders>
            <w:shd w:val="clear" w:color="auto" w:fill="FFF4E9"/>
          </w:tcPr>
          <w:p w:rsidR="00D53402" w:rsidRPr="002856F3" w:rsidRDefault="00A774DE" w:rsidP="009A5BF6">
            <w:pPr>
              <w:jc w:val="center"/>
            </w:pPr>
            <w:r>
              <w:rPr>
                <w:rFonts w:eastAsia="MS Mincho"/>
                <w:i/>
                <w:iCs/>
                <w:sz w:val="22"/>
              </w:rPr>
              <w:fldChar w:fldCharType="begin">
                <w:ffData>
                  <w:name w:val=""/>
                  <w:enabled/>
                  <w:calcOnExit w:val="0"/>
                  <w:checkBox>
                    <w:sizeAuto/>
                    <w:default w:val="1"/>
                  </w:checkBox>
                </w:ffData>
              </w:fldChar>
            </w:r>
            <w:r>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D53402" w:rsidRPr="002856F3" w:rsidRDefault="00354DDD"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D53402"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r w:rsidRPr="002856F3">
              <w:rPr>
                <w:sz w:val="20"/>
              </w:rPr>
              <w:t>No</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D53402" w:rsidRPr="002856F3" w:rsidRDefault="00D53402">
            <w:pPr>
              <w:jc w:val="center"/>
              <w:rPr>
                <w:b/>
                <w:bCs/>
                <w:sz w:val="20"/>
              </w:rPr>
            </w:pPr>
          </w:p>
        </w:tc>
        <w:tc>
          <w:tcPr>
            <w:tcW w:w="10260" w:type="dxa"/>
            <w:gridSpan w:val="33"/>
            <w:tcBorders>
              <w:top w:val="single" w:sz="4" w:space="0" w:color="auto"/>
              <w:left w:val="nil"/>
              <w:bottom w:val="single" w:sz="4" w:space="0" w:color="auto"/>
              <w:right w:val="double" w:sz="4" w:space="0" w:color="auto"/>
            </w:tcBorders>
            <w:vAlign w:val="bottom"/>
          </w:tcPr>
          <w:p w:rsidR="00D53402" w:rsidRDefault="00D53402">
            <w:pPr>
              <w:tabs>
                <w:tab w:val="left" w:pos="8752"/>
                <w:tab w:val="left" w:pos="9472"/>
                <w:tab w:val="left" w:pos="9742"/>
              </w:tabs>
              <w:ind w:left="-18"/>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D53402" w:rsidRPr="002856F3" w:rsidRDefault="00D53402">
            <w:pPr>
              <w:tabs>
                <w:tab w:val="left" w:pos="8752"/>
                <w:tab w:val="left" w:pos="9472"/>
                <w:tab w:val="left" w:pos="9742"/>
              </w:tabs>
              <w:ind w:left="-18"/>
              <w:rPr>
                <w:sz w:val="20"/>
              </w:rPr>
            </w:pPr>
            <w:r>
              <w:rPr>
                <w:b/>
                <w:bCs/>
                <w:color w:val="333399"/>
                <w:sz w:val="20"/>
              </w:rPr>
              <w:t>T</w:t>
            </w:r>
            <w:r w:rsidRPr="002856F3">
              <w:rPr>
                <w:b/>
                <w:bCs/>
                <w:color w:val="333399"/>
                <w:sz w:val="20"/>
              </w:rPr>
              <w:t>he Responsible Official/Authorized Representative</w:t>
            </w:r>
            <w:r>
              <w:rPr>
                <w:b/>
                <w:bCs/>
                <w:color w:val="333399"/>
                <w:sz w:val="20"/>
              </w:rPr>
              <w:t xml:space="preserve">’s e-mail is:  </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32"/>
        </w:trPr>
        <w:tc>
          <w:tcPr>
            <w:tcW w:w="471" w:type="dxa"/>
            <w:gridSpan w:val="2"/>
            <w:tcBorders>
              <w:top w:val="single" w:sz="4" w:space="0" w:color="auto"/>
              <w:left w:val="double" w:sz="4" w:space="0" w:color="auto"/>
              <w:bottom w:val="single" w:sz="4" w:space="0" w:color="auto"/>
              <w:right w:val="nil"/>
            </w:tcBorders>
          </w:tcPr>
          <w:p w:rsidR="00D53402" w:rsidRPr="002856F3" w:rsidRDefault="00D53402">
            <w:pPr>
              <w:jc w:val="center"/>
              <w:rPr>
                <w:b/>
                <w:bCs/>
                <w:sz w:val="20"/>
              </w:rPr>
            </w:pPr>
            <w:r w:rsidRPr="002856F3">
              <w:rPr>
                <w:b/>
                <w:bCs/>
                <w:sz w:val="20"/>
              </w:rPr>
              <w:t>4.</w:t>
            </w:r>
          </w:p>
        </w:tc>
        <w:tc>
          <w:tcPr>
            <w:tcW w:w="8280" w:type="dxa"/>
            <w:gridSpan w:val="25"/>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DD0F41">
              <w:rPr>
                <w:noProof/>
                <w:sz w:val="20"/>
              </w:rPr>
              <w:t>Glenn York</w:t>
            </w:r>
            <w:r w:rsidRPr="002856F3">
              <w:rPr>
                <w:b/>
                <w:bCs/>
                <w:color w:val="0000FF"/>
                <w:sz w:val="20"/>
              </w:rPr>
              <w:t>?</w:t>
            </w:r>
          </w:p>
        </w:tc>
        <w:tc>
          <w:tcPr>
            <w:tcW w:w="360" w:type="dxa"/>
            <w:gridSpan w:val="2"/>
            <w:tcBorders>
              <w:top w:val="single" w:sz="4" w:space="0" w:color="auto"/>
              <w:left w:val="nil"/>
              <w:bottom w:val="single" w:sz="4" w:space="0" w:color="auto"/>
              <w:right w:val="nil"/>
            </w:tcBorders>
            <w:shd w:val="clear" w:color="auto" w:fill="FFF4E9"/>
            <w:vAlign w:val="center"/>
          </w:tcPr>
          <w:p w:rsidR="00D53402" w:rsidRPr="002856F3" w:rsidRDefault="00A774DE">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D53402" w:rsidRPr="002856F3" w:rsidRDefault="00D53402">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vAlign w:val="center"/>
          </w:tcPr>
          <w:p w:rsidR="00D53402" w:rsidRPr="002856F3" w:rsidRDefault="00354DDD">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D53402"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D53402" w:rsidRPr="002856F3" w:rsidRDefault="00D53402">
            <w:pPr>
              <w:tabs>
                <w:tab w:val="left" w:pos="8752"/>
                <w:tab w:val="left" w:pos="9472"/>
                <w:tab w:val="left" w:pos="9742"/>
              </w:tabs>
              <w:ind w:left="-18"/>
              <w:rPr>
                <w:sz w:val="20"/>
              </w:rPr>
            </w:pPr>
            <w:r w:rsidRPr="002856F3">
              <w:rPr>
                <w:sz w:val="20"/>
              </w:rPr>
              <w:t>No</w:t>
            </w:r>
          </w:p>
        </w:tc>
      </w:tr>
      <w:tr w:rsidR="00D53402"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D53402" w:rsidRPr="002856F3" w:rsidRDefault="00D53402">
            <w:pPr>
              <w:tabs>
                <w:tab w:val="left" w:pos="8752"/>
                <w:tab w:val="left" w:pos="9472"/>
                <w:tab w:val="left" w:pos="9742"/>
              </w:tabs>
              <w:ind w:left="-18"/>
              <w:rPr>
                <w:b/>
                <w:bCs/>
                <w:sz w:val="20"/>
              </w:rPr>
            </w:pPr>
          </w:p>
        </w:tc>
        <w:tc>
          <w:tcPr>
            <w:tcW w:w="10260" w:type="dxa"/>
            <w:gridSpan w:val="33"/>
            <w:tcBorders>
              <w:top w:val="single" w:sz="4" w:space="0" w:color="auto"/>
              <w:left w:val="nil"/>
              <w:bottom w:val="single" w:sz="4" w:space="0" w:color="auto"/>
              <w:right w:val="double" w:sz="4" w:space="0" w:color="auto"/>
            </w:tcBorders>
          </w:tcPr>
          <w:p w:rsidR="00D53402" w:rsidRDefault="00D53402">
            <w:pPr>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D53402" w:rsidRPr="002856F3" w:rsidRDefault="00D53402">
            <w:pPr>
              <w:rPr>
                <w:b/>
                <w:bCs/>
                <w:i/>
                <w:iCs/>
                <w:sz w:val="20"/>
              </w:rPr>
            </w:pPr>
            <w:r>
              <w:rPr>
                <w:b/>
                <w:bCs/>
                <w:color w:val="333399"/>
                <w:sz w:val="20"/>
              </w:rPr>
              <w:t>T</w:t>
            </w:r>
            <w:r w:rsidRPr="002856F3">
              <w:rPr>
                <w:b/>
                <w:bCs/>
                <w:color w:val="333399"/>
                <w:sz w:val="20"/>
              </w:rPr>
              <w:t>he facility contact</w:t>
            </w:r>
            <w:r>
              <w:rPr>
                <w:b/>
                <w:bCs/>
                <w:color w:val="333399"/>
                <w:sz w:val="20"/>
              </w:rPr>
              <w:t xml:space="preserve">’s e-mail is: </w:t>
            </w:r>
            <w:r w:rsidR="00A774DE">
              <w:rPr>
                <w:b/>
                <w:bCs/>
                <w:color w:val="333399"/>
                <w:sz w:val="20"/>
              </w:rPr>
              <w:t>glenn.york@westpharma.com</w:t>
            </w:r>
            <w:r>
              <w:rPr>
                <w:b/>
                <w:bCs/>
                <w:color w:val="333399"/>
                <w:sz w:val="20"/>
              </w:rPr>
              <w:t xml:space="preserve"> </w:t>
            </w:r>
          </w:p>
        </w:tc>
      </w:tr>
    </w:tbl>
    <w:tbl>
      <w:tblPr>
        <w:tblW w:w="1080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0"/>
        <w:gridCol w:w="360"/>
        <w:gridCol w:w="360"/>
        <w:gridCol w:w="9720"/>
      </w:tblGrid>
      <w:tr w:rsidR="00D53402" w:rsidRPr="002856F3">
        <w:trPr>
          <w:cantSplit/>
          <w:trHeight w:val="800"/>
          <w:tblHeader/>
        </w:trPr>
        <w:tc>
          <w:tcPr>
            <w:tcW w:w="360" w:type="dxa"/>
            <w:tcBorders>
              <w:top w:val="single" w:sz="4" w:space="0" w:color="auto"/>
              <w:bottom w:val="single" w:sz="4" w:space="0" w:color="auto"/>
            </w:tcBorders>
            <w:shd w:val="clear" w:color="auto" w:fill="F3F3F3"/>
            <w:vAlign w:val="center"/>
          </w:tcPr>
          <w:p w:rsidR="00D53402" w:rsidRPr="002856F3" w:rsidRDefault="00D53402">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D53402" w:rsidRPr="002856F3" w:rsidRDefault="00D53402">
            <w:pPr>
              <w:rPr>
                <w:rFonts w:ascii="Tahoma" w:hAnsi="Tahoma" w:cs="Tahoma"/>
                <w:b/>
                <w:bCs/>
                <w:sz w:val="16"/>
              </w:rPr>
            </w:pPr>
            <w:r w:rsidRPr="002856F3">
              <w:rPr>
                <w:rFonts w:ascii="Tahoma" w:hAnsi="Tahoma" w:cs="Tahoma"/>
                <w:b/>
                <w:bCs/>
                <w:sz w:val="16"/>
              </w:rPr>
              <w:t>MNC</w:t>
            </w:r>
          </w:p>
        </w:tc>
        <w:tc>
          <w:tcPr>
            <w:tcW w:w="360" w:type="dxa"/>
            <w:tcBorders>
              <w:top w:val="single" w:sz="4" w:space="0" w:color="auto"/>
              <w:bottom w:val="single" w:sz="4" w:space="0" w:color="auto"/>
            </w:tcBorders>
            <w:shd w:val="clear" w:color="auto" w:fill="F3F3F3"/>
            <w:vAlign w:val="center"/>
          </w:tcPr>
          <w:p w:rsidR="00D53402" w:rsidRPr="002856F3" w:rsidRDefault="00D53402">
            <w:pPr>
              <w:rPr>
                <w:rFonts w:ascii="Tahoma" w:hAnsi="Tahoma" w:cs="Tahoma"/>
                <w:b/>
                <w:bCs/>
                <w:sz w:val="16"/>
              </w:rPr>
            </w:pPr>
            <w:r w:rsidRPr="002856F3">
              <w:rPr>
                <w:rFonts w:ascii="Tahoma" w:hAnsi="Tahoma" w:cs="Tahoma"/>
                <w:b/>
                <w:bCs/>
                <w:sz w:val="16"/>
              </w:rPr>
              <w:t>SNC</w:t>
            </w:r>
          </w:p>
        </w:tc>
        <w:tc>
          <w:tcPr>
            <w:tcW w:w="9720" w:type="dxa"/>
            <w:tcBorders>
              <w:top w:val="single" w:sz="4" w:space="0" w:color="auto"/>
              <w:bottom w:val="single" w:sz="4" w:space="0" w:color="auto"/>
            </w:tcBorders>
            <w:shd w:val="clear" w:color="auto" w:fill="F3F3F3"/>
            <w:vAlign w:val="center"/>
          </w:tcPr>
          <w:p w:rsidR="00D53402" w:rsidRPr="002856F3" w:rsidRDefault="00D53402">
            <w:pPr>
              <w:tabs>
                <w:tab w:val="center" w:pos="4242"/>
              </w:tabs>
              <w:jc w:val="center"/>
              <w:rPr>
                <w:b/>
                <w:bCs/>
                <w:sz w:val="18"/>
              </w:rPr>
            </w:pPr>
            <w:r w:rsidRPr="002856F3">
              <w:rPr>
                <w:b/>
                <w:bCs/>
                <w:color w:val="993300"/>
              </w:rPr>
              <w:t>B. Specific Conditions:</w:t>
            </w:r>
            <w:r w:rsidRPr="002856F3">
              <w:rPr>
                <w:b/>
                <w:bCs/>
              </w:rPr>
              <w:t xml:space="preserve"> </w:t>
            </w:r>
          </w:p>
        </w:tc>
      </w:tr>
      <w:tr w:rsidR="00D53402" w:rsidRPr="002856F3">
        <w:tc>
          <w:tcPr>
            <w:tcW w:w="360" w:type="dxa"/>
            <w:tcBorders>
              <w:top w:val="single" w:sz="4" w:space="0" w:color="auto"/>
              <w:bottom w:val="single" w:sz="4" w:space="0" w:color="auto"/>
            </w:tcBorders>
            <w:shd w:val="clear" w:color="auto" w:fill="E9FFFF"/>
          </w:tcPr>
          <w:p w:rsidR="00D53402" w:rsidRDefault="00D53402">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lastRenderedPageBreak/>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lastRenderedPageBreak/>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p>
          <w:p w:rsidR="00003809"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p w:rsidR="00003809" w:rsidRDefault="00003809">
            <w:pPr>
              <w:tabs>
                <w:tab w:val="left" w:pos="360"/>
                <w:tab w:val="left" w:pos="720"/>
                <w:tab w:val="left" w:pos="1080"/>
              </w:tabs>
              <w:suppressAutoHyphens/>
              <w:jc w:val="center"/>
              <w:rPr>
                <w:rFonts w:ascii="Tahoma" w:hAnsi="Tahoma" w:cs="Tahoma"/>
                <w:sz w:val="22"/>
              </w:rPr>
            </w:pPr>
          </w:p>
          <w:p w:rsidR="00003809" w:rsidRPr="002856F3" w:rsidRDefault="00003809">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D53402" w:rsidRPr="002856F3" w:rsidRDefault="00D53402">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tcPr>
          <w:p w:rsidR="00D53402" w:rsidRPr="002856F3" w:rsidRDefault="00D53402">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bottom"/>
          </w:tcPr>
          <w:p w:rsidR="00D53402" w:rsidRPr="00FE70E6" w:rsidRDefault="00D53402" w:rsidP="00D53402">
            <w:pPr>
              <w:pStyle w:val="EndnoteText"/>
              <w:suppressAutoHyphens/>
              <w:rPr>
                <w:rFonts w:ascii="Times New Roman" w:hAnsi="Times New Roman"/>
                <w:i/>
                <w:sz w:val="22"/>
                <w:szCs w:val="22"/>
              </w:rPr>
            </w:pPr>
            <w:r w:rsidRPr="00FE70E6">
              <w:rPr>
                <w:rFonts w:ascii="Times New Roman" w:hAnsi="Times New Roman"/>
                <w:i/>
                <w:sz w:val="22"/>
                <w:szCs w:val="22"/>
              </w:rPr>
              <w:t>Inspection note:  there were two permits issued simultaneously (1030150-013-AC &amp; 1030150-014-AO).  The construction permit expires on 12/31/09.  The construction permit was for:</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1.</w:t>
            </w:r>
            <w:r w:rsidRPr="00FE70E6">
              <w:rPr>
                <w:rFonts w:ascii="Times New Roman" w:hAnsi="Times New Roman"/>
                <w:i/>
                <w:sz w:val="22"/>
                <w:szCs w:val="22"/>
              </w:rPr>
              <w:tab/>
              <w:t>Expand the facility by approximately 45,000 square feet, which will include office space, warehousing, additional shipping space, a clean area, a tool room, a grinding room, and an area for a new exempt 150 horsepower steam boiler having a maximum design heat input rate of 6.124  MMBTU/hr.</w:t>
            </w:r>
            <w:r w:rsidR="00A774DE">
              <w:rPr>
                <w:rFonts w:ascii="Times New Roman" w:hAnsi="Times New Roman"/>
                <w:i/>
                <w:sz w:val="22"/>
                <w:szCs w:val="22"/>
              </w:rPr>
              <w:t xml:space="preserve">   </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2.</w:t>
            </w:r>
            <w:r w:rsidRPr="00FE70E6">
              <w:rPr>
                <w:rFonts w:ascii="Times New Roman" w:hAnsi="Times New Roman"/>
                <w:i/>
                <w:sz w:val="22"/>
                <w:szCs w:val="22"/>
              </w:rPr>
              <w:tab/>
              <w:t xml:space="preserve">Add a piece of equipment identified as </w:t>
            </w:r>
            <w:proofErr w:type="gramStart"/>
            <w:r w:rsidRPr="00FE70E6">
              <w:rPr>
                <w:rFonts w:ascii="Times New Roman" w:hAnsi="Times New Roman"/>
                <w:i/>
                <w:sz w:val="22"/>
                <w:szCs w:val="22"/>
              </w:rPr>
              <w:t>an Industrial</w:t>
            </w:r>
            <w:proofErr w:type="gramEnd"/>
            <w:r w:rsidRPr="00FE70E6">
              <w:rPr>
                <w:rFonts w:ascii="Times New Roman" w:hAnsi="Times New Roman"/>
                <w:i/>
                <w:sz w:val="22"/>
                <w:szCs w:val="22"/>
              </w:rPr>
              <w:t xml:space="preserve"> Washing Equipment – ICOS LT-240 that uses water.</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3.</w:t>
            </w:r>
            <w:r w:rsidRPr="00FE70E6">
              <w:rPr>
                <w:rFonts w:ascii="Times New Roman" w:hAnsi="Times New Roman"/>
                <w:i/>
                <w:sz w:val="22"/>
                <w:szCs w:val="22"/>
              </w:rPr>
              <w:tab/>
              <w:t>Add two (2) new pieces of equipment identified as Flip-Off Assembly Machine (HTS-256) and Rubber Lining Assembly Machine – RLR-505 to be located in the new clean room.</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4.</w:t>
            </w:r>
            <w:r w:rsidRPr="00FE70E6">
              <w:rPr>
                <w:rFonts w:ascii="Times New Roman" w:hAnsi="Times New Roman"/>
                <w:i/>
                <w:sz w:val="22"/>
                <w:szCs w:val="22"/>
              </w:rPr>
              <w:tab/>
              <w:t>Re-locate to the new clean room the two (2) existing Flip-Off Assembly Machines (HTS-210, HTS-237), Roll Grove Machine RGR-401, Specialized Automated Packing – PKG-850, and Rubber Assembly Machines – RLR-502, RLR-503, RLR-504, RLR-520, RLR-525, and RLR-530.</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5.</w:t>
            </w:r>
            <w:r w:rsidRPr="00FE70E6">
              <w:rPr>
                <w:rFonts w:ascii="Times New Roman" w:hAnsi="Times New Roman"/>
                <w:i/>
                <w:sz w:val="22"/>
                <w:szCs w:val="22"/>
              </w:rPr>
              <w:tab/>
              <w:t>Install a new exhaust system for alcohol fumes in the new clean room.  The system will include two (2) exhaust fans located on the roof and each fan is rated at 7,000 cubic feet minute.  The fans will exhaust to the atmosphere through a common stack.</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6.</w:t>
            </w:r>
            <w:r w:rsidRPr="00FE70E6">
              <w:rPr>
                <w:rFonts w:ascii="Times New Roman" w:hAnsi="Times New Roman"/>
                <w:i/>
                <w:sz w:val="22"/>
                <w:szCs w:val="22"/>
              </w:rPr>
              <w:tab/>
              <w:t>Install a new Trion Air boss T1001 Electronic Air Cleaner (or equivalent) rated at a maximum usage of 500 cubic feet of natural gas per month, which will be ducted in-line with the existing West Production Blower’s ductwork.</w:t>
            </w:r>
          </w:p>
          <w:p w:rsidR="00D53402" w:rsidRPr="00FE70E6"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7.</w:t>
            </w:r>
            <w:r w:rsidRPr="00FE70E6">
              <w:rPr>
                <w:rFonts w:ascii="Times New Roman" w:hAnsi="Times New Roman"/>
                <w:i/>
                <w:sz w:val="22"/>
                <w:szCs w:val="22"/>
              </w:rPr>
              <w:tab/>
              <w:t xml:space="preserve">Establish the facility’s exempt grinding activities include 5 dry grinders and 3 wet grinders that are </w:t>
            </w:r>
            <w:r w:rsidRPr="00FE70E6">
              <w:rPr>
                <w:rFonts w:ascii="Times New Roman" w:hAnsi="Times New Roman"/>
                <w:i/>
                <w:sz w:val="22"/>
                <w:szCs w:val="22"/>
              </w:rPr>
              <w:lastRenderedPageBreak/>
              <w:t xml:space="preserve">controlled by 2 </w:t>
            </w:r>
            <w:proofErr w:type="spellStart"/>
            <w:r w:rsidRPr="00FE70E6">
              <w:rPr>
                <w:rFonts w:ascii="Times New Roman" w:hAnsi="Times New Roman"/>
                <w:i/>
                <w:sz w:val="22"/>
                <w:szCs w:val="22"/>
              </w:rPr>
              <w:t>baghouses</w:t>
            </w:r>
            <w:proofErr w:type="spellEnd"/>
            <w:r w:rsidRPr="00FE70E6">
              <w:rPr>
                <w:rFonts w:ascii="Times New Roman" w:hAnsi="Times New Roman"/>
                <w:i/>
                <w:sz w:val="22"/>
                <w:szCs w:val="22"/>
              </w:rPr>
              <w:t xml:space="preserve"> that vent inside the chiller room.  The chiller room’s air is then exhausted by a roof mounted fan rated at 3,000 </w:t>
            </w:r>
            <w:proofErr w:type="spellStart"/>
            <w:r w:rsidRPr="00FE70E6">
              <w:rPr>
                <w:rFonts w:ascii="Times New Roman" w:hAnsi="Times New Roman"/>
                <w:i/>
                <w:sz w:val="22"/>
                <w:szCs w:val="22"/>
              </w:rPr>
              <w:t>acfm</w:t>
            </w:r>
            <w:proofErr w:type="spellEnd"/>
            <w:r w:rsidRPr="00FE70E6">
              <w:rPr>
                <w:rFonts w:ascii="Times New Roman" w:hAnsi="Times New Roman"/>
                <w:i/>
                <w:sz w:val="22"/>
                <w:szCs w:val="22"/>
              </w:rPr>
              <w:t>.</w:t>
            </w:r>
          </w:p>
          <w:p w:rsidR="00D53402" w:rsidRDefault="00D53402" w:rsidP="00D53402">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8.</w:t>
            </w:r>
            <w:r w:rsidRPr="00FE70E6">
              <w:rPr>
                <w:rFonts w:ascii="Times New Roman" w:hAnsi="Times New Roman"/>
                <w:i/>
                <w:sz w:val="22"/>
                <w:szCs w:val="22"/>
              </w:rPr>
              <w:tab/>
              <w:t>Establish the facility is not taking any emission reduction credit from any piece of equipment that may reduce potential emissions.</w:t>
            </w:r>
          </w:p>
          <w:p w:rsidR="00A774DE" w:rsidRPr="00FE70E6" w:rsidRDefault="00A774DE" w:rsidP="00D53402">
            <w:pPr>
              <w:pStyle w:val="EndnoteText"/>
              <w:tabs>
                <w:tab w:val="left" w:pos="360"/>
                <w:tab w:val="left" w:pos="720"/>
              </w:tabs>
              <w:suppressAutoHyphens/>
              <w:ind w:left="720" w:hanging="720"/>
              <w:rPr>
                <w:rFonts w:ascii="Times New Roman" w:hAnsi="Times New Roman"/>
                <w:i/>
                <w:sz w:val="22"/>
                <w:szCs w:val="22"/>
              </w:rPr>
            </w:pPr>
          </w:p>
          <w:p w:rsidR="00A774DE" w:rsidRDefault="00A774DE" w:rsidP="00D53402">
            <w:pPr>
              <w:tabs>
                <w:tab w:val="left" w:pos="0"/>
                <w:tab w:val="left" w:pos="7920"/>
              </w:tabs>
              <w:suppressAutoHyphens/>
              <w:rPr>
                <w:i/>
                <w:iCs/>
                <w:sz w:val="22"/>
                <w:szCs w:val="22"/>
              </w:rPr>
            </w:pPr>
            <w:r w:rsidRPr="00FE70E6">
              <w:rPr>
                <w:b/>
                <w:bCs/>
                <w:i/>
                <w:iCs/>
                <w:sz w:val="22"/>
                <w:szCs w:val="22"/>
              </w:rPr>
              <w:t>Comments</w:t>
            </w:r>
            <w:r w:rsidRPr="00FE70E6">
              <w:rPr>
                <w:i/>
                <w:iCs/>
                <w:sz w:val="22"/>
                <w:szCs w:val="22"/>
              </w:rPr>
              <w:t xml:space="preserve">:  </w:t>
            </w:r>
          </w:p>
          <w:p w:rsidR="00A774DE" w:rsidRDefault="00A774DE" w:rsidP="00A774DE">
            <w:pPr>
              <w:pStyle w:val="EndnoteText"/>
              <w:numPr>
                <w:ilvl w:val="0"/>
                <w:numId w:val="16"/>
              </w:numPr>
              <w:tabs>
                <w:tab w:val="left" w:pos="360"/>
                <w:tab w:val="left" w:pos="720"/>
              </w:tabs>
              <w:suppressAutoHyphens/>
              <w:rPr>
                <w:rFonts w:ascii="Times New Roman" w:hAnsi="Times New Roman"/>
                <w:i/>
                <w:sz w:val="22"/>
                <w:szCs w:val="22"/>
              </w:rPr>
            </w:pPr>
            <w:r>
              <w:rPr>
                <w:rFonts w:ascii="Times New Roman" w:hAnsi="Times New Roman"/>
                <w:i/>
                <w:sz w:val="22"/>
                <w:szCs w:val="22"/>
              </w:rPr>
              <w:t xml:space="preserve">The plans for the 45,000 </w:t>
            </w:r>
            <w:r w:rsidRPr="00FE70E6">
              <w:rPr>
                <w:rFonts w:ascii="Times New Roman" w:hAnsi="Times New Roman"/>
                <w:i/>
                <w:sz w:val="22"/>
                <w:szCs w:val="22"/>
              </w:rPr>
              <w:t>square f</w:t>
            </w:r>
            <w:r>
              <w:rPr>
                <w:rFonts w:ascii="Times New Roman" w:hAnsi="Times New Roman"/>
                <w:i/>
                <w:sz w:val="22"/>
                <w:szCs w:val="22"/>
              </w:rPr>
              <w:t>oot expansion for additional warehouse and office space have been scrapped</w:t>
            </w:r>
            <w:r w:rsidR="00CB4483">
              <w:rPr>
                <w:rFonts w:ascii="Times New Roman" w:hAnsi="Times New Roman"/>
                <w:i/>
                <w:sz w:val="22"/>
                <w:szCs w:val="22"/>
              </w:rPr>
              <w:t>, per Mr. York</w:t>
            </w:r>
            <w:r>
              <w:rPr>
                <w:rFonts w:ascii="Times New Roman" w:hAnsi="Times New Roman"/>
                <w:i/>
                <w:sz w:val="22"/>
                <w:szCs w:val="22"/>
              </w:rPr>
              <w:t xml:space="preserve">. </w:t>
            </w:r>
            <w:r w:rsidR="00961DC4">
              <w:rPr>
                <w:rFonts w:ascii="Times New Roman" w:hAnsi="Times New Roman"/>
                <w:i/>
                <w:sz w:val="22"/>
                <w:szCs w:val="22"/>
              </w:rPr>
              <w:t xml:space="preserve"> </w:t>
            </w:r>
            <w:r w:rsidR="00961DC4" w:rsidRPr="008B7D28">
              <w:rPr>
                <w:rFonts w:ascii="Times New Roman" w:hAnsi="Times New Roman"/>
                <w:i/>
                <w:sz w:val="22"/>
                <w:szCs w:val="22"/>
                <w:u w:val="single"/>
              </w:rPr>
              <w:t xml:space="preserve">The </w:t>
            </w:r>
            <w:proofErr w:type="gramStart"/>
            <w:r w:rsidR="00961DC4" w:rsidRPr="008B7D28">
              <w:rPr>
                <w:rFonts w:ascii="Times New Roman" w:hAnsi="Times New Roman"/>
                <w:i/>
                <w:sz w:val="22"/>
                <w:szCs w:val="22"/>
                <w:u w:val="single"/>
              </w:rPr>
              <w:t>addition of a tool room, a grinding room and a new 150 horsepower steam boiler have</w:t>
            </w:r>
            <w:proofErr w:type="gramEnd"/>
            <w:r w:rsidR="00961DC4" w:rsidRPr="008B7D28">
              <w:rPr>
                <w:rFonts w:ascii="Times New Roman" w:hAnsi="Times New Roman"/>
                <w:i/>
                <w:sz w:val="22"/>
                <w:szCs w:val="22"/>
                <w:u w:val="single"/>
              </w:rPr>
              <w:t xml:space="preserve"> also been scrapped.  </w:t>
            </w:r>
            <w:r w:rsidR="00961DC4" w:rsidRPr="00961DC4">
              <w:rPr>
                <w:rFonts w:ascii="Times New Roman" w:hAnsi="Times New Roman"/>
                <w:i/>
                <w:sz w:val="22"/>
                <w:szCs w:val="22"/>
                <w:u w:val="single"/>
              </w:rPr>
              <w:t>However, the new clean room will be constructed in the existing production area.</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2.</w:t>
            </w:r>
            <w:r w:rsidRPr="00FE70E6">
              <w:rPr>
                <w:rFonts w:ascii="Times New Roman" w:hAnsi="Times New Roman"/>
                <w:i/>
                <w:sz w:val="22"/>
                <w:szCs w:val="22"/>
              </w:rPr>
              <w:tab/>
            </w:r>
            <w:r w:rsidR="00961DC4" w:rsidRPr="00961DC4">
              <w:rPr>
                <w:rFonts w:ascii="Times New Roman" w:hAnsi="Times New Roman"/>
                <w:i/>
                <w:sz w:val="22"/>
                <w:szCs w:val="22"/>
                <w:u w:val="single"/>
              </w:rPr>
              <w:t xml:space="preserve">The </w:t>
            </w:r>
            <w:r w:rsidRPr="00961DC4">
              <w:rPr>
                <w:rFonts w:ascii="Times New Roman" w:hAnsi="Times New Roman"/>
                <w:i/>
                <w:sz w:val="22"/>
                <w:szCs w:val="22"/>
                <w:u w:val="single"/>
              </w:rPr>
              <w:t xml:space="preserve">Industrial Washing Equipment – ICOS LT-240 </w:t>
            </w:r>
            <w:r w:rsidR="00961DC4" w:rsidRPr="00961DC4">
              <w:rPr>
                <w:rFonts w:ascii="Times New Roman" w:hAnsi="Times New Roman"/>
                <w:i/>
                <w:sz w:val="22"/>
                <w:szCs w:val="22"/>
                <w:u w:val="single"/>
              </w:rPr>
              <w:t>will not be purchased</w:t>
            </w:r>
            <w:r w:rsidRPr="00FE70E6">
              <w:rPr>
                <w:rFonts w:ascii="Times New Roman" w:hAnsi="Times New Roman"/>
                <w:i/>
                <w:sz w:val="22"/>
                <w:szCs w:val="22"/>
              </w:rPr>
              <w:t>.</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3.</w:t>
            </w:r>
            <w:r w:rsidRPr="00FE70E6">
              <w:rPr>
                <w:rFonts w:ascii="Times New Roman" w:hAnsi="Times New Roman"/>
                <w:i/>
                <w:sz w:val="22"/>
                <w:szCs w:val="22"/>
              </w:rPr>
              <w:tab/>
            </w:r>
            <w:r w:rsidR="00961DC4">
              <w:rPr>
                <w:rFonts w:ascii="Times New Roman" w:hAnsi="Times New Roman"/>
                <w:i/>
                <w:sz w:val="22"/>
                <w:szCs w:val="22"/>
              </w:rPr>
              <w:t>The</w:t>
            </w:r>
            <w:r w:rsidRPr="00FE70E6">
              <w:rPr>
                <w:rFonts w:ascii="Times New Roman" w:hAnsi="Times New Roman"/>
                <w:i/>
                <w:sz w:val="22"/>
                <w:szCs w:val="22"/>
              </w:rPr>
              <w:t xml:space="preserve"> two (2) new pieces of equipment identified as Flip-Off Assembly Machine (HTS-256) and Rubber Lining Assembly Machine – RLR-505 to be located in the new clean room</w:t>
            </w:r>
            <w:r w:rsidR="00961DC4">
              <w:rPr>
                <w:rFonts w:ascii="Times New Roman" w:hAnsi="Times New Roman"/>
                <w:i/>
                <w:sz w:val="22"/>
                <w:szCs w:val="22"/>
              </w:rPr>
              <w:t xml:space="preserve"> </w:t>
            </w:r>
            <w:r w:rsidR="00961DC4" w:rsidRPr="008B7D28">
              <w:rPr>
                <w:rFonts w:ascii="Times New Roman" w:hAnsi="Times New Roman"/>
                <w:i/>
                <w:sz w:val="22"/>
                <w:szCs w:val="22"/>
                <w:u w:val="single"/>
              </w:rPr>
              <w:t>are pending approval of the</w:t>
            </w:r>
            <w:r w:rsidR="00F843FF" w:rsidRPr="008B7D28">
              <w:rPr>
                <w:rFonts w:ascii="Times New Roman" w:hAnsi="Times New Roman"/>
                <w:i/>
                <w:sz w:val="22"/>
                <w:szCs w:val="22"/>
                <w:u w:val="single"/>
              </w:rPr>
              <w:t xml:space="preserve"> respective</w:t>
            </w:r>
            <w:r w:rsidR="00961DC4" w:rsidRPr="008B7D28">
              <w:rPr>
                <w:rFonts w:ascii="Times New Roman" w:hAnsi="Times New Roman"/>
                <w:i/>
                <w:sz w:val="22"/>
                <w:szCs w:val="22"/>
                <w:u w:val="single"/>
              </w:rPr>
              <w:t xml:space="preserve"> Capital Requests</w:t>
            </w:r>
            <w:r w:rsidRPr="00FE70E6">
              <w:rPr>
                <w:rFonts w:ascii="Times New Roman" w:hAnsi="Times New Roman"/>
                <w:i/>
                <w:sz w:val="22"/>
                <w:szCs w:val="22"/>
              </w:rPr>
              <w:t>.</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4.</w:t>
            </w:r>
            <w:r w:rsidRPr="00FE70E6">
              <w:rPr>
                <w:rFonts w:ascii="Times New Roman" w:hAnsi="Times New Roman"/>
                <w:i/>
                <w:sz w:val="22"/>
                <w:szCs w:val="22"/>
              </w:rPr>
              <w:tab/>
              <w:t>Re-locat</w:t>
            </w:r>
            <w:r w:rsidR="0026576E">
              <w:rPr>
                <w:rFonts w:ascii="Times New Roman" w:hAnsi="Times New Roman"/>
                <w:i/>
                <w:sz w:val="22"/>
                <w:szCs w:val="22"/>
              </w:rPr>
              <w:t>ion</w:t>
            </w:r>
            <w:r w:rsidRPr="00FE70E6">
              <w:rPr>
                <w:rFonts w:ascii="Times New Roman" w:hAnsi="Times New Roman"/>
                <w:i/>
                <w:sz w:val="22"/>
                <w:szCs w:val="22"/>
              </w:rPr>
              <w:t xml:space="preserve"> to the new clean room </w:t>
            </w:r>
            <w:r w:rsidR="0026576E">
              <w:rPr>
                <w:rFonts w:ascii="Times New Roman" w:hAnsi="Times New Roman"/>
                <w:i/>
                <w:sz w:val="22"/>
                <w:szCs w:val="22"/>
              </w:rPr>
              <w:t xml:space="preserve">of </w:t>
            </w:r>
            <w:r w:rsidRPr="00FE70E6">
              <w:rPr>
                <w:rFonts w:ascii="Times New Roman" w:hAnsi="Times New Roman"/>
                <w:i/>
                <w:sz w:val="22"/>
                <w:szCs w:val="22"/>
              </w:rPr>
              <w:t>the two (2) existing Flip-Off Assembly Machines (HTS-2</w:t>
            </w:r>
            <w:r w:rsidR="0026576E">
              <w:rPr>
                <w:rFonts w:ascii="Times New Roman" w:hAnsi="Times New Roman"/>
                <w:i/>
                <w:sz w:val="22"/>
                <w:szCs w:val="22"/>
              </w:rPr>
              <w:t>55</w:t>
            </w:r>
            <w:r w:rsidRPr="00FE70E6">
              <w:rPr>
                <w:rFonts w:ascii="Times New Roman" w:hAnsi="Times New Roman"/>
                <w:i/>
                <w:sz w:val="22"/>
                <w:szCs w:val="22"/>
              </w:rPr>
              <w:t xml:space="preserve">, </w:t>
            </w:r>
            <w:r w:rsidR="00F843FF">
              <w:rPr>
                <w:rFonts w:ascii="Times New Roman" w:hAnsi="Times New Roman"/>
                <w:i/>
                <w:sz w:val="22"/>
                <w:szCs w:val="22"/>
              </w:rPr>
              <w:t xml:space="preserve">and </w:t>
            </w:r>
            <w:r w:rsidRPr="00FE70E6">
              <w:rPr>
                <w:rFonts w:ascii="Times New Roman" w:hAnsi="Times New Roman"/>
                <w:i/>
                <w:sz w:val="22"/>
                <w:szCs w:val="22"/>
              </w:rPr>
              <w:t>HTS-237)</w:t>
            </w:r>
            <w:r w:rsidR="00F843FF">
              <w:rPr>
                <w:rFonts w:ascii="Times New Roman" w:hAnsi="Times New Roman"/>
                <w:i/>
                <w:sz w:val="22"/>
                <w:szCs w:val="22"/>
              </w:rPr>
              <w:t xml:space="preserve"> </w:t>
            </w:r>
            <w:r w:rsidR="00F843FF" w:rsidRPr="008B7D28">
              <w:rPr>
                <w:rFonts w:ascii="Times New Roman" w:hAnsi="Times New Roman"/>
                <w:i/>
                <w:sz w:val="22"/>
                <w:szCs w:val="22"/>
                <w:u w:val="single"/>
              </w:rPr>
              <w:t>is in progress</w:t>
            </w:r>
            <w:r w:rsidR="00F843FF">
              <w:rPr>
                <w:rFonts w:ascii="Times New Roman" w:hAnsi="Times New Roman"/>
                <w:i/>
                <w:sz w:val="22"/>
                <w:szCs w:val="22"/>
              </w:rPr>
              <w:t xml:space="preserve">. </w:t>
            </w:r>
            <w:r w:rsidRPr="00FE70E6">
              <w:rPr>
                <w:rFonts w:ascii="Times New Roman" w:hAnsi="Times New Roman"/>
                <w:i/>
                <w:sz w:val="22"/>
                <w:szCs w:val="22"/>
              </w:rPr>
              <w:t xml:space="preserve"> Roll Grove Machine </w:t>
            </w:r>
            <w:r w:rsidRPr="008B7D28">
              <w:rPr>
                <w:rFonts w:ascii="Times New Roman" w:hAnsi="Times New Roman"/>
                <w:i/>
                <w:sz w:val="22"/>
                <w:szCs w:val="22"/>
                <w:u w:val="single"/>
              </w:rPr>
              <w:t>RGR-401</w:t>
            </w:r>
            <w:r w:rsidR="00F843FF" w:rsidRPr="008B7D28">
              <w:rPr>
                <w:rFonts w:ascii="Times New Roman" w:hAnsi="Times New Roman"/>
                <w:i/>
                <w:sz w:val="22"/>
                <w:szCs w:val="22"/>
                <w:u w:val="single"/>
              </w:rPr>
              <w:t xml:space="preserve"> has been removed from the premises</w:t>
            </w:r>
            <w:r w:rsidR="00F843FF">
              <w:rPr>
                <w:rFonts w:ascii="Times New Roman" w:hAnsi="Times New Roman"/>
                <w:i/>
                <w:sz w:val="22"/>
                <w:szCs w:val="22"/>
              </w:rPr>
              <w:t>.</w:t>
            </w:r>
            <w:r w:rsidRPr="00FE70E6">
              <w:rPr>
                <w:rFonts w:ascii="Times New Roman" w:hAnsi="Times New Roman"/>
                <w:i/>
                <w:sz w:val="22"/>
                <w:szCs w:val="22"/>
              </w:rPr>
              <w:t xml:space="preserve"> Specialized Automated Packing – PKG-850</w:t>
            </w:r>
            <w:r w:rsidR="00F843FF">
              <w:rPr>
                <w:rFonts w:ascii="Times New Roman" w:hAnsi="Times New Roman"/>
                <w:i/>
                <w:sz w:val="22"/>
                <w:szCs w:val="22"/>
              </w:rPr>
              <w:t xml:space="preserve"> is there. </w:t>
            </w:r>
            <w:r w:rsidRPr="00FE70E6">
              <w:rPr>
                <w:rFonts w:ascii="Times New Roman" w:hAnsi="Times New Roman"/>
                <w:i/>
                <w:sz w:val="22"/>
                <w:szCs w:val="22"/>
              </w:rPr>
              <w:t xml:space="preserve"> </w:t>
            </w:r>
            <w:r w:rsidRPr="008B7D28">
              <w:rPr>
                <w:rFonts w:ascii="Times New Roman" w:hAnsi="Times New Roman"/>
                <w:i/>
                <w:sz w:val="22"/>
                <w:szCs w:val="22"/>
                <w:u w:val="single"/>
              </w:rPr>
              <w:t>Rubber Assembly Machines – RLR-502, RLR-503, RLR-504, RLR-520, RLR-525, and RLR-530</w:t>
            </w:r>
            <w:r w:rsidR="00F843FF" w:rsidRPr="008B7D28">
              <w:rPr>
                <w:rFonts w:ascii="Times New Roman" w:hAnsi="Times New Roman"/>
                <w:i/>
                <w:sz w:val="22"/>
                <w:szCs w:val="22"/>
                <w:u w:val="single"/>
              </w:rPr>
              <w:t xml:space="preserve"> have also been removed from the premises.</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5.</w:t>
            </w:r>
            <w:r w:rsidRPr="00FE70E6">
              <w:rPr>
                <w:rFonts w:ascii="Times New Roman" w:hAnsi="Times New Roman"/>
                <w:i/>
                <w:sz w:val="22"/>
                <w:szCs w:val="22"/>
              </w:rPr>
              <w:tab/>
              <w:t>Install a new exhaust system for alcohol fumes in the new clean room.  The system will include two (2) exhaust fans located on the roof and each fan is rated at 7,000 cubic feet minute.  The fans will exhaust to the atmosphere through a common stack.</w:t>
            </w:r>
            <w:r w:rsidR="00F843FF">
              <w:rPr>
                <w:rFonts w:ascii="Times New Roman" w:hAnsi="Times New Roman"/>
                <w:i/>
                <w:sz w:val="22"/>
                <w:szCs w:val="22"/>
              </w:rPr>
              <w:t xml:space="preserve"> Th</w:t>
            </w:r>
            <w:r w:rsidR="00BB3AC7">
              <w:rPr>
                <w:rFonts w:ascii="Times New Roman" w:hAnsi="Times New Roman"/>
                <w:i/>
                <w:sz w:val="22"/>
                <w:szCs w:val="22"/>
              </w:rPr>
              <w:t>is</w:t>
            </w:r>
            <w:r w:rsidR="00F843FF">
              <w:rPr>
                <w:rFonts w:ascii="Times New Roman" w:hAnsi="Times New Roman"/>
                <w:i/>
                <w:sz w:val="22"/>
                <w:szCs w:val="22"/>
              </w:rPr>
              <w:t xml:space="preserve"> new exhaust system for </w:t>
            </w:r>
            <w:r w:rsidR="00F843FF" w:rsidRPr="008B7D28">
              <w:rPr>
                <w:rFonts w:ascii="Times New Roman" w:hAnsi="Times New Roman"/>
                <w:i/>
                <w:sz w:val="22"/>
                <w:szCs w:val="22"/>
                <w:u w:val="single"/>
              </w:rPr>
              <w:t>the new Clean Room is still planned.</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6.</w:t>
            </w:r>
            <w:r w:rsidRPr="00FE70E6">
              <w:rPr>
                <w:rFonts w:ascii="Times New Roman" w:hAnsi="Times New Roman"/>
                <w:i/>
                <w:sz w:val="22"/>
                <w:szCs w:val="22"/>
              </w:rPr>
              <w:tab/>
            </w:r>
            <w:r w:rsidR="00F843FF">
              <w:rPr>
                <w:rFonts w:ascii="Times New Roman" w:hAnsi="Times New Roman"/>
                <w:i/>
                <w:sz w:val="22"/>
                <w:szCs w:val="22"/>
              </w:rPr>
              <w:t>The</w:t>
            </w:r>
            <w:r w:rsidRPr="00FE70E6">
              <w:rPr>
                <w:rFonts w:ascii="Times New Roman" w:hAnsi="Times New Roman"/>
                <w:i/>
                <w:sz w:val="22"/>
                <w:szCs w:val="22"/>
              </w:rPr>
              <w:t xml:space="preserve"> new Trion Air boss T1001 Electronic Air Cleaner rated at a maximum usage of 500 cubic feet of natural gas per month, ducted in-line with the existing West Production Blower’s ductwork</w:t>
            </w:r>
            <w:r w:rsidR="008B7D28">
              <w:rPr>
                <w:rFonts w:ascii="Times New Roman" w:hAnsi="Times New Roman"/>
                <w:i/>
                <w:sz w:val="22"/>
                <w:szCs w:val="22"/>
              </w:rPr>
              <w:t xml:space="preserve"> </w:t>
            </w:r>
            <w:r w:rsidR="008B7D28" w:rsidRPr="008B7D28">
              <w:rPr>
                <w:rFonts w:ascii="Times New Roman" w:hAnsi="Times New Roman"/>
                <w:i/>
                <w:sz w:val="22"/>
                <w:szCs w:val="22"/>
                <w:u w:val="single"/>
              </w:rPr>
              <w:t>has been installed</w:t>
            </w:r>
            <w:r w:rsidRPr="00FE70E6">
              <w:rPr>
                <w:rFonts w:ascii="Times New Roman" w:hAnsi="Times New Roman"/>
                <w:i/>
                <w:sz w:val="22"/>
                <w:szCs w:val="22"/>
              </w:rPr>
              <w:t>.</w:t>
            </w:r>
          </w:p>
          <w:p w:rsidR="00A774DE" w:rsidRPr="00FE70E6"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7.</w:t>
            </w:r>
            <w:r w:rsidRPr="00FE70E6">
              <w:rPr>
                <w:rFonts w:ascii="Times New Roman" w:hAnsi="Times New Roman"/>
                <w:i/>
                <w:sz w:val="22"/>
                <w:szCs w:val="22"/>
              </w:rPr>
              <w:tab/>
              <w:t xml:space="preserve">Establish the facility’s exempt grinding activities include 5 dry grinders and 3 wet grinders that are controlled by 2 </w:t>
            </w:r>
            <w:proofErr w:type="spellStart"/>
            <w:r w:rsidRPr="00FE70E6">
              <w:rPr>
                <w:rFonts w:ascii="Times New Roman" w:hAnsi="Times New Roman"/>
                <w:i/>
                <w:sz w:val="22"/>
                <w:szCs w:val="22"/>
              </w:rPr>
              <w:t>baghouses</w:t>
            </w:r>
            <w:proofErr w:type="spellEnd"/>
            <w:r w:rsidRPr="00FE70E6">
              <w:rPr>
                <w:rFonts w:ascii="Times New Roman" w:hAnsi="Times New Roman"/>
                <w:i/>
                <w:sz w:val="22"/>
                <w:szCs w:val="22"/>
              </w:rPr>
              <w:t xml:space="preserve"> that vent inside the chiller room.  The chiller room’s air is then exhausted by a roof mounted fan rated at 3,000 </w:t>
            </w:r>
            <w:proofErr w:type="spellStart"/>
            <w:r w:rsidRPr="00FE70E6">
              <w:rPr>
                <w:rFonts w:ascii="Times New Roman" w:hAnsi="Times New Roman"/>
                <w:i/>
                <w:sz w:val="22"/>
                <w:szCs w:val="22"/>
              </w:rPr>
              <w:t>acfm</w:t>
            </w:r>
            <w:proofErr w:type="spellEnd"/>
            <w:r w:rsidRPr="00FE70E6">
              <w:rPr>
                <w:rFonts w:ascii="Times New Roman" w:hAnsi="Times New Roman"/>
                <w:i/>
                <w:sz w:val="22"/>
                <w:szCs w:val="22"/>
              </w:rPr>
              <w:t>.</w:t>
            </w:r>
          </w:p>
          <w:p w:rsidR="00A774DE" w:rsidRDefault="00A774DE" w:rsidP="00A774DE">
            <w:pPr>
              <w:pStyle w:val="EndnoteText"/>
              <w:tabs>
                <w:tab w:val="left" w:pos="360"/>
                <w:tab w:val="left" w:pos="720"/>
              </w:tabs>
              <w:suppressAutoHyphens/>
              <w:ind w:left="720" w:hanging="720"/>
              <w:rPr>
                <w:rFonts w:ascii="Times New Roman" w:hAnsi="Times New Roman"/>
                <w:i/>
                <w:sz w:val="22"/>
                <w:szCs w:val="22"/>
              </w:rPr>
            </w:pPr>
            <w:r w:rsidRPr="00FE70E6">
              <w:rPr>
                <w:rFonts w:ascii="Times New Roman" w:hAnsi="Times New Roman"/>
                <w:i/>
                <w:sz w:val="22"/>
                <w:szCs w:val="22"/>
              </w:rPr>
              <w:tab/>
              <w:t>8.</w:t>
            </w:r>
            <w:r w:rsidRPr="00FE70E6">
              <w:rPr>
                <w:rFonts w:ascii="Times New Roman" w:hAnsi="Times New Roman"/>
                <w:i/>
                <w:sz w:val="22"/>
                <w:szCs w:val="22"/>
              </w:rPr>
              <w:tab/>
              <w:t>Establish the facility is not taking any emission reduction credit from any piece of equipment that may reduce potential emissions.</w:t>
            </w:r>
            <w:r w:rsidR="008B7D28">
              <w:rPr>
                <w:rFonts w:ascii="Times New Roman" w:hAnsi="Times New Roman"/>
                <w:i/>
                <w:sz w:val="22"/>
                <w:szCs w:val="22"/>
              </w:rPr>
              <w:t xml:space="preserve">  </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576"/>
                <w:tab w:val="left" w:pos="1296"/>
                <w:tab w:val="left" w:pos="4464"/>
                <w:tab w:val="left" w:pos="7056"/>
                <w:tab w:val="right" w:pos="8496"/>
              </w:tabs>
              <w:spacing w:line="240" w:lineRule="exact"/>
              <w:rPr>
                <w:sz w:val="22"/>
                <w:szCs w:val="22"/>
              </w:rPr>
            </w:pPr>
            <w:r w:rsidRPr="00FE70E6">
              <w:rPr>
                <w:sz w:val="22"/>
                <w:szCs w:val="22"/>
              </w:rPr>
              <w:t xml:space="preserve">This permit or a copy thereof shall be kept at the work site of the permitted activity.  </w:t>
            </w:r>
          </w:p>
          <w:p w:rsidR="00D53402" w:rsidRPr="00FE70E6" w:rsidRDefault="00D53402" w:rsidP="00D53402">
            <w:pPr>
              <w:tabs>
                <w:tab w:val="left" w:pos="576"/>
                <w:tab w:val="left" w:pos="1296"/>
                <w:tab w:val="left" w:pos="4464"/>
                <w:tab w:val="left" w:pos="7056"/>
                <w:tab w:val="right" w:pos="8496"/>
              </w:tabs>
              <w:spacing w:line="240" w:lineRule="exact"/>
              <w:rPr>
                <w:sz w:val="22"/>
                <w:szCs w:val="22"/>
              </w:rPr>
            </w:pPr>
            <w:r w:rsidRPr="00FE70E6">
              <w:rPr>
                <w:sz w:val="22"/>
                <w:szCs w:val="22"/>
              </w:rPr>
              <w:t>[62-4.160 F.A.C. - General Condition 12.]</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The facility  </w:t>
            </w:r>
            <w:r w:rsidR="00A83C7A">
              <w:rPr>
                <w:rFonts w:eastAsia="MS Mincho"/>
                <w:i/>
                <w:iCs/>
                <w:sz w:val="22"/>
                <w:szCs w:val="22"/>
              </w:rPr>
              <w:fldChar w:fldCharType="begin">
                <w:ffData>
                  <w:name w:val=""/>
                  <w:enabled/>
                  <w:calcOnExit w:val="0"/>
                  <w:checkBox>
                    <w:sizeAuto/>
                    <w:default w:val="1"/>
                  </w:checkBox>
                </w:ffData>
              </w:fldChar>
            </w:r>
            <w:r w:rsidR="00A83C7A">
              <w:rPr>
                <w:rFonts w:eastAsia="MS Mincho"/>
                <w:i/>
                <w:iCs/>
                <w:sz w:val="22"/>
                <w:szCs w:val="22"/>
              </w:rPr>
              <w:instrText xml:space="preserve"> FORMCHECKBOX </w:instrText>
            </w:r>
            <w:r w:rsidR="00A83C7A">
              <w:rPr>
                <w:rFonts w:eastAsia="MS Mincho"/>
                <w:i/>
                <w:iCs/>
                <w:sz w:val="22"/>
                <w:szCs w:val="22"/>
              </w:rPr>
            </w:r>
            <w:r w:rsidR="00A83C7A">
              <w:rPr>
                <w:rFonts w:eastAsia="MS Mincho"/>
                <w:i/>
                <w:iCs/>
                <w:sz w:val="22"/>
                <w:szCs w:val="22"/>
              </w:rPr>
              <w:fldChar w:fldCharType="end"/>
            </w:r>
            <w:r w:rsidRPr="00FE70E6">
              <w:rPr>
                <w:rFonts w:eastAsia="MS Mincho"/>
                <w:i/>
                <w:iCs/>
                <w:sz w:val="22"/>
                <w:szCs w:val="22"/>
              </w:rPr>
              <w:t xml:space="preserve"> did</w:t>
            </w:r>
            <w:r w:rsidRPr="00FE70E6">
              <w:rPr>
                <w:i/>
                <w:iCs/>
                <w:sz w:val="22"/>
                <w:szCs w:val="22"/>
              </w:rPr>
              <w:t xml:space="preserve"> have a copy of the permit on-site.</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4.</w:t>
            </w:r>
            <w:r w:rsidRPr="00FE70E6">
              <w:rPr>
                <w:sz w:val="22"/>
                <w:szCs w:val="22"/>
              </w:rPr>
              <w:tab/>
              <w:t xml:space="preserve">The total maximum allowable VOC emissions from this facility shall not exceed 78.0 tons per </w:t>
            </w:r>
            <w:r w:rsidRPr="00FE70E6">
              <w:rPr>
                <w:spacing w:val="-3"/>
                <w:sz w:val="22"/>
                <w:szCs w:val="22"/>
              </w:rPr>
              <w:t xml:space="preserve">any consecutive 12-month period.  </w:t>
            </w:r>
            <w:r w:rsidRPr="00FE70E6">
              <w:rPr>
                <w:sz w:val="22"/>
                <w:szCs w:val="22"/>
              </w:rPr>
              <w:t>[Construction Permit 1030150-009-AC]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9E4ED1">
              <w:rPr>
                <w:i/>
                <w:iCs/>
                <w:sz w:val="22"/>
                <w:szCs w:val="22"/>
              </w:rPr>
              <w:t xml:space="preserve">The running cumulative 12 month </w:t>
            </w:r>
            <w:proofErr w:type="gramStart"/>
            <w:r w:rsidR="009E4ED1">
              <w:rPr>
                <w:i/>
                <w:iCs/>
                <w:sz w:val="22"/>
                <w:szCs w:val="22"/>
              </w:rPr>
              <w:t>total VOC emissions at the end of the month of April 2011 was</w:t>
            </w:r>
            <w:proofErr w:type="gramEnd"/>
            <w:r w:rsidR="009E4ED1">
              <w:rPr>
                <w:i/>
                <w:iCs/>
                <w:sz w:val="22"/>
                <w:szCs w:val="22"/>
              </w:rPr>
              <w:t xml:space="preserve"> 50.93 tons.</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5.</w:t>
            </w:r>
            <w:r w:rsidRPr="00FE70E6">
              <w:rPr>
                <w:sz w:val="22"/>
                <w:szCs w:val="22"/>
              </w:rPr>
              <w:tab/>
              <w:t xml:space="preserve">The only hazardous air pollutants (HAPs) that are used at this facility are xylenes and toluene diisocyanate, which are only contained in the VD Thinner and BH Hardner used in the ink station and printing processes.  The VD Thinner contains approximately 4% of xylenes.  The BH Hardner contains approximately 16% of xylenes and 0.5% of toluene diisocyanate.  No other HAP-containing material shall be used.  The combined maximum usage of VD Thinner, BH hardener and other insignificant sources (ink, Tekusolv, and Dibasic Ester) shall not exceed five (5) tons per any consecutive 12-month period.  </w:t>
            </w:r>
          </w:p>
          <w:p w:rsidR="00D53402" w:rsidRPr="00FE70E6" w:rsidRDefault="00D53402" w:rsidP="00D53402">
            <w:pPr>
              <w:suppressAutoHyphens/>
              <w:ind w:left="360"/>
              <w:rPr>
                <w:sz w:val="22"/>
                <w:szCs w:val="22"/>
              </w:rPr>
            </w:pPr>
            <w:r w:rsidRPr="00FE70E6">
              <w:rPr>
                <w:sz w:val="22"/>
                <w:szCs w:val="22"/>
              </w:rPr>
              <w:t>[Rule 62-210.200, F.A.C., Definitions – Potential to Emit; Construction Permit 1030150-009-AC]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lastRenderedPageBreak/>
              <w:t>Comments</w:t>
            </w:r>
            <w:r w:rsidRPr="00FE70E6">
              <w:rPr>
                <w:i/>
                <w:iCs/>
                <w:sz w:val="22"/>
                <w:szCs w:val="22"/>
              </w:rPr>
              <w:t xml:space="preserve">:  </w:t>
            </w:r>
            <w:r w:rsidR="009E4ED1">
              <w:rPr>
                <w:i/>
                <w:iCs/>
                <w:sz w:val="22"/>
                <w:szCs w:val="22"/>
              </w:rPr>
              <w:t>The combined running cumulative total usage of BH Hardner and VD Thinner was 0.0105 tons at the end of the month of May 2011.</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6.</w:t>
            </w:r>
            <w:r w:rsidRPr="00FE70E6">
              <w:rPr>
                <w:sz w:val="22"/>
                <w:szCs w:val="22"/>
              </w:rPr>
              <w:tab/>
              <w:t xml:space="preserve">The 5-gal. equipment parts cleaning tank shall comply with the applicable VOC RACT requirements of Rule 62-296.511, F.A.C. - Solvent Metal Cleaning: </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A.</w:t>
            </w:r>
            <w:r w:rsidRPr="00FE70E6">
              <w:rPr>
                <w:sz w:val="22"/>
                <w:szCs w:val="22"/>
              </w:rPr>
              <w:tab/>
              <w:t>Equip the cleaner with a cover. The cover shall be so designed that it can be easily operated with one hand if:</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1.</w:t>
            </w:r>
            <w:r w:rsidRPr="00FE70E6">
              <w:rPr>
                <w:sz w:val="22"/>
                <w:szCs w:val="22"/>
              </w:rPr>
              <w:tab/>
              <w:t>The solvent volatility is greater than 0.3 pounds per square inch (15 millimeters of mercury or 2 kilopascals) measured at 100 degrees Fahrenheit (38 degrees Celsius);</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2.</w:t>
            </w:r>
            <w:r w:rsidRPr="00FE70E6">
              <w:rPr>
                <w:sz w:val="22"/>
                <w:szCs w:val="22"/>
              </w:rPr>
              <w:tab/>
              <w:t>The solvent is agitated;</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3.</w:t>
            </w:r>
            <w:r w:rsidRPr="00FE70E6">
              <w:rPr>
                <w:sz w:val="22"/>
                <w:szCs w:val="22"/>
              </w:rPr>
              <w:tab/>
              <w:t>The solvent is heated.</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B.</w:t>
            </w:r>
            <w:r w:rsidRPr="00FE70E6">
              <w:rPr>
                <w:sz w:val="22"/>
                <w:szCs w:val="22"/>
              </w:rPr>
              <w:tab/>
              <w:t>Equip the cleaner with a facility for draining cleaned parts. The drainage facility shall be constructed internally so that parts are enclosed under the cover while draining if the solvent volatility is greater than 0.6 pounds per square inch (31 millimeters of mercury or 4.1 kilopascals) measured at 100 degrees Fahrenheit (38 degrees Celsius), except that the drainage facility may be external for the applications where an internal type cannot fit into the cleaning system.</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C.</w:t>
            </w:r>
            <w:r w:rsidRPr="00FE70E6">
              <w:rPr>
                <w:sz w:val="22"/>
                <w:szCs w:val="22"/>
              </w:rPr>
              <w:tab/>
              <w:t>Install one of the following control devices if the solvent volatility is greater than 0.6 pounds per square inch (31 millimeters of mercury or 4.1 kilopascals) measured at 100 degrees Fahrenheit (38 degrees Celsius), or if the solvent is heated above 120 degrees Fahrenheit (50 degrees Celsius):</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1.</w:t>
            </w:r>
            <w:r w:rsidRPr="00FE70E6">
              <w:rPr>
                <w:sz w:val="22"/>
                <w:szCs w:val="22"/>
              </w:rPr>
              <w:tab/>
              <w:t>Freeboard that gives a freeboard ratio greater than or equal to 0.7; or,</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2.</w:t>
            </w:r>
            <w:r w:rsidRPr="00FE70E6">
              <w:rPr>
                <w:sz w:val="22"/>
                <w:szCs w:val="22"/>
              </w:rPr>
              <w:tab/>
              <w:t>Water cover (solvent must be insoluble in and heavier than water); or,</w:t>
            </w:r>
          </w:p>
          <w:p w:rsidR="00D53402" w:rsidRPr="00FE70E6" w:rsidRDefault="00D53402" w:rsidP="00D53402">
            <w:pPr>
              <w:tabs>
                <w:tab w:val="left" w:pos="720"/>
                <w:tab w:val="left" w:pos="1080"/>
              </w:tabs>
              <w:autoSpaceDE w:val="0"/>
              <w:autoSpaceDN w:val="0"/>
              <w:adjustRightInd w:val="0"/>
              <w:ind w:left="1080" w:hanging="1080"/>
              <w:rPr>
                <w:sz w:val="22"/>
                <w:szCs w:val="22"/>
              </w:rPr>
            </w:pPr>
            <w:r w:rsidRPr="00FE70E6">
              <w:rPr>
                <w:sz w:val="22"/>
                <w:szCs w:val="22"/>
              </w:rPr>
              <w:tab/>
              <w:t>3.</w:t>
            </w:r>
            <w:r w:rsidRPr="00FE70E6">
              <w:rPr>
                <w:sz w:val="22"/>
                <w:szCs w:val="22"/>
              </w:rPr>
              <w:tab/>
              <w:t>Other systems of equivalent control such as refrigerated chiller or carbon absorption.</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D.</w:t>
            </w:r>
            <w:r w:rsidRPr="00FE70E6">
              <w:rPr>
                <w:sz w:val="22"/>
                <w:szCs w:val="22"/>
              </w:rPr>
              <w:tab/>
              <w:t>Provide a permanent, conspicuous label summarizing the operating requirements.</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E.</w:t>
            </w:r>
            <w:r w:rsidRPr="00FE70E6">
              <w:rPr>
                <w:sz w:val="22"/>
                <w:szCs w:val="22"/>
              </w:rPr>
              <w:tab/>
              <w:t>Store waste solvent only in covered containers and not dispose of waste solvent or transfer it to another party, such that greater than 20 percent of the waste solvent (by weight) can evaporate into the atmosphere.</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F.</w:t>
            </w:r>
            <w:r w:rsidRPr="00FE70E6">
              <w:rPr>
                <w:sz w:val="22"/>
                <w:szCs w:val="22"/>
              </w:rPr>
              <w:tab/>
              <w:t>Close the cover whenever parts are not being handled in the cleaner.</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G.</w:t>
            </w:r>
            <w:r w:rsidRPr="00FE70E6">
              <w:rPr>
                <w:sz w:val="22"/>
                <w:szCs w:val="22"/>
              </w:rPr>
              <w:tab/>
              <w:t>Drain the cleaned parts for at least 15 seconds or until dripping ceases.</w:t>
            </w:r>
          </w:p>
          <w:p w:rsidR="00D53402" w:rsidRPr="00FE70E6" w:rsidRDefault="00D53402" w:rsidP="00D53402">
            <w:pPr>
              <w:tabs>
                <w:tab w:val="left" w:pos="360"/>
                <w:tab w:val="left" w:pos="720"/>
              </w:tabs>
              <w:autoSpaceDE w:val="0"/>
              <w:autoSpaceDN w:val="0"/>
              <w:adjustRightInd w:val="0"/>
              <w:ind w:left="720" w:hanging="720"/>
              <w:rPr>
                <w:sz w:val="22"/>
                <w:szCs w:val="22"/>
              </w:rPr>
            </w:pPr>
            <w:r w:rsidRPr="00FE70E6">
              <w:rPr>
                <w:sz w:val="22"/>
                <w:szCs w:val="22"/>
              </w:rPr>
              <w:tab/>
              <w:t>H.</w:t>
            </w:r>
            <w:r w:rsidRPr="00FE70E6">
              <w:rPr>
                <w:sz w:val="22"/>
                <w:szCs w:val="22"/>
              </w:rPr>
              <w:tab/>
              <w:t>If used, supply a solvent spray that is a solid fluid stream (not a fine, atomized, or shower-type spray) at a pressure which does not cause excessive splashing.</w:t>
            </w:r>
          </w:p>
          <w:p w:rsidR="00D53402" w:rsidRPr="00FE70E6" w:rsidRDefault="00D53402" w:rsidP="00D53402">
            <w:pPr>
              <w:suppressAutoHyphens/>
              <w:ind w:left="360"/>
              <w:rPr>
                <w:sz w:val="22"/>
                <w:szCs w:val="22"/>
              </w:rPr>
            </w:pPr>
            <w:r w:rsidRPr="00FE70E6">
              <w:rPr>
                <w:sz w:val="22"/>
                <w:szCs w:val="22"/>
              </w:rPr>
              <w:t xml:space="preserve"> [Rule 62-296.511(2), F.A.C]</w:t>
            </w:r>
          </w:p>
          <w:p w:rsidR="00D53402" w:rsidRPr="00FE70E6" w:rsidRDefault="00D53402" w:rsidP="00D53402">
            <w:pPr>
              <w:tabs>
                <w:tab w:val="left" w:pos="0"/>
                <w:tab w:val="left" w:pos="1440"/>
                <w:tab w:val="left" w:pos="8640"/>
              </w:tabs>
              <w:suppressAutoHyphens/>
              <w:rPr>
                <w:i/>
                <w:iCs/>
                <w:sz w:val="22"/>
                <w:szCs w:val="22"/>
                <w:u w:val="single"/>
              </w:rPr>
            </w:pPr>
          </w:p>
          <w:p w:rsidR="0080230E" w:rsidRPr="00864D6F" w:rsidRDefault="00D53402" w:rsidP="0080230E">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80230E">
              <w:rPr>
                <w:i/>
                <w:iCs/>
                <w:sz w:val="22"/>
                <w:szCs w:val="22"/>
              </w:rPr>
              <w:t>The parts washer now uses an aqueous solution with no VOCs or HAPS.</w:t>
            </w:r>
            <w:r w:rsidR="0080230E" w:rsidRPr="00864D6F">
              <w:rPr>
                <w:i/>
                <w:iCs/>
                <w:sz w:val="22"/>
                <w:szCs w:val="22"/>
              </w:rPr>
              <w:t xml:space="preserve"> </w:t>
            </w:r>
            <w:r w:rsidR="0080230E">
              <w:rPr>
                <w:i/>
                <w:iCs/>
                <w:sz w:val="22"/>
                <w:szCs w:val="22"/>
              </w:rPr>
              <w:t xml:space="preserve">The parts cleaner and the parts washer can be operated with one hand.  The parts are drained on an internal rack while the lid is closed. The solvent throughput is in a closed loop and not exposed while being handled. </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7.</w:t>
            </w:r>
            <w:r w:rsidRPr="00FE70E6">
              <w:rPr>
                <w:sz w:val="22"/>
                <w:szCs w:val="22"/>
              </w:rPr>
              <w:tab/>
              <w:t xml:space="preserve">Regarding the three (3) blowers and the clean room’s exhaust system, there shall be no device which reduces the momentum of the exhaust gas or reduces the dispersion of the exhaust gas.  </w:t>
            </w:r>
          </w:p>
          <w:p w:rsidR="00D53402" w:rsidRPr="00FE70E6" w:rsidRDefault="00D53402" w:rsidP="00D53402">
            <w:pPr>
              <w:suppressAutoHyphens/>
              <w:ind w:firstLine="360"/>
              <w:rPr>
                <w:sz w:val="22"/>
                <w:szCs w:val="22"/>
              </w:rPr>
            </w:pPr>
            <w:r w:rsidRPr="00FE70E6">
              <w:rPr>
                <w:sz w:val="22"/>
                <w:szCs w:val="22"/>
              </w:rPr>
              <w:t>[Rule 62-4.070(3), F.A.C.]</w:t>
            </w:r>
          </w:p>
          <w:p w:rsidR="00D53402" w:rsidRPr="00FE70E6" w:rsidRDefault="00D53402" w:rsidP="00D53402">
            <w:pPr>
              <w:tabs>
                <w:tab w:val="left" w:pos="0"/>
                <w:tab w:val="left" w:pos="1440"/>
                <w:tab w:val="left" w:pos="8640"/>
              </w:tabs>
              <w:suppressAutoHyphens/>
              <w:rPr>
                <w:i/>
                <w:iCs/>
                <w:sz w:val="22"/>
                <w:szCs w:val="22"/>
                <w:u w:val="single"/>
              </w:rPr>
            </w:pPr>
          </w:p>
          <w:p w:rsidR="00202D64" w:rsidRPr="00864D6F" w:rsidRDefault="00D53402" w:rsidP="00202D64">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202D64">
              <w:rPr>
                <w:i/>
                <w:iCs/>
                <w:sz w:val="22"/>
                <w:szCs w:val="22"/>
              </w:rPr>
              <w:t>There were no devices that appeared to reduce the momentum of the exhaust gases.</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8.</w:t>
            </w:r>
            <w:r w:rsidRPr="00FE70E6">
              <w:rPr>
                <w:sz w:val="22"/>
                <w:szCs w:val="22"/>
              </w:rPr>
              <w:tab/>
              <w:t>The equipment described in the facility description of these permits may be relocated in accordance with the following:</w:t>
            </w:r>
          </w:p>
          <w:p w:rsidR="00D53402" w:rsidRPr="00FE70E6" w:rsidRDefault="00D53402" w:rsidP="00D53402">
            <w:pPr>
              <w:pStyle w:val="BodyTextIndent2"/>
              <w:tabs>
                <w:tab w:val="left" w:pos="360"/>
                <w:tab w:val="left" w:pos="720"/>
              </w:tabs>
              <w:ind w:hanging="720"/>
              <w:rPr>
                <w:sz w:val="22"/>
                <w:szCs w:val="22"/>
              </w:rPr>
            </w:pPr>
            <w:r w:rsidRPr="00FE70E6">
              <w:rPr>
                <w:sz w:val="22"/>
                <w:szCs w:val="22"/>
              </w:rPr>
              <w:tab/>
              <w:t>A.</w:t>
            </w:r>
            <w:r w:rsidRPr="00FE70E6">
              <w:rPr>
                <w:sz w:val="22"/>
                <w:szCs w:val="22"/>
              </w:rPr>
              <w:tab/>
              <w:t xml:space="preserve">Within 15 days of relocating the equipment, the permittee shall revise the diagram dated May 23, 2008 (revised June 30, 2008), attached to the </w:t>
            </w:r>
            <w:proofErr w:type="spellStart"/>
            <w:r w:rsidRPr="00FE70E6">
              <w:rPr>
                <w:sz w:val="22"/>
                <w:szCs w:val="22"/>
              </w:rPr>
              <w:t>permittee’s</w:t>
            </w:r>
            <w:proofErr w:type="spellEnd"/>
            <w:r w:rsidRPr="00FE70E6">
              <w:rPr>
                <w:sz w:val="22"/>
                <w:szCs w:val="22"/>
              </w:rPr>
              <w:t xml:space="preserve"> letter June 30, 2008.</w:t>
            </w:r>
          </w:p>
          <w:p w:rsidR="00D53402" w:rsidRPr="00FE70E6" w:rsidRDefault="00D53402" w:rsidP="00D53402">
            <w:pPr>
              <w:pStyle w:val="BodyTextIndent2"/>
              <w:tabs>
                <w:tab w:val="left" w:pos="360"/>
                <w:tab w:val="left" w:pos="720"/>
              </w:tabs>
              <w:ind w:hanging="720"/>
              <w:rPr>
                <w:sz w:val="22"/>
                <w:szCs w:val="22"/>
              </w:rPr>
            </w:pPr>
            <w:r w:rsidRPr="00FE70E6">
              <w:rPr>
                <w:sz w:val="22"/>
                <w:szCs w:val="22"/>
              </w:rPr>
              <w:tab/>
              <w:t>B.</w:t>
            </w:r>
            <w:r w:rsidRPr="00FE70E6">
              <w:rPr>
                <w:sz w:val="22"/>
                <w:szCs w:val="22"/>
              </w:rPr>
              <w:tab/>
              <w:t>Revised drawings shall clearly identify the equipment that is relocated and the date(s) of relocation.</w:t>
            </w:r>
          </w:p>
          <w:p w:rsidR="00D53402" w:rsidRPr="00FE70E6" w:rsidRDefault="00D53402" w:rsidP="00D53402">
            <w:pPr>
              <w:pStyle w:val="BodyTextIndent2"/>
              <w:tabs>
                <w:tab w:val="left" w:pos="360"/>
                <w:tab w:val="left" w:pos="720"/>
              </w:tabs>
              <w:ind w:hanging="720"/>
              <w:rPr>
                <w:sz w:val="22"/>
                <w:szCs w:val="22"/>
              </w:rPr>
            </w:pPr>
            <w:r w:rsidRPr="00FE70E6">
              <w:rPr>
                <w:sz w:val="22"/>
                <w:szCs w:val="22"/>
              </w:rPr>
              <w:tab/>
              <w:t>C.</w:t>
            </w:r>
            <w:r w:rsidRPr="00FE70E6">
              <w:rPr>
                <w:sz w:val="22"/>
                <w:szCs w:val="22"/>
              </w:rPr>
              <w:tab/>
              <w:t>Revised drawings shall be maintained on file at the facility for at least 3 years.  The drawing showing the most current equipment location shall always be on file at the facility.</w:t>
            </w:r>
          </w:p>
          <w:p w:rsidR="00D53402" w:rsidRPr="00FE70E6" w:rsidRDefault="00D53402" w:rsidP="00D53402">
            <w:pPr>
              <w:suppressAutoHyphens/>
              <w:ind w:left="360"/>
              <w:rPr>
                <w:sz w:val="22"/>
                <w:szCs w:val="22"/>
              </w:rPr>
            </w:pPr>
            <w:r w:rsidRPr="00FE70E6">
              <w:rPr>
                <w:sz w:val="22"/>
                <w:szCs w:val="22"/>
              </w:rPr>
              <w:t xml:space="preserve"> [Rules 62-4.070(3) and 62-4.160(14</w:t>
            </w:r>
            <w:proofErr w:type="gramStart"/>
            <w:r w:rsidRPr="00FE70E6">
              <w:rPr>
                <w:sz w:val="22"/>
                <w:szCs w:val="22"/>
              </w:rPr>
              <w:t>)(</w:t>
            </w:r>
            <w:proofErr w:type="gramEnd"/>
            <w:r w:rsidRPr="00FE70E6">
              <w:rPr>
                <w:sz w:val="22"/>
                <w:szCs w:val="22"/>
              </w:rPr>
              <w:t>b),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lastRenderedPageBreak/>
              <w:t>Comments</w:t>
            </w:r>
            <w:r w:rsidRPr="00FE70E6">
              <w:rPr>
                <w:i/>
                <w:iCs/>
                <w:sz w:val="22"/>
                <w:szCs w:val="22"/>
              </w:rPr>
              <w:t xml:space="preserve">:  </w:t>
            </w:r>
            <w:r w:rsidR="00F14257">
              <w:rPr>
                <w:i/>
                <w:iCs/>
                <w:sz w:val="22"/>
                <w:szCs w:val="22"/>
              </w:rPr>
              <w:t xml:space="preserve">The most recent layout of the plant equipment, as of 10/19/2010, is attached.  </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9.</w:t>
            </w:r>
            <w:r w:rsidRPr="00FE70E6">
              <w:rPr>
                <w:sz w:val="22"/>
                <w:szCs w:val="22"/>
              </w:rPr>
              <w:tab/>
              <w:t xml:space="preserve">All equipment, pipes, hoses, lids, fittings, etc., shall be </w:t>
            </w:r>
            <w:proofErr w:type="gramStart"/>
            <w:r w:rsidRPr="00FE70E6">
              <w:rPr>
                <w:sz w:val="22"/>
                <w:szCs w:val="22"/>
              </w:rPr>
              <w:t>operated/maintained</w:t>
            </w:r>
            <w:proofErr w:type="gramEnd"/>
            <w:r w:rsidRPr="00FE70E6">
              <w:rPr>
                <w:sz w:val="22"/>
                <w:szCs w:val="22"/>
              </w:rPr>
              <w:t xml:space="preserve"> in such a manner as to minimize leaks, fugitive emissions and spills of solvent materials.   [Rule 62-296.320(1), F.A.C.]</w:t>
            </w:r>
          </w:p>
          <w:p w:rsidR="00226A78" w:rsidRPr="00FE70E6" w:rsidRDefault="00226A78" w:rsidP="00226A78">
            <w:pPr>
              <w:tabs>
                <w:tab w:val="left" w:pos="360"/>
              </w:tabs>
              <w:suppressAutoHyphens/>
              <w:ind w:left="360" w:hanging="360"/>
              <w:rPr>
                <w:sz w:val="22"/>
                <w:szCs w:val="22"/>
              </w:rPr>
            </w:pPr>
            <w:r w:rsidRPr="00FE70E6">
              <w:rPr>
                <w:sz w:val="22"/>
                <w:szCs w:val="22"/>
              </w:rPr>
              <w:t>10.</w:t>
            </w:r>
            <w:r w:rsidRPr="00FE70E6">
              <w:rPr>
                <w:sz w:val="22"/>
                <w:szCs w:val="22"/>
              </w:rPr>
              <w:tab/>
              <w:t xml:space="preserve">The permittee shall not cause, suffer, allow, or permit the discharge of air pollutants from this plant which cause or contribute to an objectionable odor. Objectionable odor is defined as any odor present in the outdoor atmosphere which by itself or in combination with other odors, is or may be harmful or injurious to human health or welfare, which unreasonably interferes with the comfortable use and enjoyment of life or property, or which creates a nuisance. </w:t>
            </w:r>
            <w:r>
              <w:rPr>
                <w:sz w:val="22"/>
                <w:szCs w:val="22"/>
              </w:rPr>
              <w:t xml:space="preserve">  </w:t>
            </w:r>
            <w:r w:rsidRPr="00FE70E6">
              <w:rPr>
                <w:sz w:val="22"/>
                <w:szCs w:val="22"/>
              </w:rPr>
              <w:t xml:space="preserve">[Rules 62-296.320(2) and 62-210.200, Definitions - Objectionable Odor, F.A.C.; Pinellas </w:t>
            </w:r>
            <w:smartTag w:uri="urn:schemas-microsoft-com:office:smarttags" w:element="place">
              <w:smartTag w:uri="urn:schemas-microsoft-com:office:smarttags" w:element="PlaceType">
                <w:r w:rsidRPr="00FE70E6">
                  <w:rPr>
                    <w:sz w:val="22"/>
                    <w:szCs w:val="22"/>
                  </w:rPr>
                  <w:t>County</w:t>
                </w:r>
              </w:smartTag>
              <w:r w:rsidRPr="00FE70E6">
                <w:rPr>
                  <w:sz w:val="22"/>
                  <w:szCs w:val="22"/>
                </w:rPr>
                <w:t xml:space="preserve"> </w:t>
              </w:r>
              <w:smartTag w:uri="urn:schemas-microsoft-com:office:smarttags" w:element="PlaceName">
                <w:r w:rsidRPr="00FE70E6">
                  <w:rPr>
                    <w:sz w:val="22"/>
                    <w:szCs w:val="22"/>
                  </w:rPr>
                  <w:t>Code</w:t>
                </w:r>
              </w:smartTag>
            </w:smartTag>
            <w:r w:rsidRPr="00FE70E6">
              <w:rPr>
                <w:sz w:val="22"/>
                <w:szCs w:val="22"/>
              </w:rPr>
              <w:t>, Section 58-178]</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CD5882">
              <w:rPr>
                <w:i/>
                <w:iCs/>
                <w:sz w:val="22"/>
                <w:szCs w:val="22"/>
              </w:rPr>
              <w:t>There were no leaks, spills or fugitive emissions.  There were no odors inside or outside the plant that could be associated with the plant operations.</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11.</w:t>
            </w:r>
            <w:r w:rsidRPr="00FE70E6">
              <w:rPr>
                <w:sz w:val="22"/>
                <w:szCs w:val="22"/>
              </w:rPr>
              <w:tab/>
              <w:t>Excess Emissions which are caused entirely or in part by poor maintenance, poor operation, or any other equipment or process failure which may reasonably be prevented during startup, shutdown, or malfunction shall be prohibited.   [Rule 62-210.700(4),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226A78">
              <w:rPr>
                <w:i/>
                <w:iCs/>
                <w:sz w:val="22"/>
                <w:szCs w:val="22"/>
              </w:rPr>
              <w:t>There were no excess emissions per Mr. York.</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pStyle w:val="EndnoteText"/>
              <w:tabs>
                <w:tab w:val="left" w:pos="360"/>
              </w:tabs>
              <w:suppressAutoHyphens/>
              <w:ind w:left="360" w:hanging="360"/>
              <w:rPr>
                <w:rFonts w:ascii="Times New Roman" w:hAnsi="Times New Roman"/>
                <w:sz w:val="22"/>
                <w:szCs w:val="22"/>
              </w:rPr>
            </w:pPr>
            <w:r w:rsidRPr="00FE70E6">
              <w:rPr>
                <w:rFonts w:ascii="Times New Roman" w:hAnsi="Times New Roman"/>
                <w:sz w:val="22"/>
                <w:szCs w:val="22"/>
              </w:rPr>
              <w:t>12. When calculating emissions, the permittee shall not take any emission reduction credit from any piece of equipment that may reduce potential emissions.  [Rule 62-4.070(3),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1D6F89">
              <w:rPr>
                <w:i/>
                <w:iCs/>
                <w:sz w:val="22"/>
                <w:szCs w:val="22"/>
              </w:rPr>
              <w:t>The entire VOC content in the materials is reported as VOC emissions.  No credits or reductions are taken when recording emissions.</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13.</w:t>
            </w:r>
            <w:r w:rsidRPr="00FE70E6">
              <w:rPr>
                <w:sz w:val="22"/>
                <w:szCs w:val="22"/>
              </w:rPr>
              <w:tab/>
              <w:t>The permittee shall comply with the daily recordkeeping requirements of Rule 62-296.500(2</w:t>
            </w:r>
            <w:proofErr w:type="gramStart"/>
            <w:r w:rsidRPr="00FE70E6">
              <w:rPr>
                <w:sz w:val="22"/>
                <w:szCs w:val="22"/>
              </w:rPr>
              <w:t>)(</w:t>
            </w:r>
            <w:proofErr w:type="gramEnd"/>
            <w:r w:rsidRPr="00FE70E6">
              <w:rPr>
                <w:sz w:val="22"/>
                <w:szCs w:val="22"/>
              </w:rPr>
              <w:t xml:space="preserve">b), F.A.C. for the 5-gal. </w:t>
            </w:r>
            <w:proofErr w:type="gramStart"/>
            <w:r w:rsidRPr="00FE70E6">
              <w:rPr>
                <w:sz w:val="22"/>
                <w:szCs w:val="22"/>
              </w:rPr>
              <w:t>equipment</w:t>
            </w:r>
            <w:proofErr w:type="gramEnd"/>
            <w:r w:rsidRPr="00FE70E6">
              <w:rPr>
                <w:sz w:val="22"/>
                <w:szCs w:val="22"/>
              </w:rPr>
              <w:t xml:space="preserve"> parts cleaning tank.  The records shall be maintained on file at the facility and include at least the following: </w:t>
            </w:r>
          </w:p>
          <w:p w:rsidR="00D53402" w:rsidRPr="00FE70E6" w:rsidRDefault="00D53402" w:rsidP="00D53402">
            <w:pPr>
              <w:tabs>
                <w:tab w:val="left" w:pos="360"/>
                <w:tab w:val="left" w:pos="720"/>
              </w:tabs>
              <w:suppressAutoHyphens/>
              <w:ind w:left="720" w:hanging="720"/>
              <w:rPr>
                <w:sz w:val="22"/>
                <w:szCs w:val="22"/>
              </w:rPr>
            </w:pPr>
            <w:r w:rsidRPr="00FE70E6">
              <w:rPr>
                <w:sz w:val="22"/>
                <w:szCs w:val="22"/>
              </w:rPr>
              <w:tab/>
              <w:t>A.</w:t>
            </w:r>
            <w:r w:rsidRPr="00FE70E6">
              <w:rPr>
                <w:sz w:val="22"/>
                <w:szCs w:val="22"/>
              </w:rPr>
              <w:tab/>
              <w:t>Facility name, facility ID, and emission unit number (i.e., 1030150, EU 002 - Medical Vial Closure Manufacturing Line).</w:t>
            </w:r>
          </w:p>
          <w:p w:rsidR="00D53402" w:rsidRPr="00FE70E6" w:rsidRDefault="00D53402" w:rsidP="00D53402">
            <w:pPr>
              <w:tabs>
                <w:tab w:val="left" w:pos="360"/>
                <w:tab w:val="left" w:pos="720"/>
              </w:tabs>
              <w:suppressAutoHyphens/>
              <w:ind w:left="720" w:hanging="720"/>
              <w:rPr>
                <w:sz w:val="22"/>
                <w:szCs w:val="22"/>
              </w:rPr>
            </w:pPr>
            <w:r w:rsidRPr="00FE70E6">
              <w:rPr>
                <w:sz w:val="22"/>
                <w:szCs w:val="22"/>
              </w:rPr>
              <w:tab/>
              <w:t>B.</w:t>
            </w:r>
            <w:r w:rsidRPr="00FE70E6">
              <w:rPr>
                <w:sz w:val="22"/>
                <w:szCs w:val="22"/>
              </w:rPr>
              <w:tab/>
              <w:t xml:space="preserve">Date </w:t>
            </w:r>
          </w:p>
          <w:p w:rsidR="00D53402" w:rsidRPr="00FE70E6" w:rsidRDefault="00D53402" w:rsidP="00D53402">
            <w:pPr>
              <w:tabs>
                <w:tab w:val="left" w:pos="360"/>
                <w:tab w:val="left" w:pos="720"/>
              </w:tabs>
              <w:suppressAutoHyphens/>
              <w:ind w:left="720" w:hanging="720"/>
              <w:rPr>
                <w:sz w:val="22"/>
                <w:szCs w:val="22"/>
              </w:rPr>
            </w:pPr>
            <w:r w:rsidRPr="00FE70E6">
              <w:rPr>
                <w:sz w:val="22"/>
                <w:szCs w:val="22"/>
              </w:rPr>
              <w:tab/>
              <w:t>C.</w:t>
            </w:r>
            <w:r w:rsidRPr="00FE70E6">
              <w:rPr>
                <w:sz w:val="22"/>
                <w:szCs w:val="22"/>
              </w:rPr>
              <w:tab/>
              <w:t>The rule number applicable to the operation for which the records are being maintained (i.e., Rule 62-296.511, F.A.C.).</w:t>
            </w:r>
          </w:p>
          <w:p w:rsidR="00D53402" w:rsidRPr="00FE70E6" w:rsidRDefault="00D53402" w:rsidP="00D53402">
            <w:pPr>
              <w:tabs>
                <w:tab w:val="left" w:pos="360"/>
                <w:tab w:val="left" w:pos="720"/>
              </w:tabs>
              <w:suppressAutoHyphens/>
              <w:rPr>
                <w:sz w:val="22"/>
                <w:szCs w:val="22"/>
              </w:rPr>
            </w:pPr>
            <w:r w:rsidRPr="00FE70E6">
              <w:rPr>
                <w:sz w:val="22"/>
                <w:szCs w:val="22"/>
              </w:rPr>
              <w:tab/>
              <w:t>D.</w:t>
            </w:r>
            <w:r w:rsidRPr="00FE70E6">
              <w:rPr>
                <w:sz w:val="22"/>
                <w:szCs w:val="22"/>
              </w:rPr>
              <w:tab/>
              <w:t>The application method (e.g., cold cleaning, conveyorized, etc.) and substrate type (e.g., metal).</w:t>
            </w:r>
          </w:p>
          <w:p w:rsidR="00D53402" w:rsidRPr="00FE70E6" w:rsidRDefault="00D53402" w:rsidP="00D53402">
            <w:pPr>
              <w:tabs>
                <w:tab w:val="left" w:pos="360"/>
                <w:tab w:val="left" w:pos="720"/>
              </w:tabs>
              <w:suppressAutoHyphens/>
              <w:ind w:left="720" w:hanging="720"/>
              <w:rPr>
                <w:sz w:val="22"/>
                <w:szCs w:val="22"/>
              </w:rPr>
            </w:pPr>
            <w:r w:rsidRPr="00FE70E6">
              <w:rPr>
                <w:sz w:val="22"/>
                <w:szCs w:val="22"/>
              </w:rPr>
              <w:tab/>
              <w:t>E.</w:t>
            </w:r>
            <w:r w:rsidRPr="00FE70E6">
              <w:rPr>
                <w:sz w:val="22"/>
                <w:szCs w:val="22"/>
              </w:rPr>
              <w:tab/>
              <w:t>The amount and type of solvent used including surface preparation, clean-up, wash-up of solvent and including exempt compounds.</w:t>
            </w:r>
          </w:p>
          <w:p w:rsidR="00D53402" w:rsidRPr="00FE70E6" w:rsidRDefault="00D53402" w:rsidP="00D53402">
            <w:pPr>
              <w:tabs>
                <w:tab w:val="left" w:pos="360"/>
                <w:tab w:val="left" w:pos="720"/>
              </w:tabs>
              <w:suppressAutoHyphens/>
              <w:ind w:left="720" w:hanging="720"/>
              <w:rPr>
                <w:sz w:val="22"/>
                <w:szCs w:val="22"/>
              </w:rPr>
            </w:pPr>
            <w:r w:rsidRPr="00FE70E6">
              <w:rPr>
                <w:sz w:val="22"/>
                <w:szCs w:val="22"/>
              </w:rPr>
              <w:tab/>
              <w:t>F.</w:t>
            </w:r>
            <w:r w:rsidRPr="00FE70E6">
              <w:rPr>
                <w:sz w:val="22"/>
                <w:szCs w:val="22"/>
              </w:rPr>
              <w:tab/>
              <w:t>The VOC content of each solvent used.</w:t>
            </w:r>
          </w:p>
          <w:p w:rsidR="00D53402" w:rsidRPr="00FE70E6" w:rsidRDefault="00D53402" w:rsidP="00D53402">
            <w:pPr>
              <w:pStyle w:val="BodyTextIndent"/>
              <w:rPr>
                <w:sz w:val="22"/>
                <w:szCs w:val="22"/>
              </w:rPr>
            </w:pPr>
            <w:r w:rsidRPr="00FE70E6">
              <w:rPr>
                <w:sz w:val="22"/>
                <w:szCs w:val="22"/>
              </w:rPr>
              <w:t xml:space="preserve">The daily logs shall be completed within three (3) business days.  The facility shall also maintain documentation, such as all MSD sheets, purchase orders, etc., </w:t>
            </w:r>
            <w:proofErr w:type="gramStart"/>
            <w:r w:rsidRPr="00FE70E6">
              <w:rPr>
                <w:sz w:val="22"/>
                <w:szCs w:val="22"/>
              </w:rPr>
              <w:t>for</w:t>
            </w:r>
            <w:proofErr w:type="gramEnd"/>
            <w:r w:rsidRPr="00FE70E6">
              <w:rPr>
                <w:sz w:val="22"/>
                <w:szCs w:val="22"/>
              </w:rPr>
              <w:t xml:space="preserve"> all solvents used, which includes sufficient information to determine VOC emissions.  All of the above records shall be made available to the Department and the Pinellas County Department of Environmental Management (PCDEM) upon request. </w:t>
            </w:r>
            <w:r>
              <w:rPr>
                <w:sz w:val="22"/>
                <w:szCs w:val="22"/>
              </w:rPr>
              <w:t xml:space="preserve">  </w:t>
            </w:r>
            <w:r w:rsidRPr="00FE70E6">
              <w:rPr>
                <w:sz w:val="22"/>
                <w:szCs w:val="22"/>
              </w:rPr>
              <w:t>[Rule 62-296.500(2</w:t>
            </w:r>
            <w:proofErr w:type="gramStart"/>
            <w:r w:rsidRPr="00FE70E6">
              <w:rPr>
                <w:sz w:val="22"/>
                <w:szCs w:val="22"/>
              </w:rPr>
              <w:t>)(</w:t>
            </w:r>
            <w:proofErr w:type="gramEnd"/>
            <w:r w:rsidRPr="00FE70E6">
              <w:rPr>
                <w:sz w:val="22"/>
                <w:szCs w:val="22"/>
              </w:rPr>
              <w:t>b), F.A.C.]</w:t>
            </w:r>
          </w:p>
          <w:p w:rsidR="00C93652" w:rsidRPr="00FE70E6" w:rsidRDefault="00C93652" w:rsidP="00C93652">
            <w:pPr>
              <w:tabs>
                <w:tab w:val="left" w:pos="360"/>
              </w:tabs>
              <w:suppressAutoHyphens/>
              <w:ind w:left="360" w:hanging="360"/>
              <w:rPr>
                <w:sz w:val="22"/>
                <w:szCs w:val="22"/>
              </w:rPr>
            </w:pPr>
            <w:r w:rsidRPr="00FE70E6">
              <w:rPr>
                <w:sz w:val="22"/>
                <w:szCs w:val="22"/>
              </w:rPr>
              <w:t>14.</w:t>
            </w:r>
            <w:r w:rsidRPr="00FE70E6">
              <w:rPr>
                <w:sz w:val="22"/>
                <w:szCs w:val="22"/>
              </w:rPr>
              <w:tab/>
              <w:t>A monthly VOC emission and material usage log shall be kept on file at the facility to document compliance with the limitations of Specific Condition Nos. 4 and 5.  At a minimum, the log shall indicate the following:</w:t>
            </w:r>
          </w:p>
          <w:p w:rsidR="00C93652" w:rsidRPr="00FE70E6" w:rsidRDefault="00C93652" w:rsidP="00C93652">
            <w:pPr>
              <w:tabs>
                <w:tab w:val="left" w:pos="360"/>
              </w:tabs>
              <w:suppressAutoHyphens/>
              <w:ind w:left="720" w:hanging="720"/>
              <w:rPr>
                <w:sz w:val="22"/>
                <w:szCs w:val="22"/>
              </w:rPr>
            </w:pPr>
            <w:r w:rsidRPr="00FE70E6">
              <w:rPr>
                <w:sz w:val="22"/>
                <w:szCs w:val="22"/>
              </w:rPr>
              <w:tab/>
              <w:t>A.</w:t>
            </w:r>
            <w:r w:rsidRPr="00FE70E6">
              <w:rPr>
                <w:sz w:val="22"/>
                <w:szCs w:val="22"/>
              </w:rPr>
              <w:tab/>
              <w:t>Facility name, facility ID, and emission unit number (i.e., 1030150, EU 002 - Medical Vial Closure Manufacturing Line).</w:t>
            </w:r>
          </w:p>
          <w:p w:rsidR="00C93652" w:rsidRPr="00FE70E6" w:rsidRDefault="00C93652" w:rsidP="00C93652">
            <w:pPr>
              <w:tabs>
                <w:tab w:val="left" w:pos="360"/>
              </w:tabs>
              <w:suppressAutoHyphens/>
              <w:ind w:left="720" w:hanging="720"/>
              <w:rPr>
                <w:sz w:val="22"/>
                <w:szCs w:val="22"/>
              </w:rPr>
            </w:pPr>
            <w:r w:rsidRPr="00FE70E6">
              <w:rPr>
                <w:sz w:val="22"/>
                <w:szCs w:val="22"/>
              </w:rPr>
              <w:tab/>
              <w:t>B.</w:t>
            </w:r>
            <w:r w:rsidRPr="00FE70E6">
              <w:rPr>
                <w:sz w:val="22"/>
                <w:szCs w:val="22"/>
              </w:rPr>
              <w:tab/>
              <w:t>Month and Year.</w:t>
            </w:r>
          </w:p>
          <w:p w:rsidR="00C93652" w:rsidRPr="00FE70E6" w:rsidRDefault="00C93652" w:rsidP="00C93652">
            <w:pPr>
              <w:tabs>
                <w:tab w:val="left" w:pos="360"/>
              </w:tabs>
              <w:suppressAutoHyphens/>
              <w:ind w:left="720" w:hanging="720"/>
              <w:rPr>
                <w:sz w:val="22"/>
                <w:szCs w:val="22"/>
              </w:rPr>
            </w:pPr>
            <w:r w:rsidRPr="00FE70E6">
              <w:rPr>
                <w:sz w:val="22"/>
                <w:szCs w:val="22"/>
              </w:rPr>
              <w:tab/>
              <w:t>C.</w:t>
            </w:r>
            <w:r w:rsidRPr="00FE70E6">
              <w:rPr>
                <w:sz w:val="22"/>
                <w:szCs w:val="22"/>
              </w:rPr>
              <w:tab/>
              <w:t>The amount of each VOC- and/or HAP-containing material (by identification number and name) used in gallons/month.</w:t>
            </w:r>
          </w:p>
          <w:p w:rsidR="00C93652" w:rsidRPr="00FE70E6" w:rsidRDefault="00C93652" w:rsidP="00C93652">
            <w:pPr>
              <w:tabs>
                <w:tab w:val="left" w:pos="360"/>
              </w:tabs>
              <w:suppressAutoHyphens/>
              <w:ind w:left="720" w:hanging="720"/>
              <w:rPr>
                <w:sz w:val="22"/>
                <w:szCs w:val="22"/>
              </w:rPr>
            </w:pPr>
            <w:r w:rsidRPr="00FE70E6">
              <w:rPr>
                <w:sz w:val="22"/>
                <w:szCs w:val="22"/>
              </w:rPr>
              <w:lastRenderedPageBreak/>
              <w:tab/>
              <w:t>D.</w:t>
            </w:r>
            <w:r w:rsidRPr="00FE70E6">
              <w:rPr>
                <w:sz w:val="22"/>
                <w:szCs w:val="22"/>
              </w:rPr>
              <w:tab/>
              <w:t>VOC emissions from each material identified in C) in tons.</w:t>
            </w:r>
          </w:p>
          <w:p w:rsidR="00C93652" w:rsidRPr="00FE70E6" w:rsidRDefault="00C93652" w:rsidP="00C93652">
            <w:pPr>
              <w:tabs>
                <w:tab w:val="left" w:pos="360"/>
              </w:tabs>
              <w:suppressAutoHyphens/>
              <w:ind w:left="720" w:hanging="720"/>
              <w:rPr>
                <w:sz w:val="22"/>
                <w:szCs w:val="22"/>
              </w:rPr>
            </w:pPr>
            <w:r w:rsidRPr="00FE70E6">
              <w:rPr>
                <w:sz w:val="22"/>
                <w:szCs w:val="22"/>
              </w:rPr>
              <w:tab/>
              <w:t>E.</w:t>
            </w:r>
            <w:r w:rsidRPr="00FE70E6">
              <w:rPr>
                <w:sz w:val="22"/>
                <w:szCs w:val="22"/>
              </w:rPr>
              <w:tab/>
              <w:t>The monthly total of VOC emissions in tons.</w:t>
            </w:r>
          </w:p>
          <w:p w:rsidR="00C93652" w:rsidRPr="00FE70E6" w:rsidRDefault="00C93652" w:rsidP="00C93652">
            <w:pPr>
              <w:tabs>
                <w:tab w:val="left" w:pos="360"/>
              </w:tabs>
              <w:suppressAutoHyphens/>
              <w:ind w:left="720" w:hanging="720"/>
              <w:rPr>
                <w:sz w:val="22"/>
                <w:szCs w:val="22"/>
              </w:rPr>
            </w:pPr>
            <w:r w:rsidRPr="00FE70E6">
              <w:rPr>
                <w:sz w:val="22"/>
                <w:szCs w:val="22"/>
              </w:rPr>
              <w:tab/>
              <w:t>F.</w:t>
            </w:r>
            <w:r w:rsidRPr="00FE70E6">
              <w:rPr>
                <w:sz w:val="22"/>
                <w:szCs w:val="22"/>
              </w:rPr>
              <w:tab/>
              <w:t>The current consecutive 12-month total of VOCs, in tons.</w:t>
            </w:r>
          </w:p>
          <w:p w:rsidR="00C93652" w:rsidRPr="00FE70E6" w:rsidRDefault="00C93652" w:rsidP="00C93652">
            <w:pPr>
              <w:tabs>
                <w:tab w:val="left" w:pos="360"/>
              </w:tabs>
              <w:suppressAutoHyphens/>
              <w:ind w:left="720" w:hanging="720"/>
              <w:rPr>
                <w:sz w:val="22"/>
                <w:szCs w:val="22"/>
              </w:rPr>
            </w:pPr>
            <w:r w:rsidRPr="00FE70E6">
              <w:rPr>
                <w:sz w:val="22"/>
                <w:szCs w:val="22"/>
              </w:rPr>
              <w:tab/>
              <w:t>G.</w:t>
            </w:r>
            <w:r w:rsidRPr="00FE70E6">
              <w:rPr>
                <w:sz w:val="22"/>
                <w:szCs w:val="22"/>
              </w:rPr>
              <w:tab/>
              <w:t>The current consecutive 12-month usage total of VD Thinner, BH hardener, ink, Tekusolv and Dibasic Ester, in tons.</w:t>
            </w:r>
          </w:p>
          <w:p w:rsidR="00C93652" w:rsidRPr="00FE70E6" w:rsidRDefault="00C93652" w:rsidP="00C93652">
            <w:pPr>
              <w:tabs>
                <w:tab w:val="left" w:pos="360"/>
              </w:tabs>
              <w:suppressAutoHyphens/>
              <w:ind w:left="720" w:hanging="720"/>
              <w:rPr>
                <w:sz w:val="22"/>
                <w:szCs w:val="22"/>
              </w:rPr>
            </w:pPr>
            <w:r w:rsidRPr="00FE70E6">
              <w:rPr>
                <w:sz w:val="22"/>
                <w:szCs w:val="22"/>
              </w:rPr>
              <w:tab/>
              <w:t>H.</w:t>
            </w:r>
            <w:r w:rsidRPr="00FE70E6">
              <w:rPr>
                <w:sz w:val="22"/>
                <w:szCs w:val="22"/>
              </w:rPr>
              <w:tab/>
              <w:t>Documentation of each solvent reclaimed, if any reduction in usage is to be claimed, which is determined by a mass balance method (amount used minus amount collected for disposal or recycle).</w:t>
            </w:r>
          </w:p>
          <w:p w:rsidR="00C93652" w:rsidRPr="00FE70E6" w:rsidRDefault="00C93652" w:rsidP="00C93652">
            <w:pPr>
              <w:suppressAutoHyphens/>
              <w:ind w:left="360"/>
              <w:rPr>
                <w:sz w:val="22"/>
                <w:szCs w:val="22"/>
              </w:rPr>
            </w:pPr>
            <w:r w:rsidRPr="00FE70E6">
              <w:rPr>
                <w:sz w:val="22"/>
                <w:szCs w:val="22"/>
              </w:rPr>
              <w:t>The monthly logs shall be completed by the 15</w:t>
            </w:r>
            <w:r w:rsidRPr="00FE70E6">
              <w:rPr>
                <w:sz w:val="22"/>
                <w:szCs w:val="22"/>
                <w:vertAlign w:val="superscript"/>
              </w:rPr>
              <w:t>th</w:t>
            </w:r>
            <w:r w:rsidRPr="00FE70E6">
              <w:rPr>
                <w:sz w:val="22"/>
                <w:szCs w:val="22"/>
              </w:rPr>
              <w:t xml:space="preserve"> of the following month.  Supporting documentation (MSDS sheets, purchase order, etc.) shall be kept for each material which includes sufficient information to determine VOC emissions.  The log and associated records shall be made available to the Department and PCDEM upon request.  </w:t>
            </w:r>
          </w:p>
          <w:p w:rsidR="00C93652" w:rsidRPr="00FE70E6" w:rsidRDefault="00C93652" w:rsidP="00C93652">
            <w:pPr>
              <w:suppressAutoHyphens/>
              <w:ind w:left="360"/>
              <w:rPr>
                <w:sz w:val="22"/>
                <w:szCs w:val="22"/>
              </w:rPr>
            </w:pPr>
            <w:r w:rsidRPr="00FE70E6">
              <w:rPr>
                <w:sz w:val="22"/>
                <w:szCs w:val="22"/>
              </w:rPr>
              <w:t xml:space="preserve">[Rule 62-4.070(3), F.A.C. and Pinellas </w:t>
            </w:r>
            <w:smartTag w:uri="urn:schemas-microsoft-com:office:smarttags" w:element="place">
              <w:smartTag w:uri="urn:schemas-microsoft-com:office:smarttags" w:element="PlaceType">
                <w:r w:rsidRPr="00FE70E6">
                  <w:rPr>
                    <w:sz w:val="22"/>
                    <w:szCs w:val="22"/>
                  </w:rPr>
                  <w:t>County</w:t>
                </w:r>
              </w:smartTag>
              <w:r w:rsidRPr="00FE70E6">
                <w:rPr>
                  <w:sz w:val="22"/>
                  <w:szCs w:val="22"/>
                </w:rPr>
                <w:t xml:space="preserve"> </w:t>
              </w:r>
              <w:smartTag w:uri="urn:schemas-microsoft-com:office:smarttags" w:element="PlaceName">
                <w:r w:rsidRPr="00FE70E6">
                  <w:rPr>
                    <w:sz w:val="22"/>
                    <w:szCs w:val="22"/>
                  </w:rPr>
                  <w:t>Code</w:t>
                </w:r>
              </w:smartTag>
            </w:smartTag>
            <w:r w:rsidRPr="00FE70E6">
              <w:rPr>
                <w:sz w:val="22"/>
                <w:szCs w:val="22"/>
              </w:rPr>
              <w:t>, Section 58-90]</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324DC6">
              <w:rPr>
                <w:i/>
                <w:iCs/>
                <w:sz w:val="22"/>
                <w:szCs w:val="22"/>
              </w:rPr>
              <w:t xml:space="preserve">The facility was in compliance with A. through </w:t>
            </w:r>
            <w:r w:rsidR="00BC3C90">
              <w:rPr>
                <w:i/>
                <w:iCs/>
                <w:sz w:val="22"/>
                <w:szCs w:val="22"/>
              </w:rPr>
              <w:t>E</w:t>
            </w:r>
            <w:r w:rsidR="00324DC6">
              <w:rPr>
                <w:i/>
                <w:iCs/>
                <w:sz w:val="22"/>
                <w:szCs w:val="22"/>
              </w:rPr>
              <w:t>. above</w:t>
            </w:r>
            <w:r w:rsidR="00BC3C90">
              <w:rPr>
                <w:i/>
                <w:iCs/>
                <w:sz w:val="22"/>
                <w:szCs w:val="22"/>
              </w:rPr>
              <w:t xml:space="preserve"> for condition No. 13 and with A. through F for condition No. 14</w:t>
            </w:r>
            <w:r w:rsidR="00324DC6">
              <w:rPr>
                <w:i/>
                <w:iCs/>
                <w:sz w:val="22"/>
                <w:szCs w:val="22"/>
              </w:rPr>
              <w:t>. (</w:t>
            </w:r>
            <w:proofErr w:type="gramStart"/>
            <w:r w:rsidR="00324DC6">
              <w:rPr>
                <w:i/>
                <w:iCs/>
                <w:sz w:val="22"/>
                <w:szCs w:val="22"/>
              </w:rPr>
              <w:t>see</w:t>
            </w:r>
            <w:proofErr w:type="gramEnd"/>
            <w:r w:rsidR="00324DC6">
              <w:rPr>
                <w:i/>
                <w:iCs/>
                <w:sz w:val="22"/>
                <w:szCs w:val="22"/>
              </w:rPr>
              <w:t xml:space="preserve"> example copy of records, attached). </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15.</w:t>
            </w:r>
            <w:r w:rsidRPr="00FE70E6">
              <w:rPr>
                <w:sz w:val="22"/>
                <w:szCs w:val="22"/>
              </w:rPr>
              <w:tab/>
              <w:t xml:space="preserve">The records required by Specific Condition Nos. 13 and 14 shall be maintained for a minimum of the most recent three (3) year period and made available to the Department and PCDEM upon request. </w:t>
            </w:r>
          </w:p>
          <w:p w:rsidR="00D53402" w:rsidRPr="00FE70E6" w:rsidRDefault="00D53402" w:rsidP="00D53402">
            <w:pPr>
              <w:suppressAutoHyphens/>
              <w:ind w:firstLine="360"/>
              <w:rPr>
                <w:sz w:val="22"/>
                <w:szCs w:val="22"/>
              </w:rPr>
            </w:pPr>
            <w:r w:rsidRPr="00FE70E6">
              <w:rPr>
                <w:sz w:val="22"/>
                <w:szCs w:val="22"/>
              </w:rPr>
              <w:t>[Rules 62-4.070(3) and 62-4.160(14</w:t>
            </w:r>
            <w:proofErr w:type="gramStart"/>
            <w:r w:rsidRPr="00FE70E6">
              <w:rPr>
                <w:sz w:val="22"/>
                <w:szCs w:val="22"/>
              </w:rPr>
              <w:t>)(</w:t>
            </w:r>
            <w:proofErr w:type="gramEnd"/>
            <w:r w:rsidRPr="00FE70E6">
              <w:rPr>
                <w:sz w:val="22"/>
                <w:szCs w:val="22"/>
              </w:rPr>
              <w:t>b),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D15FAF">
              <w:rPr>
                <w:i/>
                <w:iCs/>
                <w:sz w:val="22"/>
                <w:szCs w:val="22"/>
              </w:rPr>
              <w:t>I saw electronic files that contain spreadsheets (VOC Records) going back to the year 2000.</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16.</w:t>
            </w:r>
            <w:r w:rsidRPr="00FE70E6">
              <w:rPr>
                <w:sz w:val="22"/>
                <w:szCs w:val="22"/>
              </w:rPr>
              <w:tab/>
              <w:t xml:space="preserve">Submit to the Air Compliance Section of the Department’s Southwest District Office and the PCDEM each calendar year on or before April 1, a completed DEP Form 62-210.900(5), "Annual Operating Report for Air Pollutant Emitting Facility," for the preceding calendar year.  </w:t>
            </w:r>
            <w:r w:rsidRPr="00FE70E6">
              <w:rPr>
                <w:b/>
                <w:sz w:val="22"/>
                <w:szCs w:val="22"/>
              </w:rPr>
              <w:t>Note, the annual operating report for calendar year 2008, shall be submitted by May 1, 2009.</w:t>
            </w:r>
            <w:r w:rsidRPr="00FE70E6">
              <w:rPr>
                <w:sz w:val="22"/>
                <w:szCs w:val="22"/>
              </w:rPr>
              <w:t xml:space="preserve">  The report may be submitted electronically in accordance with the instructions received with the AOR package sent by the Department, or a hardcopy may be submitted.  [Rule 62-210.370(3</w:t>
            </w:r>
            <w:proofErr w:type="gramStart"/>
            <w:r w:rsidRPr="00FE70E6">
              <w:rPr>
                <w:sz w:val="22"/>
                <w:szCs w:val="22"/>
              </w:rPr>
              <w:t>)(</w:t>
            </w:r>
            <w:proofErr w:type="gramEnd"/>
            <w:r w:rsidRPr="00FE70E6">
              <w:rPr>
                <w:sz w:val="22"/>
                <w:szCs w:val="22"/>
              </w:rPr>
              <w:t>a)2.,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8008A3">
              <w:rPr>
                <w:i/>
                <w:iCs/>
                <w:sz w:val="22"/>
                <w:szCs w:val="22"/>
              </w:rPr>
              <w:t xml:space="preserve">The facility Annual Operating Report (AOR) </w:t>
            </w:r>
            <w:r w:rsidR="002A0558">
              <w:rPr>
                <w:i/>
                <w:iCs/>
                <w:sz w:val="22"/>
                <w:szCs w:val="22"/>
              </w:rPr>
              <w:t>was received on 3/24/2011.</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FE70E6" w:rsidRDefault="00D53402" w:rsidP="00D53402">
            <w:pPr>
              <w:tabs>
                <w:tab w:val="left" w:pos="360"/>
              </w:tabs>
              <w:suppressAutoHyphens/>
              <w:ind w:left="360" w:hanging="360"/>
              <w:rPr>
                <w:sz w:val="22"/>
                <w:szCs w:val="22"/>
              </w:rPr>
            </w:pPr>
            <w:r w:rsidRPr="00FE70E6">
              <w:rPr>
                <w:sz w:val="22"/>
                <w:szCs w:val="22"/>
              </w:rPr>
              <w:t>17.</w:t>
            </w:r>
            <w:r w:rsidRPr="00FE70E6">
              <w:rPr>
                <w:sz w:val="22"/>
                <w:szCs w:val="22"/>
              </w:rPr>
              <w:tab/>
              <w:t>The permittee shall submit a complete application to renew Operation Permit 1030150-014-AO to the Air Permitting Sections of the Department's Southwest District Office and the PCDEM at least 60 days prior to the expiration date of this operation permit….</w:t>
            </w:r>
          </w:p>
          <w:p w:rsidR="00D53402" w:rsidRPr="00FE70E6" w:rsidRDefault="00D53402" w:rsidP="00D53402">
            <w:pPr>
              <w:suppressAutoHyphens/>
              <w:ind w:left="288"/>
              <w:rPr>
                <w:sz w:val="22"/>
                <w:szCs w:val="22"/>
              </w:rPr>
            </w:pPr>
            <w:r w:rsidRPr="00FE70E6">
              <w:rPr>
                <w:sz w:val="22"/>
                <w:szCs w:val="22"/>
              </w:rPr>
              <w:t xml:space="preserve"> [Rules 62-4.070(3), 62</w:t>
            </w:r>
            <w:r w:rsidRPr="00FE70E6">
              <w:rPr>
                <w:sz w:val="22"/>
                <w:szCs w:val="22"/>
              </w:rPr>
              <w:noBreakHyphen/>
              <w:t>4.090, 62-210.300(2), and 62-210.900, F.A.C.]</w:t>
            </w:r>
          </w:p>
          <w:p w:rsidR="00D53402" w:rsidRPr="00FE70E6" w:rsidRDefault="00D53402" w:rsidP="00D53402">
            <w:pPr>
              <w:tabs>
                <w:tab w:val="left" w:pos="0"/>
                <w:tab w:val="left" w:pos="1440"/>
                <w:tab w:val="left" w:pos="8640"/>
              </w:tabs>
              <w:suppressAutoHyphens/>
              <w:rPr>
                <w:i/>
                <w:iCs/>
                <w:sz w:val="22"/>
                <w:szCs w:val="22"/>
                <w:u w:val="single"/>
              </w:rPr>
            </w:pPr>
          </w:p>
          <w:p w:rsidR="00D53402" w:rsidRPr="00FE70E6" w:rsidRDefault="00D53402" w:rsidP="00D53402">
            <w:pPr>
              <w:tabs>
                <w:tab w:val="left" w:pos="0"/>
                <w:tab w:val="left" w:pos="1440"/>
                <w:tab w:val="left" w:pos="8640"/>
              </w:tabs>
              <w:suppressAutoHyphens/>
              <w:rPr>
                <w:i/>
                <w:iCs/>
                <w:sz w:val="22"/>
                <w:szCs w:val="22"/>
              </w:rPr>
            </w:pPr>
            <w:r w:rsidRPr="00FE70E6">
              <w:rPr>
                <w:b/>
                <w:bCs/>
                <w:i/>
                <w:iCs/>
                <w:sz w:val="22"/>
                <w:szCs w:val="22"/>
              </w:rPr>
              <w:t>Comments</w:t>
            </w:r>
            <w:r w:rsidRPr="00FE70E6">
              <w:rPr>
                <w:i/>
                <w:iCs/>
                <w:sz w:val="22"/>
                <w:szCs w:val="22"/>
              </w:rPr>
              <w:t xml:space="preserve">:  </w:t>
            </w:r>
            <w:r w:rsidR="002A0558">
              <w:rPr>
                <w:i/>
                <w:iCs/>
                <w:sz w:val="22"/>
                <w:szCs w:val="22"/>
              </w:rPr>
              <w:t>I informed Mr. York and Ms. Deck that this permit condition requires TWC to submit a permit renewal application on or before 6/27/2013.</w:t>
            </w:r>
          </w:p>
          <w:p w:rsidR="00D53402" w:rsidRPr="00FE70E6" w:rsidRDefault="00D53402" w:rsidP="00D53402">
            <w:pPr>
              <w:tabs>
                <w:tab w:val="left" w:pos="0"/>
                <w:tab w:val="left" w:pos="7920"/>
              </w:tabs>
              <w:suppressAutoHyphens/>
              <w:rPr>
                <w:i/>
                <w:iCs/>
                <w:sz w:val="22"/>
                <w:szCs w:val="22"/>
                <w:u w:val="single"/>
              </w:rPr>
            </w:pPr>
            <w:r w:rsidRPr="00FE70E6">
              <w:rPr>
                <w:i/>
                <w:iCs/>
                <w:sz w:val="22"/>
                <w:szCs w:val="22"/>
                <w:u w:val="single"/>
              </w:rPr>
              <w:tab/>
            </w:r>
          </w:p>
          <w:p w:rsidR="00D53402" w:rsidRPr="002856F3" w:rsidRDefault="00D53402" w:rsidP="00CA3CDE">
            <w:pPr>
              <w:tabs>
                <w:tab w:val="left" w:pos="137"/>
                <w:tab w:val="left" w:pos="407"/>
                <w:tab w:val="left" w:pos="677"/>
                <w:tab w:val="left" w:pos="947"/>
                <w:tab w:val="left" w:pos="1217"/>
              </w:tabs>
              <w:ind w:left="137" w:right="162" w:hanging="137"/>
              <w:rPr>
                <w:sz w:val="22"/>
                <w:szCs w:val="22"/>
              </w:rPr>
            </w:pPr>
          </w:p>
        </w:tc>
      </w:tr>
      <w:tr w:rsidR="00D53402" w:rsidRPr="002856F3">
        <w:trPr>
          <w:trHeight w:val="458"/>
        </w:trPr>
        <w:tc>
          <w:tcPr>
            <w:tcW w:w="360" w:type="dxa"/>
            <w:tcBorders>
              <w:top w:val="single" w:sz="4" w:space="0" w:color="auto"/>
              <w:bottom w:val="single" w:sz="4" w:space="0" w:color="auto"/>
            </w:tcBorders>
            <w:shd w:val="clear" w:color="auto" w:fill="E9FFFF"/>
            <w:vAlign w:val="center"/>
          </w:tcPr>
          <w:p w:rsidR="00D53402" w:rsidRPr="002856F3"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D53402" w:rsidRPr="002856F3" w:rsidRDefault="00D53402">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vAlign w:val="center"/>
          </w:tcPr>
          <w:p w:rsidR="00D53402" w:rsidRPr="002856F3" w:rsidRDefault="00D53402">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center"/>
          </w:tcPr>
          <w:p w:rsidR="00D53402" w:rsidRPr="002856F3" w:rsidRDefault="00D53402">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D53402" w:rsidRPr="002856F3">
        <w:trPr>
          <w:trHeight w:val="440"/>
        </w:trPr>
        <w:tc>
          <w:tcPr>
            <w:tcW w:w="360" w:type="dxa"/>
            <w:tcBorders>
              <w:top w:val="single" w:sz="4" w:space="0" w:color="auto"/>
              <w:bottom w:val="single" w:sz="12" w:space="0" w:color="auto"/>
            </w:tcBorders>
            <w:shd w:val="clear" w:color="auto" w:fill="E9FFFF"/>
            <w:vAlign w:val="center"/>
          </w:tcPr>
          <w:p w:rsidR="00D53402" w:rsidRPr="002856F3" w:rsidRDefault="00003809">
            <w:pPr>
              <w:tabs>
                <w:tab w:val="left" w:pos="360"/>
                <w:tab w:val="left" w:pos="720"/>
                <w:tab w:val="left" w:pos="1080"/>
              </w:tabs>
              <w:suppressAutoHyphens/>
              <w:jc w:val="center"/>
              <w:rPr>
                <w:rFonts w:ascii="Tahoma" w:hAnsi="Tahoma" w:cs="Tahoma"/>
                <w:sz w:val="22"/>
              </w:rPr>
            </w:pPr>
            <w:r w:rsidRPr="00360377">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D53402" w:rsidRPr="002856F3" w:rsidRDefault="00D53402">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EBFFEB"/>
            <w:vAlign w:val="center"/>
          </w:tcPr>
          <w:p w:rsidR="00D53402" w:rsidRPr="002856F3" w:rsidRDefault="00D53402">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12" w:space="0" w:color="auto"/>
            </w:tcBorders>
            <w:vAlign w:val="center"/>
          </w:tcPr>
          <w:p w:rsidR="00D53402" w:rsidRPr="002856F3" w:rsidRDefault="00D53402">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D53402" w:rsidRPr="002856F3" w:rsidRDefault="00D53402" w:rsidP="00BF6216">
            <w:pPr>
              <w:ind w:right="72"/>
              <w:rPr>
                <w:i/>
                <w:iCs/>
                <w:sz w:val="22"/>
              </w:rPr>
            </w:pPr>
            <w:r w:rsidRPr="002856F3">
              <w:rPr>
                <w:sz w:val="22"/>
                <w:szCs w:val="22"/>
              </w:rPr>
              <w:tab/>
            </w:r>
            <w:r w:rsidRPr="002856F3">
              <w:rPr>
                <w:i/>
                <w:iCs/>
                <w:sz w:val="22"/>
              </w:rPr>
              <w:t>Does the emission unit description above match what the facility is operating</w:t>
            </w:r>
            <w:r w:rsidR="002A0558">
              <w:rPr>
                <w:i/>
                <w:iCs/>
                <w:sz w:val="22"/>
              </w:rPr>
              <w:t xml:space="preserve">. </w:t>
            </w:r>
            <w:r w:rsidRPr="002856F3">
              <w:rPr>
                <w:i/>
                <w:iCs/>
                <w:sz w:val="22"/>
              </w:rPr>
              <w:t xml:space="preserve">   </w:t>
            </w:r>
            <w:r w:rsidR="00354DDD"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354DDD" w:rsidRPr="002856F3">
              <w:rPr>
                <w:rFonts w:eastAsia="MS Mincho"/>
                <w:i/>
                <w:iCs/>
                <w:sz w:val="22"/>
              </w:rPr>
            </w:r>
            <w:r w:rsidR="00354DDD" w:rsidRPr="002856F3">
              <w:rPr>
                <w:rFonts w:eastAsia="MS Mincho"/>
                <w:i/>
                <w:iCs/>
                <w:sz w:val="22"/>
              </w:rPr>
              <w:fldChar w:fldCharType="end"/>
            </w:r>
            <w:r w:rsidRPr="002856F3">
              <w:rPr>
                <w:rFonts w:eastAsia="MS Mincho"/>
                <w:i/>
                <w:iCs/>
                <w:sz w:val="22"/>
              </w:rPr>
              <w:t xml:space="preserve"> Yes   </w:t>
            </w:r>
            <w:r w:rsidRPr="002856F3">
              <w:rPr>
                <w:i/>
                <w:iCs/>
                <w:sz w:val="22"/>
              </w:rPr>
              <w:t xml:space="preserve"> </w:t>
            </w:r>
            <w:r w:rsidR="002A0558">
              <w:rPr>
                <w:rFonts w:eastAsia="MS Mincho"/>
                <w:i/>
                <w:iCs/>
                <w:sz w:val="22"/>
              </w:rPr>
              <w:fldChar w:fldCharType="begin">
                <w:ffData>
                  <w:name w:val=""/>
                  <w:enabled/>
                  <w:calcOnExit w:val="0"/>
                  <w:checkBox>
                    <w:sizeAuto/>
                    <w:default w:val="1"/>
                  </w:checkBox>
                </w:ffData>
              </w:fldChar>
            </w:r>
            <w:r w:rsidR="002A0558">
              <w:rPr>
                <w:rFonts w:eastAsia="MS Mincho"/>
                <w:i/>
                <w:iCs/>
                <w:sz w:val="22"/>
              </w:rPr>
              <w:instrText xml:space="preserve"> FORMCHECKBOX </w:instrText>
            </w:r>
            <w:r w:rsidR="002A0558">
              <w:rPr>
                <w:rFonts w:eastAsia="MS Mincho"/>
                <w:i/>
                <w:iCs/>
                <w:sz w:val="22"/>
              </w:rPr>
            </w:r>
            <w:r w:rsidR="002A0558">
              <w:rPr>
                <w:rFonts w:eastAsia="MS Mincho"/>
                <w:i/>
                <w:iCs/>
                <w:sz w:val="22"/>
              </w:rPr>
              <w:fldChar w:fldCharType="end"/>
            </w:r>
            <w:r w:rsidRPr="002856F3">
              <w:rPr>
                <w:rFonts w:eastAsia="MS Mincho"/>
                <w:i/>
                <w:iCs/>
                <w:sz w:val="22"/>
              </w:rPr>
              <w:t xml:space="preserve"> </w:t>
            </w:r>
            <w:r w:rsidRPr="002856F3">
              <w:rPr>
                <w:i/>
                <w:iCs/>
                <w:sz w:val="22"/>
              </w:rPr>
              <w:t>No</w:t>
            </w:r>
          </w:p>
          <w:p w:rsidR="00D53402" w:rsidRDefault="00D53402" w:rsidP="00046673">
            <w:pPr>
              <w:rPr>
                <w:i/>
                <w:sz w:val="22"/>
                <w:szCs w:val="22"/>
              </w:rPr>
            </w:pPr>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r w:rsidR="002A0558" w:rsidRPr="002A0558">
              <w:rPr>
                <w:i/>
                <w:sz w:val="22"/>
                <w:szCs w:val="22"/>
              </w:rPr>
              <w:t xml:space="preserve">See the attached plant layout </w:t>
            </w:r>
            <w:proofErr w:type="gramStart"/>
            <w:r w:rsidR="002A0558" w:rsidRPr="002A0558">
              <w:rPr>
                <w:i/>
                <w:sz w:val="22"/>
                <w:szCs w:val="22"/>
              </w:rPr>
              <w:t>and</w:t>
            </w:r>
            <w:r w:rsidR="002A0558">
              <w:rPr>
                <w:sz w:val="22"/>
                <w:szCs w:val="22"/>
              </w:rPr>
              <w:t xml:space="preserve">  </w:t>
            </w:r>
            <w:r w:rsidR="002A0558">
              <w:rPr>
                <w:i/>
                <w:sz w:val="22"/>
                <w:szCs w:val="22"/>
              </w:rPr>
              <w:t>the</w:t>
            </w:r>
            <w:proofErr w:type="gramEnd"/>
            <w:r w:rsidR="002A0558">
              <w:rPr>
                <w:i/>
                <w:sz w:val="22"/>
                <w:szCs w:val="22"/>
              </w:rPr>
              <w:t xml:space="preserve"> comments prior to Specific permit condition number 1 for more details.</w:t>
            </w:r>
          </w:p>
          <w:p w:rsidR="00360377" w:rsidRDefault="00360377" w:rsidP="00046673">
            <w:pPr>
              <w:rPr>
                <w:i/>
                <w:sz w:val="22"/>
                <w:szCs w:val="22"/>
              </w:rPr>
            </w:pPr>
          </w:p>
          <w:p w:rsidR="00360377" w:rsidRDefault="00360377" w:rsidP="00046673">
            <w:pPr>
              <w:rPr>
                <w:i/>
                <w:sz w:val="22"/>
                <w:szCs w:val="22"/>
              </w:rPr>
            </w:pPr>
          </w:p>
          <w:p w:rsidR="00672131" w:rsidRDefault="00672131" w:rsidP="00046673">
            <w:pPr>
              <w:rPr>
                <w:i/>
                <w:sz w:val="22"/>
                <w:szCs w:val="22"/>
              </w:rPr>
            </w:pPr>
          </w:p>
          <w:p w:rsidR="00360377" w:rsidRPr="002A0558" w:rsidRDefault="00360377" w:rsidP="00046673">
            <w:pPr>
              <w:rPr>
                <w:i/>
              </w:rPr>
            </w:pPr>
          </w:p>
        </w:tc>
      </w:tr>
    </w:tbl>
    <w:p w:rsidR="00D53402" w:rsidRPr="002856F3" w:rsidRDefault="00D53402">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00" w:type="dxa"/>
        <w:tblInd w:w="108" w:type="dxa"/>
        <w:tblBorders>
          <w:top w:val="single" w:sz="18"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tblPr>
      <w:tblGrid>
        <w:gridCol w:w="450"/>
        <w:gridCol w:w="630"/>
        <w:gridCol w:w="450"/>
        <w:gridCol w:w="389"/>
        <w:gridCol w:w="858"/>
        <w:gridCol w:w="389"/>
        <w:gridCol w:w="3854"/>
        <w:gridCol w:w="3780"/>
      </w:tblGrid>
      <w:tr w:rsidR="00D53402" w:rsidRPr="002856F3">
        <w:trPr>
          <w:trHeight w:val="351"/>
          <w:tblHeader/>
        </w:trPr>
        <w:tc>
          <w:tcPr>
            <w:tcW w:w="1080" w:type="dxa"/>
            <w:gridSpan w:val="2"/>
            <w:tcBorders>
              <w:top w:val="single" w:sz="18" w:space="0" w:color="auto"/>
              <w:bottom w:val="nil"/>
              <w:right w:val="nil"/>
            </w:tcBorders>
            <w:shd w:val="clear" w:color="auto" w:fill="E6E6E6"/>
            <w:vAlign w:val="center"/>
          </w:tcPr>
          <w:p w:rsidR="00D53402" w:rsidRPr="00360377" w:rsidRDefault="00D53402">
            <w:pPr>
              <w:tabs>
                <w:tab w:val="center" w:pos="5011"/>
              </w:tabs>
              <w:jc w:val="center"/>
              <w:rPr>
                <w:b/>
                <w:bCs/>
                <w:sz w:val="22"/>
              </w:rPr>
            </w:pPr>
            <w:r w:rsidRPr="00360377">
              <w:rPr>
                <w:rFonts w:ascii="Tahoma" w:hAnsi="Tahoma" w:cs="Tahoma"/>
                <w:b/>
                <w:sz w:val="22"/>
              </w:rPr>
              <w:lastRenderedPageBreak/>
              <w:sym w:font="Wingdings" w:char="F0FC"/>
            </w:r>
          </w:p>
        </w:tc>
        <w:tc>
          <w:tcPr>
            <w:tcW w:w="9720" w:type="dxa"/>
            <w:gridSpan w:val="6"/>
            <w:tcBorders>
              <w:top w:val="single" w:sz="18" w:space="0" w:color="auto"/>
              <w:left w:val="nil"/>
              <w:bottom w:val="nil"/>
            </w:tcBorders>
            <w:shd w:val="clear" w:color="auto" w:fill="E6E6E6"/>
            <w:vAlign w:val="center"/>
          </w:tcPr>
          <w:p w:rsidR="00D53402" w:rsidRPr="002856F3" w:rsidRDefault="00D53402">
            <w:pPr>
              <w:tabs>
                <w:tab w:val="center" w:pos="5011"/>
              </w:tabs>
              <w:jc w:val="center"/>
              <w:rPr>
                <w:b/>
                <w:bCs/>
                <w:color w:val="993300"/>
                <w:sz w:val="22"/>
              </w:rPr>
            </w:pPr>
            <w:r w:rsidRPr="002856F3">
              <w:rPr>
                <w:b/>
                <w:bCs/>
                <w:color w:val="993300"/>
                <w:sz w:val="22"/>
              </w:rPr>
              <w:t>C.  Other:</w:t>
            </w:r>
          </w:p>
        </w:tc>
      </w:tr>
      <w:tr w:rsidR="00D53402" w:rsidRPr="002856F3">
        <w:trPr>
          <w:cantSplit/>
        </w:trPr>
        <w:tc>
          <w:tcPr>
            <w:tcW w:w="10800" w:type="dxa"/>
            <w:gridSpan w:val="8"/>
            <w:tcBorders>
              <w:top w:val="nil"/>
              <w:bottom w:val="single" w:sz="18" w:space="0" w:color="auto"/>
            </w:tcBorders>
            <w:vAlign w:val="bottom"/>
          </w:tcPr>
          <w:p w:rsidR="00D53402" w:rsidRPr="002856F3" w:rsidRDefault="00D53402" w:rsidP="00933704">
            <w:pPr>
              <w:ind w:left="162"/>
              <w:jc w:val="center"/>
              <w:rPr>
                <w:b/>
                <w:sz w:val="22"/>
                <w:szCs w:val="22"/>
              </w:rPr>
            </w:pPr>
            <w:r w:rsidRPr="002856F3">
              <w:rPr>
                <w:b/>
                <w:sz w:val="22"/>
                <w:szCs w:val="22"/>
              </w:rPr>
              <w:t>Pollution Prevention Activities</w:t>
            </w:r>
          </w:p>
          <w:p w:rsidR="00D53402" w:rsidRPr="002856F3" w:rsidRDefault="00D53402"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2A0558">
              <w:rPr>
                <w:sz w:val="22"/>
                <w:szCs w:val="22"/>
              </w:rPr>
              <w:fldChar w:fldCharType="begin">
                <w:ffData>
                  <w:name w:val=""/>
                  <w:enabled/>
                  <w:calcOnExit w:val="0"/>
                  <w:checkBox>
                    <w:sizeAuto/>
                    <w:default w:val="1"/>
                  </w:checkBox>
                </w:ffData>
              </w:fldChar>
            </w:r>
            <w:r w:rsidR="002A0558">
              <w:rPr>
                <w:sz w:val="22"/>
                <w:szCs w:val="22"/>
              </w:rPr>
              <w:instrText xml:space="preserve"> FORMCHECKBOX </w:instrText>
            </w:r>
            <w:r w:rsidR="002A0558">
              <w:rPr>
                <w:sz w:val="22"/>
                <w:szCs w:val="22"/>
              </w:rPr>
            </w:r>
            <w:r w:rsidR="002A0558">
              <w:rPr>
                <w:sz w:val="22"/>
                <w:szCs w:val="22"/>
              </w:rPr>
              <w:fldChar w:fldCharType="end"/>
            </w:r>
            <w:r w:rsidRPr="002856F3">
              <w:rPr>
                <w:rFonts w:eastAsia="MS Mincho"/>
                <w:sz w:val="22"/>
                <w:szCs w:val="22"/>
              </w:rPr>
              <w:t xml:space="preserve"> </w:t>
            </w:r>
            <w:r w:rsidRPr="002856F3">
              <w:rPr>
                <w:sz w:val="22"/>
                <w:szCs w:val="22"/>
              </w:rPr>
              <w:t xml:space="preserve">P2 Brochure;   </w:t>
            </w:r>
            <w:r w:rsidR="00354DD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354DDD" w:rsidRPr="002856F3">
              <w:rPr>
                <w:sz w:val="22"/>
                <w:szCs w:val="22"/>
              </w:rPr>
            </w:r>
            <w:r w:rsidR="00354DDD"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354DD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354DDD" w:rsidRPr="002856F3">
              <w:rPr>
                <w:sz w:val="22"/>
                <w:szCs w:val="22"/>
              </w:rPr>
            </w:r>
            <w:r w:rsidR="00354DDD" w:rsidRPr="002856F3">
              <w:rPr>
                <w:sz w:val="22"/>
                <w:szCs w:val="22"/>
              </w:rPr>
              <w:fldChar w:fldCharType="end"/>
            </w:r>
            <w:r w:rsidRPr="002856F3">
              <w:rPr>
                <w:rFonts w:eastAsia="MS Mincho"/>
                <w:sz w:val="22"/>
                <w:szCs w:val="22"/>
              </w:rPr>
              <w:t xml:space="preserve"> </w:t>
            </w:r>
            <w:r w:rsidRPr="002856F3">
              <w:rPr>
                <w:sz w:val="22"/>
                <w:szCs w:val="22"/>
              </w:rPr>
              <w:t>P2 Checklist</w:t>
            </w:r>
          </w:p>
          <w:p w:rsidR="00D53402" w:rsidRPr="002856F3" w:rsidRDefault="00D53402"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354DD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354DDD" w:rsidRPr="002856F3">
              <w:rPr>
                <w:sz w:val="22"/>
                <w:szCs w:val="22"/>
              </w:rPr>
            </w:r>
            <w:r w:rsidR="00354DDD"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2A0558">
              <w:rPr>
                <w:sz w:val="22"/>
                <w:szCs w:val="22"/>
              </w:rPr>
              <w:fldChar w:fldCharType="begin">
                <w:ffData>
                  <w:name w:val="Check2"/>
                  <w:enabled/>
                  <w:calcOnExit w:val="0"/>
                  <w:checkBox>
                    <w:sizeAuto/>
                    <w:default w:val="1"/>
                  </w:checkBox>
                </w:ffData>
              </w:fldChar>
            </w:r>
            <w:r w:rsidR="002A0558">
              <w:rPr>
                <w:sz w:val="22"/>
                <w:szCs w:val="22"/>
              </w:rPr>
              <w:instrText xml:space="preserve"> FORMCHECKBOX </w:instrText>
            </w:r>
            <w:r w:rsidR="002A0558">
              <w:rPr>
                <w:sz w:val="22"/>
                <w:szCs w:val="22"/>
              </w:rPr>
            </w:r>
            <w:r w:rsidR="002A0558">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D53402" w:rsidRPr="002856F3" w:rsidRDefault="00354DDD" w:rsidP="00933704">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rFonts w:eastAsia="MS Mincho"/>
                <w:sz w:val="22"/>
                <w:szCs w:val="22"/>
              </w:rPr>
              <w:t xml:space="preserve"> </w:t>
            </w:r>
            <w:r w:rsidR="00D53402"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sz w:val="22"/>
                <w:szCs w:val="22"/>
              </w:rPr>
              <w:t xml:space="preserve"> Process Changes</w:t>
            </w:r>
          </w:p>
          <w:p w:rsidR="00D53402" w:rsidRPr="002856F3" w:rsidRDefault="00354DDD" w:rsidP="00933704">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rFonts w:eastAsia="MS Mincho"/>
                <w:sz w:val="22"/>
                <w:szCs w:val="22"/>
              </w:rPr>
              <w:t xml:space="preserve"> </w:t>
            </w:r>
            <w:r w:rsidR="00D53402"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D53402" w:rsidRPr="002856F3">
              <w:rPr>
                <w:sz w:val="22"/>
                <w:szCs w:val="22"/>
              </w:rPr>
              <w:instrText xml:space="preserve"> FORMCHECKBOX </w:instrText>
            </w:r>
            <w:r w:rsidRPr="002856F3">
              <w:rPr>
                <w:sz w:val="22"/>
                <w:szCs w:val="22"/>
              </w:rPr>
            </w:r>
            <w:r w:rsidRPr="002856F3">
              <w:rPr>
                <w:sz w:val="22"/>
                <w:szCs w:val="22"/>
              </w:rPr>
              <w:fldChar w:fldCharType="end"/>
            </w:r>
            <w:r w:rsidR="00D53402" w:rsidRPr="002856F3">
              <w:rPr>
                <w:rFonts w:eastAsia="MS Mincho"/>
                <w:sz w:val="22"/>
                <w:szCs w:val="22"/>
              </w:rPr>
              <w:t xml:space="preserve"> </w:t>
            </w:r>
            <w:r w:rsidR="00D53402" w:rsidRPr="002856F3">
              <w:rPr>
                <w:sz w:val="22"/>
                <w:szCs w:val="22"/>
              </w:rPr>
              <w:t xml:space="preserve">Other: </w:t>
            </w:r>
            <w:r w:rsidR="00D53402" w:rsidRPr="002856F3">
              <w:rPr>
                <w:sz w:val="22"/>
                <w:szCs w:val="22"/>
                <w:u w:val="single"/>
              </w:rPr>
              <w:t xml:space="preserve">  </w:t>
            </w:r>
            <w:r w:rsidR="00D53402" w:rsidRPr="002856F3">
              <w:rPr>
                <w:sz w:val="22"/>
                <w:szCs w:val="22"/>
                <w:u w:val="single"/>
              </w:rPr>
              <w:tab/>
            </w:r>
          </w:p>
          <w:p w:rsidR="00D53402" w:rsidRPr="002856F3" w:rsidRDefault="00D53402">
            <w:pPr>
              <w:rPr>
                <w:i/>
                <w:sz w:val="22"/>
                <w:szCs w:val="22"/>
              </w:rPr>
            </w:pPr>
            <w:r w:rsidRPr="002856F3">
              <w:rPr>
                <w:b/>
                <w:i/>
                <w:sz w:val="22"/>
                <w:szCs w:val="22"/>
              </w:rPr>
              <w:t>Comments:</w:t>
            </w:r>
            <w:r w:rsidRPr="002856F3">
              <w:rPr>
                <w:i/>
                <w:sz w:val="22"/>
                <w:szCs w:val="22"/>
              </w:rPr>
              <w:t xml:space="preserve">  </w:t>
            </w:r>
            <w:r w:rsidR="002A0558">
              <w:rPr>
                <w:i/>
                <w:sz w:val="22"/>
                <w:szCs w:val="22"/>
              </w:rPr>
              <w:t>NA</w:t>
            </w:r>
          </w:p>
          <w:p w:rsidR="00D53402" w:rsidRPr="002856F3" w:rsidRDefault="00D53402">
            <w:pPr>
              <w:rPr>
                <w:i/>
                <w:sz w:val="22"/>
                <w:szCs w:val="22"/>
              </w:rPr>
            </w:pPr>
            <w:r w:rsidRPr="002856F3">
              <w:rPr>
                <w:i/>
                <w:sz w:val="22"/>
                <w:szCs w:val="22"/>
              </w:rPr>
              <w:t xml:space="preserve"> </w:t>
            </w:r>
          </w:p>
        </w:tc>
      </w:tr>
      <w:tr w:rsidR="00D53402" w:rsidRPr="002856F3">
        <w:trPr>
          <w:cantSplit/>
        </w:trPr>
        <w:tc>
          <w:tcPr>
            <w:tcW w:w="10800" w:type="dxa"/>
            <w:gridSpan w:val="8"/>
            <w:tcBorders>
              <w:top w:val="single" w:sz="18" w:space="0" w:color="auto"/>
              <w:bottom w:val="double" w:sz="4" w:space="0" w:color="auto"/>
            </w:tcBorders>
            <w:vAlign w:val="bottom"/>
          </w:tcPr>
          <w:p w:rsidR="00D53402" w:rsidRPr="002856F3" w:rsidRDefault="00D53402" w:rsidP="00BF6216">
            <w:pPr>
              <w:ind w:left="432" w:right="162" w:hanging="270"/>
              <w:rPr>
                <w:sz w:val="22"/>
                <w:szCs w:val="22"/>
              </w:rPr>
            </w:pPr>
            <w:r w:rsidRPr="002856F3">
              <w:rPr>
                <w:color w:val="333399"/>
                <w:sz w:val="22"/>
                <w:szCs w:val="22"/>
              </w:rPr>
              <w:t>Closing Conference:</w:t>
            </w:r>
            <w:r w:rsidRPr="002856F3">
              <w:rPr>
                <w:sz w:val="22"/>
                <w:szCs w:val="22"/>
              </w:rPr>
              <w:t xml:space="preserve">  </w:t>
            </w:r>
            <w:r w:rsidR="00360377" w:rsidRPr="00360377">
              <w:rPr>
                <w:i/>
                <w:sz w:val="22"/>
                <w:szCs w:val="22"/>
              </w:rPr>
              <w:t xml:space="preserve">I informed Mr. York and Ms. Deck that </w:t>
            </w:r>
            <w:r w:rsidR="00360377">
              <w:rPr>
                <w:i/>
                <w:sz w:val="22"/>
                <w:szCs w:val="22"/>
              </w:rPr>
              <w:t>TWC is in compliance with applicable rules and permit conditions.</w:t>
            </w:r>
          </w:p>
          <w:p w:rsidR="00D53402" w:rsidRPr="002856F3" w:rsidRDefault="00D53402" w:rsidP="00873E7E">
            <w:pPr>
              <w:ind w:left="162"/>
              <w:rPr>
                <w:b/>
                <w:sz w:val="22"/>
                <w:szCs w:val="22"/>
              </w:rPr>
            </w:pPr>
          </w:p>
        </w:tc>
      </w:tr>
      <w:tr w:rsidR="00D53402" w:rsidRPr="002856F3">
        <w:trPr>
          <w:cantSplit/>
          <w:trHeight w:val="420"/>
        </w:trPr>
        <w:tc>
          <w:tcPr>
            <w:tcW w:w="10800" w:type="dxa"/>
            <w:gridSpan w:val="8"/>
            <w:tcBorders>
              <w:top w:val="double" w:sz="4" w:space="0" w:color="auto"/>
              <w:left w:val="double" w:sz="4" w:space="0" w:color="auto"/>
              <w:bottom w:val="single" w:sz="8" w:space="0" w:color="auto"/>
            </w:tcBorders>
            <w:vAlign w:val="center"/>
          </w:tcPr>
          <w:p w:rsidR="00D53402" w:rsidRPr="002856F3" w:rsidRDefault="00D53402">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DD0F41">
              <w:rPr>
                <w:noProof/>
                <w:sz w:val="22"/>
                <w:szCs w:val="22"/>
              </w:rPr>
              <w:t>Jose</w:t>
            </w:r>
            <w:r w:rsidRPr="002856F3">
              <w:rPr>
                <w:sz w:val="22"/>
                <w:szCs w:val="22"/>
              </w:rPr>
              <w:t xml:space="preserve"> </w:t>
            </w:r>
            <w:r w:rsidRPr="00DD0F41">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D53402" w:rsidRPr="002856F3">
        <w:trPr>
          <w:cantSplit/>
          <w:trHeight w:val="421"/>
        </w:trPr>
        <w:tc>
          <w:tcPr>
            <w:tcW w:w="7020" w:type="dxa"/>
            <w:gridSpan w:val="7"/>
            <w:tcBorders>
              <w:top w:val="single" w:sz="8" w:space="0" w:color="auto"/>
              <w:bottom w:val="double" w:sz="4" w:space="0" w:color="auto"/>
              <w:right w:val="single" w:sz="8" w:space="0" w:color="auto"/>
            </w:tcBorders>
            <w:vAlign w:val="center"/>
          </w:tcPr>
          <w:p w:rsidR="00D53402" w:rsidRPr="002856F3" w:rsidRDefault="00D53402">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780" w:type="dxa"/>
            <w:tcBorders>
              <w:top w:val="single" w:sz="8" w:space="0" w:color="auto"/>
              <w:left w:val="single" w:sz="8" w:space="0" w:color="auto"/>
              <w:bottom w:val="double" w:sz="4" w:space="0" w:color="auto"/>
            </w:tcBorders>
            <w:vAlign w:val="center"/>
          </w:tcPr>
          <w:p w:rsidR="00D53402" w:rsidRPr="002856F3" w:rsidRDefault="00D53402">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4C7CA9">
              <w:rPr>
                <w:b/>
                <w:bCs/>
                <w:color w:val="808080"/>
                <w:sz w:val="22"/>
              </w:rPr>
              <w:t>June 22, 2011</w:t>
            </w:r>
          </w:p>
        </w:tc>
      </w:tr>
      <w:tr w:rsidR="00D53402" w:rsidRPr="002856F3" w:rsidTr="004C7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50" w:type="dxa"/>
          <w:wAfter w:w="7634" w:type="dxa"/>
          <w:trHeight w:val="287"/>
        </w:trPr>
        <w:tc>
          <w:tcPr>
            <w:tcW w:w="1080" w:type="dxa"/>
            <w:gridSpan w:val="2"/>
            <w:tcBorders>
              <w:top w:val="double" w:sz="4" w:space="0" w:color="auto"/>
              <w:left w:val="single" w:sz="18" w:space="0" w:color="auto"/>
              <w:bottom w:val="single" w:sz="18" w:space="0" w:color="auto"/>
              <w:right w:val="single" w:sz="8" w:space="0" w:color="auto"/>
            </w:tcBorders>
          </w:tcPr>
          <w:p w:rsidR="00D53402" w:rsidRPr="002856F3" w:rsidRDefault="00D53402">
            <w:pPr>
              <w:pStyle w:val="Heading1"/>
              <w:rPr>
                <w:color w:val="808080"/>
              </w:rPr>
            </w:pPr>
            <w:proofErr w:type="gramStart"/>
            <w:r w:rsidRPr="002856F3">
              <w:rPr>
                <w:color w:val="808080"/>
              </w:rPr>
              <w:t>ACCESS?</w:t>
            </w:r>
            <w:proofErr w:type="gramEnd"/>
          </w:p>
        </w:tc>
        <w:tc>
          <w:tcPr>
            <w:tcW w:w="389" w:type="dxa"/>
            <w:tcBorders>
              <w:left w:val="single" w:sz="8" w:space="0" w:color="auto"/>
              <w:bottom w:val="single" w:sz="18" w:space="0" w:color="auto"/>
              <w:right w:val="single" w:sz="12" w:space="0" w:color="auto"/>
            </w:tcBorders>
            <w:shd w:val="clear" w:color="auto" w:fill="F3F3F3"/>
            <w:vAlign w:val="center"/>
          </w:tcPr>
          <w:p w:rsidR="00D53402" w:rsidRPr="002856F3" w:rsidRDefault="00360377">
            <w:pPr>
              <w:spacing w:line="-261" w:lineRule="auto"/>
              <w:jc w:val="center"/>
              <w:rPr>
                <w:rFonts w:ascii="Tahoma" w:hAnsi="Tahoma" w:cs="Tahoma"/>
                <w:b/>
                <w:color w:val="000000"/>
                <w:sz w:val="18"/>
              </w:rPr>
            </w:pPr>
            <w:r w:rsidRPr="00360377">
              <w:rPr>
                <w:rFonts w:ascii="Tahoma" w:hAnsi="Tahoma" w:cs="Tahoma"/>
                <w:b/>
                <w:sz w:val="22"/>
              </w:rPr>
              <w:sym w:font="Wingdings" w:char="F0FC"/>
            </w:r>
          </w:p>
        </w:tc>
        <w:tc>
          <w:tcPr>
            <w:tcW w:w="858" w:type="dxa"/>
            <w:tcBorders>
              <w:top w:val="nil"/>
              <w:left w:val="single" w:sz="12" w:space="0" w:color="auto"/>
              <w:bottom w:val="single" w:sz="18" w:space="0" w:color="auto"/>
            </w:tcBorders>
            <w:vAlign w:val="center"/>
          </w:tcPr>
          <w:p w:rsidR="00D53402" w:rsidRPr="002856F3" w:rsidRDefault="002A0558">
            <w:pPr>
              <w:pStyle w:val="Heading1"/>
              <w:rPr>
                <w:color w:val="808080"/>
              </w:rPr>
            </w:pPr>
            <w:proofErr w:type="gramStart"/>
            <w:r>
              <w:rPr>
                <w:color w:val="808080"/>
              </w:rPr>
              <w:t>EASIIR</w:t>
            </w:r>
            <w:r w:rsidR="00D53402" w:rsidRPr="002856F3">
              <w:rPr>
                <w:color w:val="808080"/>
              </w:rPr>
              <w:t>?</w:t>
            </w:r>
            <w:proofErr w:type="gramEnd"/>
          </w:p>
        </w:tc>
        <w:tc>
          <w:tcPr>
            <w:tcW w:w="389" w:type="dxa"/>
            <w:tcBorders>
              <w:bottom w:val="single" w:sz="18" w:space="0" w:color="auto"/>
              <w:right w:val="single" w:sz="12" w:space="0" w:color="auto"/>
            </w:tcBorders>
            <w:shd w:val="clear" w:color="auto" w:fill="F3F3F3"/>
            <w:vAlign w:val="center"/>
          </w:tcPr>
          <w:p w:rsidR="00D53402" w:rsidRPr="002856F3" w:rsidRDefault="00360377">
            <w:pPr>
              <w:spacing w:line="-261" w:lineRule="auto"/>
              <w:jc w:val="center"/>
              <w:rPr>
                <w:rFonts w:ascii="Tahoma" w:hAnsi="Tahoma" w:cs="Tahoma"/>
              </w:rPr>
            </w:pPr>
            <w:r w:rsidRPr="00360377">
              <w:rPr>
                <w:rFonts w:ascii="Tahoma" w:hAnsi="Tahoma" w:cs="Tahoma"/>
                <w:b/>
                <w:sz w:val="22"/>
              </w:rPr>
              <w:sym w:font="Wingdings" w:char="F0FC"/>
            </w:r>
          </w:p>
        </w:tc>
      </w:tr>
    </w:tbl>
    <w:p w:rsidR="00D53402" w:rsidRPr="002856F3" w:rsidRDefault="00D53402">
      <w:pPr>
        <w:tabs>
          <w:tab w:val="left" w:pos="360"/>
          <w:tab w:val="left" w:pos="2160"/>
          <w:tab w:val="left" w:pos="3780"/>
          <w:tab w:val="left" w:pos="4410"/>
          <w:tab w:val="left" w:pos="6030"/>
          <w:tab w:val="left" w:pos="7470"/>
          <w:tab w:val="left" w:pos="8550"/>
          <w:tab w:val="left" w:pos="9720"/>
        </w:tabs>
        <w:rPr>
          <w:color w:val="000000"/>
          <w:sz w:val="18"/>
        </w:rPr>
        <w:sectPr w:rsidR="00D53402" w:rsidRPr="002856F3" w:rsidSect="00D53402">
          <w:footerReference w:type="default" r:id="rId7"/>
          <w:pgSz w:w="12240" w:h="15840" w:code="1"/>
          <w:pgMar w:top="720" w:right="720" w:bottom="720" w:left="720" w:header="720" w:footer="390" w:gutter="0"/>
          <w:pgNumType w:start="1"/>
          <w:cols w:space="720"/>
        </w:sectPr>
      </w:pPr>
    </w:p>
    <w:p w:rsidR="00D53402" w:rsidRPr="002856F3" w:rsidRDefault="00C66B0E" w:rsidP="00EE4E95">
      <w:pPr>
        <w:rPr>
          <w:color w:val="000000"/>
          <w:sz w:val="18"/>
        </w:rPr>
        <w:sectPr w:rsidR="00D53402" w:rsidRPr="002856F3" w:rsidSect="008D407F">
          <w:footerReference w:type="default" r:id="rId8"/>
          <w:type w:val="continuous"/>
          <w:pgSz w:w="12240" w:h="15840" w:code="1"/>
          <w:pgMar w:top="720" w:right="720" w:bottom="720" w:left="720" w:header="720" w:footer="390" w:gutter="0"/>
          <w:pgNumType w:start="1"/>
          <w:cols w:space="720"/>
        </w:sectPr>
      </w:pPr>
      <w:fldSimple w:instr=" FILENAME  \p  \* MERGEFORMAT ">
        <w:r>
          <w:rPr>
            <w:noProof/>
          </w:rPr>
          <w:t>H:\USERS\WPDOCS\Airqual\Air_Compliance\AQI\1030150 002 75634.docx</w:t>
        </w:r>
      </w:fldSimple>
      <w:r w:rsidR="001F2D53">
        <w:rPr>
          <w:color w:val="000000"/>
          <w:sz w:val="18"/>
        </w:rPr>
        <w:t xml:space="preserve"> </w:t>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560"/>
        <w:gridCol w:w="1544"/>
        <w:gridCol w:w="3136"/>
        <w:gridCol w:w="4560"/>
      </w:tblGrid>
      <w:tr w:rsidR="00D53402" w:rsidRPr="002856F3" w:rsidTr="00243736">
        <w:trPr>
          <w:jc w:val="center"/>
        </w:trPr>
        <w:tc>
          <w:tcPr>
            <w:tcW w:w="1560" w:type="dxa"/>
          </w:tcPr>
          <w:p w:rsidR="00D53402" w:rsidRPr="002856F3" w:rsidRDefault="00D53402" w:rsidP="00243736">
            <w:pPr>
              <w:rPr>
                <w:rFonts w:ascii="Arial" w:hAnsi="Arial"/>
              </w:rPr>
            </w:pPr>
            <w:r w:rsidRPr="002856F3">
              <w:rPr>
                <w:rFonts w:ascii="Arial" w:hAnsi="Arial"/>
                <w:sz w:val="16"/>
              </w:rPr>
              <w:lastRenderedPageBreak/>
              <w:t>AIRS ID</w:t>
            </w:r>
          </w:p>
          <w:p w:rsidR="00D53402" w:rsidRPr="002856F3" w:rsidRDefault="00D53402" w:rsidP="00243736">
            <w:pPr>
              <w:rPr>
                <w:rFonts w:ascii="Arial" w:hAnsi="Arial"/>
              </w:rPr>
            </w:pPr>
            <w:r w:rsidRPr="00DD0F41">
              <w:rPr>
                <w:noProof/>
                <w:sz w:val="22"/>
                <w:u w:val="single"/>
              </w:rPr>
              <w:t>1030150</w:t>
            </w:r>
          </w:p>
        </w:tc>
        <w:tc>
          <w:tcPr>
            <w:tcW w:w="4680" w:type="dxa"/>
            <w:gridSpan w:val="2"/>
          </w:tcPr>
          <w:p w:rsidR="00D53402" w:rsidRPr="002856F3" w:rsidRDefault="00D53402" w:rsidP="00243736">
            <w:pPr>
              <w:rPr>
                <w:rFonts w:ascii="Arial" w:hAnsi="Arial"/>
              </w:rPr>
            </w:pPr>
            <w:r w:rsidRPr="002856F3">
              <w:rPr>
                <w:rFonts w:ascii="Arial" w:hAnsi="Arial"/>
                <w:sz w:val="16"/>
              </w:rPr>
              <w:t>OWNER</w:t>
            </w:r>
          </w:p>
          <w:p w:rsidR="00D53402" w:rsidRPr="002856F3" w:rsidRDefault="00D53402" w:rsidP="00243736">
            <w:pPr>
              <w:rPr>
                <w:rFonts w:ascii="Arial" w:hAnsi="Arial"/>
              </w:rPr>
            </w:pPr>
            <w:r w:rsidRPr="00DD0F41">
              <w:rPr>
                <w:noProof/>
                <w:sz w:val="22"/>
                <w:u w:val="single"/>
              </w:rPr>
              <w:t>West Pharmaceutical Services of Florida, Inc.</w:t>
            </w:r>
          </w:p>
        </w:tc>
        <w:tc>
          <w:tcPr>
            <w:tcW w:w="4560" w:type="dxa"/>
          </w:tcPr>
          <w:p w:rsidR="00D53402" w:rsidRPr="002856F3" w:rsidRDefault="00D53402">
            <w:pPr>
              <w:rPr>
                <w:rFonts w:ascii="Arial" w:hAnsi="Arial"/>
              </w:rPr>
            </w:pPr>
            <w:r w:rsidRPr="002856F3">
              <w:rPr>
                <w:rFonts w:ascii="Arial" w:hAnsi="Arial"/>
                <w:sz w:val="16"/>
              </w:rPr>
              <w:t>FACILITY NAME</w:t>
            </w:r>
          </w:p>
          <w:p w:rsidR="00D53402" w:rsidRPr="002856F3" w:rsidRDefault="00D53402">
            <w:pPr>
              <w:rPr>
                <w:rFonts w:ascii="Arial" w:hAnsi="Arial"/>
              </w:rPr>
            </w:pPr>
            <w:r w:rsidRPr="00DD0F41">
              <w:rPr>
                <w:noProof/>
                <w:sz w:val="22"/>
                <w:u w:val="single"/>
              </w:rPr>
              <w:t>West Pharmaceutical Services, Clearwater</w:t>
            </w:r>
          </w:p>
        </w:tc>
      </w:tr>
      <w:tr w:rsidR="00D53402" w:rsidRPr="002856F3" w:rsidTr="00243736">
        <w:trPr>
          <w:jc w:val="center"/>
        </w:trPr>
        <w:tc>
          <w:tcPr>
            <w:tcW w:w="3104" w:type="dxa"/>
            <w:gridSpan w:val="2"/>
            <w:vAlign w:val="center"/>
          </w:tcPr>
          <w:p w:rsidR="00D53402" w:rsidRPr="002856F3" w:rsidRDefault="00354DDD" w:rsidP="00243736">
            <w:pPr>
              <w:rPr>
                <w:rFonts w:ascii="Webdings" w:hAnsi="Webdings"/>
                <w:sz w:val="20"/>
              </w:rPr>
            </w:pPr>
            <w:r w:rsidRPr="002856F3">
              <w:rPr>
                <w:rFonts w:ascii="Webdings" w:hAnsi="Webdings"/>
                <w:sz w:val="20"/>
              </w:rPr>
              <w:fldChar w:fldCharType="begin"/>
            </w:r>
            <w:r w:rsidR="00D53402" w:rsidRPr="002856F3">
              <w:rPr>
                <w:rFonts w:ascii="Webdings" w:hAnsi="Webdings"/>
                <w:sz w:val="20"/>
              </w:rPr>
              <w:instrText xml:space="preserve"> MACROBUTTON  CheckBoxFormField </w:instrText>
            </w:r>
            <w:r w:rsidRPr="002856F3">
              <w:rPr>
                <w:rFonts w:ascii="Webdings" w:hAnsi="Webdings"/>
                <w:sz w:val="20"/>
              </w:rPr>
              <w:fldChar w:fldCharType="end"/>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rPr>
              <w:t xml:space="preserve"> </w:t>
            </w:r>
            <w:r w:rsidR="00D53402" w:rsidRPr="002856F3">
              <w:rPr>
                <w:rFonts w:ascii="Arial" w:hAnsi="Arial"/>
                <w:sz w:val="20"/>
              </w:rPr>
              <w:t>TITLE V</w:t>
            </w:r>
            <w:r w:rsidR="00D53402" w:rsidRPr="002856F3">
              <w:rPr>
                <w:rFonts w:ascii="Arial" w:hAnsi="Arial"/>
              </w:rPr>
              <w:t xml:space="preserve"> </w:t>
            </w:r>
          </w:p>
        </w:tc>
        <w:tc>
          <w:tcPr>
            <w:tcW w:w="3136" w:type="dxa"/>
            <w:vAlign w:val="center"/>
          </w:tcPr>
          <w:p w:rsidR="00D53402" w:rsidRPr="002856F3" w:rsidRDefault="00003809" w:rsidP="00243736">
            <w:pPr>
              <w:rPr>
                <w:rFonts w:ascii="Webdings" w:hAnsi="Webdings"/>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53402" w:rsidRPr="002856F3">
              <w:rPr>
                <w:rFonts w:ascii="Arial" w:hAnsi="Arial"/>
              </w:rPr>
              <w:t xml:space="preserve"> </w:t>
            </w:r>
            <w:r w:rsidR="00D53402" w:rsidRPr="002856F3">
              <w:rPr>
                <w:rFonts w:ascii="Arial" w:hAnsi="Arial"/>
                <w:sz w:val="20"/>
              </w:rPr>
              <w:t>SYNTHETIC MINOR</w:t>
            </w:r>
          </w:p>
        </w:tc>
        <w:tc>
          <w:tcPr>
            <w:tcW w:w="4560" w:type="dxa"/>
            <w:vAlign w:val="center"/>
          </w:tcPr>
          <w:p w:rsidR="00D53402" w:rsidRPr="002856F3" w:rsidRDefault="00D53402" w:rsidP="00243736">
            <w:pPr>
              <w:rPr>
                <w:rFonts w:ascii="Arial" w:hAnsi="Arial"/>
              </w:rPr>
            </w:pPr>
            <w:r w:rsidRPr="002856F3">
              <w:rPr>
                <w:rFonts w:ascii="Arial" w:hAnsi="Arial"/>
                <w:sz w:val="16"/>
              </w:rPr>
              <w:t>DATE OF THIS FCE</w:t>
            </w:r>
          </w:p>
          <w:p w:rsidR="00D53402" w:rsidRPr="002856F3" w:rsidRDefault="00003809" w:rsidP="00243736">
            <w:pPr>
              <w:ind w:left="12" w:hanging="12"/>
              <w:rPr>
                <w:rFonts w:ascii="Arial" w:hAnsi="Arial"/>
                <w:sz w:val="20"/>
              </w:rPr>
            </w:pPr>
            <w:r>
              <w:rPr>
                <w:rFonts w:ascii="Arial" w:hAnsi="Arial"/>
                <w:sz w:val="20"/>
              </w:rPr>
              <w:t xml:space="preserve">                           7/19/2011</w:t>
            </w:r>
          </w:p>
        </w:tc>
      </w:tr>
      <w:tr w:rsidR="00D53402" w:rsidRPr="002856F3" w:rsidTr="00243736">
        <w:trPr>
          <w:jc w:val="center"/>
        </w:trPr>
        <w:tc>
          <w:tcPr>
            <w:tcW w:w="3104" w:type="dxa"/>
            <w:gridSpan w:val="2"/>
            <w:tcBorders>
              <w:top w:val="single" w:sz="4" w:space="0" w:color="auto"/>
              <w:left w:val="single" w:sz="12" w:space="0" w:color="auto"/>
              <w:bottom w:val="single" w:sz="12" w:space="0" w:color="auto"/>
              <w:right w:val="single" w:sz="4" w:space="0" w:color="auto"/>
            </w:tcBorders>
            <w:vAlign w:val="center"/>
          </w:tcPr>
          <w:p w:rsidR="00D53402" w:rsidRPr="002856F3" w:rsidRDefault="00354DDD" w:rsidP="00243736">
            <w:pPr>
              <w:rPr>
                <w:rFonts w:ascii="Arial" w:hAnsi="Arial"/>
              </w:rPr>
            </w:pPr>
            <w:r w:rsidRPr="002856F3">
              <w:rPr>
                <w:rFonts w:ascii="Arial" w:hAnsi="Arial"/>
                <w:sz w:val="20"/>
              </w:rPr>
              <w:fldChar w:fldCharType="begin">
                <w:ffData>
                  <w:name w:val="Check2"/>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D53402" w:rsidRPr="002856F3">
              <w:rPr>
                <w:rFonts w:ascii="Arial" w:hAnsi="Arial"/>
              </w:rPr>
              <w:t xml:space="preserve"> </w:t>
            </w:r>
            <w:r w:rsidR="00D53402" w:rsidRPr="002856F3">
              <w:rPr>
                <w:rFonts w:ascii="Arial" w:hAnsi="Arial"/>
                <w:sz w:val="20"/>
              </w:rPr>
              <w:t>TITLE V MEGA-SITE*</w:t>
            </w:r>
          </w:p>
        </w:tc>
        <w:tc>
          <w:tcPr>
            <w:tcW w:w="3136" w:type="dxa"/>
            <w:tcBorders>
              <w:top w:val="single" w:sz="4" w:space="0" w:color="auto"/>
              <w:left w:val="single" w:sz="4" w:space="0" w:color="auto"/>
              <w:bottom w:val="single" w:sz="12" w:space="0" w:color="auto"/>
              <w:right w:val="single" w:sz="4" w:space="0" w:color="auto"/>
            </w:tcBorders>
            <w:vAlign w:val="center"/>
          </w:tcPr>
          <w:p w:rsidR="00D53402" w:rsidRPr="002856F3" w:rsidRDefault="00354DDD" w:rsidP="00243736">
            <w:pPr>
              <w:rPr>
                <w:rFonts w:ascii="Arial" w:hAnsi="Arial"/>
              </w:rPr>
            </w:pPr>
            <w:r w:rsidRPr="002856F3">
              <w:rPr>
                <w:rFonts w:ascii="Arial" w:hAnsi="Arial"/>
                <w:sz w:val="20"/>
              </w:rPr>
              <w:fldChar w:fldCharType="begin">
                <w:ffData>
                  <w:name w:val="Check2"/>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D53402" w:rsidRPr="002856F3">
              <w:rPr>
                <w:rFonts w:ascii="Arial" w:hAnsi="Arial"/>
              </w:rPr>
              <w:t xml:space="preserve"> </w:t>
            </w:r>
            <w:r w:rsidR="00D53402" w:rsidRPr="002856F3">
              <w:rPr>
                <w:rFonts w:ascii="Arial" w:hAnsi="Arial"/>
                <w:sz w:val="20"/>
              </w:rPr>
              <w:t>OTHER</w:t>
            </w:r>
          </w:p>
        </w:tc>
        <w:tc>
          <w:tcPr>
            <w:tcW w:w="4560" w:type="dxa"/>
            <w:tcBorders>
              <w:top w:val="single" w:sz="4" w:space="0" w:color="auto"/>
              <w:left w:val="single" w:sz="4" w:space="0" w:color="auto"/>
              <w:bottom w:val="single" w:sz="12" w:space="0" w:color="auto"/>
              <w:right w:val="single" w:sz="12" w:space="0" w:color="auto"/>
            </w:tcBorders>
            <w:vAlign w:val="center"/>
          </w:tcPr>
          <w:p w:rsidR="00D53402" w:rsidRPr="002856F3" w:rsidRDefault="00D53402" w:rsidP="00243736">
            <w:pPr>
              <w:rPr>
                <w:rFonts w:ascii="Arial" w:hAnsi="Arial"/>
              </w:rPr>
            </w:pPr>
            <w:r w:rsidRPr="002856F3">
              <w:rPr>
                <w:rFonts w:ascii="Arial" w:hAnsi="Arial"/>
                <w:sz w:val="16"/>
              </w:rPr>
              <w:t>DATE OF LAST FCE</w:t>
            </w:r>
          </w:p>
          <w:p w:rsidR="00D53402" w:rsidRPr="002856F3" w:rsidRDefault="00003809" w:rsidP="00243736">
            <w:pPr>
              <w:rPr>
                <w:rFonts w:ascii="Arial" w:hAnsi="Arial"/>
                <w:sz w:val="20"/>
              </w:rPr>
            </w:pPr>
            <w:r>
              <w:rPr>
                <w:rFonts w:ascii="Arial" w:hAnsi="Arial"/>
                <w:sz w:val="20"/>
              </w:rPr>
              <w:t xml:space="preserve">                           9/22/2009</w:t>
            </w:r>
          </w:p>
        </w:tc>
      </w:tr>
    </w:tbl>
    <w:p w:rsidR="00D53402" w:rsidRPr="002856F3" w:rsidRDefault="00D53402">
      <w:pPr>
        <w:rPr>
          <w:sz w:val="16"/>
        </w:rPr>
      </w:pPr>
      <w:r w:rsidRPr="002856F3">
        <w:rPr>
          <w:sz w:val="16"/>
        </w:rPr>
        <w:t>*Facility with a large number of complex emissions units.  It is more reasonable to evaluate a Title V Mega-Site once every 3 years instead of once every 2 years.</w:t>
      </w:r>
    </w:p>
    <w:p w:rsidR="00D53402" w:rsidRPr="002856F3" w:rsidRDefault="00D53402" w:rsidP="00243736">
      <w:pPr>
        <w:jc w:val="center"/>
        <w:rPr>
          <w:smallCaps/>
        </w:rPr>
      </w:pPr>
    </w:p>
    <w:p w:rsidR="00D53402" w:rsidRPr="002856F3" w:rsidRDefault="00D53402" w:rsidP="00243736">
      <w:pPr>
        <w:jc w:val="center"/>
        <w:rPr>
          <w:smallCaps/>
        </w:rPr>
      </w:pPr>
      <w:r w:rsidRPr="002856F3">
        <w:rPr>
          <w:smallCaps/>
        </w:rPr>
        <w:t>Review of All Required Reports</w:t>
      </w:r>
    </w:p>
    <w:p w:rsidR="00D53402" w:rsidRPr="002856F3" w:rsidRDefault="00D53402"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D53402"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D53402" w:rsidRPr="002856F3" w:rsidRDefault="00D53402" w:rsidP="00243736">
            <w:pPr>
              <w:jc w:val="center"/>
              <w:rPr>
                <w:rFonts w:ascii="Arial" w:hAnsi="Arial"/>
                <w:sz w:val="20"/>
              </w:rPr>
            </w:pPr>
            <w:r w:rsidRPr="002856F3">
              <w:rPr>
                <w:rFonts w:ascii="Arial" w:hAnsi="Arial"/>
                <w:sz w:val="20"/>
              </w:rPr>
              <w:t>PERIODIC REPORTS</w:t>
            </w:r>
          </w:p>
        </w:tc>
        <w:tc>
          <w:tcPr>
            <w:tcW w:w="4579" w:type="dxa"/>
            <w:tcBorders>
              <w:top w:val="single" w:sz="12" w:space="0" w:color="auto"/>
              <w:bottom w:val="single" w:sz="4" w:space="0" w:color="auto"/>
            </w:tcBorders>
            <w:shd w:val="clear" w:color="auto" w:fill="E0E0E0"/>
          </w:tcPr>
          <w:p w:rsidR="00D53402" w:rsidRPr="002856F3" w:rsidRDefault="00D53402" w:rsidP="00243736">
            <w:pPr>
              <w:jc w:val="center"/>
              <w:rPr>
                <w:rFonts w:ascii="Arial" w:hAnsi="Arial"/>
                <w:sz w:val="20"/>
              </w:rPr>
            </w:pPr>
            <w:r w:rsidRPr="002856F3">
              <w:rPr>
                <w:rFonts w:ascii="Arial" w:hAnsi="Arial"/>
                <w:sz w:val="20"/>
              </w:rPr>
              <w:t>COMMENTS</w:t>
            </w:r>
          </w:p>
        </w:tc>
      </w:tr>
      <w:bookmarkStart w:id="2" w:name="Check1"/>
      <w:tr w:rsidR="00D53402" w:rsidRPr="002856F3" w:rsidTr="00243736">
        <w:trPr>
          <w:jc w:val="center"/>
        </w:trPr>
        <w:tc>
          <w:tcPr>
            <w:tcW w:w="1892" w:type="dxa"/>
            <w:tcBorders>
              <w:top w:val="single" w:sz="4" w:space="0" w:color="auto"/>
            </w:tcBorders>
            <w:vAlign w:val="center"/>
          </w:tcPr>
          <w:p w:rsidR="00D53402" w:rsidRPr="002856F3" w:rsidRDefault="00431F24" w:rsidP="00243736">
            <w:pPr>
              <w:rPr>
                <w:rFonts w:ascii="Arial" w:hAnsi="Arial"/>
                <w:sz w:val="20"/>
              </w:rPr>
            </w:pPr>
            <w:r>
              <w:rPr>
                <w:rFonts w:ascii="Arial" w:hAnsi="Arial"/>
              </w:rPr>
              <w:fldChar w:fldCharType="begin">
                <w:ffData>
                  <w:name w:val="Check1"/>
                  <w:enabled/>
                  <w:calcOnExit w:val="0"/>
                  <w:checkBox>
                    <w:size w:val="18"/>
                    <w:default w:val="1"/>
                  </w:checkBox>
                </w:ffData>
              </w:fldChar>
            </w:r>
            <w:r>
              <w:rPr>
                <w:rFonts w:ascii="Arial" w:hAnsi="Arial"/>
              </w:rPr>
              <w:instrText xml:space="preserve"> FORMCHECKBOX </w:instrText>
            </w:r>
            <w:r>
              <w:rPr>
                <w:rFonts w:ascii="Arial" w:hAnsi="Arial"/>
              </w:rPr>
            </w:r>
            <w:r>
              <w:rPr>
                <w:rFonts w:ascii="Arial" w:hAnsi="Arial"/>
              </w:rPr>
              <w:fldChar w:fldCharType="end"/>
            </w:r>
            <w:bookmarkEnd w:id="2"/>
            <w:r w:rsidR="00D53402" w:rsidRPr="002856F3">
              <w:rPr>
                <w:rFonts w:ascii="Arial" w:hAnsi="Arial"/>
                <w:sz w:val="20"/>
              </w:rPr>
              <w:t xml:space="preserve"> DONE   </w:t>
            </w:r>
            <w:r w:rsidR="00354DDD"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00354DDD" w:rsidRPr="002856F3">
              <w:rPr>
                <w:rFonts w:ascii="Arial" w:hAnsi="Arial"/>
              </w:rPr>
            </w:r>
            <w:r w:rsidR="00354DDD" w:rsidRPr="002856F3">
              <w:rPr>
                <w:rFonts w:ascii="Arial" w:hAnsi="Arial"/>
              </w:rPr>
              <w:fldChar w:fldCharType="end"/>
            </w:r>
            <w:r w:rsidR="00D53402" w:rsidRPr="002856F3">
              <w:rPr>
                <w:rFonts w:ascii="Arial" w:hAnsi="Arial"/>
                <w:sz w:val="20"/>
              </w:rPr>
              <w:t xml:space="preserve"> N/A</w:t>
            </w:r>
          </w:p>
        </w:tc>
        <w:tc>
          <w:tcPr>
            <w:tcW w:w="4329" w:type="dxa"/>
            <w:tcBorders>
              <w:top w:val="single" w:sz="4" w:space="0" w:color="auto"/>
            </w:tcBorders>
            <w:vAlign w:val="center"/>
          </w:tcPr>
          <w:p w:rsidR="00D53402" w:rsidRPr="002856F3" w:rsidRDefault="00D53402" w:rsidP="00243736">
            <w:pPr>
              <w:rPr>
                <w:rFonts w:ascii="Arial" w:hAnsi="Arial"/>
                <w:sz w:val="20"/>
              </w:rPr>
            </w:pPr>
            <w:r w:rsidRPr="002856F3">
              <w:rPr>
                <w:rFonts w:ascii="Arial" w:hAnsi="Arial"/>
                <w:sz w:val="20"/>
              </w:rPr>
              <w:t>Annual operating report</w:t>
            </w:r>
          </w:p>
        </w:tc>
        <w:tc>
          <w:tcPr>
            <w:tcW w:w="4579" w:type="dxa"/>
            <w:tcBorders>
              <w:top w:val="single" w:sz="4" w:space="0" w:color="auto"/>
            </w:tcBorders>
          </w:tcPr>
          <w:p w:rsidR="00D53402" w:rsidRPr="002856F3" w:rsidRDefault="00D53402" w:rsidP="00243736">
            <w:pPr>
              <w:rPr>
                <w:rFonts w:ascii="Arial" w:hAnsi="Arial"/>
                <w:sz w:val="20"/>
              </w:rPr>
            </w:pPr>
          </w:p>
        </w:tc>
      </w:tr>
      <w:tr w:rsidR="00D53402" w:rsidRPr="002856F3" w:rsidTr="00243736">
        <w:trPr>
          <w:trHeight w:val="186"/>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Statement of compliance</w:t>
            </w:r>
          </w:p>
        </w:tc>
        <w:tc>
          <w:tcPr>
            <w:tcW w:w="4579" w:type="dxa"/>
          </w:tcPr>
          <w:p w:rsidR="00D53402" w:rsidRPr="002856F3" w:rsidRDefault="00D53402" w:rsidP="00243736">
            <w:pPr>
              <w:rPr>
                <w:rFonts w:ascii="Arial" w:hAnsi="Arial"/>
                <w:sz w:val="20"/>
              </w:rPr>
            </w:pPr>
          </w:p>
        </w:tc>
      </w:tr>
      <w:tr w:rsidR="00D53402" w:rsidRPr="002856F3" w:rsidTr="00243736">
        <w:trPr>
          <w:trHeight w:val="70"/>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16"/>
              </w:rPr>
            </w:pPr>
            <w:r w:rsidRPr="002856F3">
              <w:rPr>
                <w:rFonts w:ascii="Arial" w:hAnsi="Arial"/>
                <w:sz w:val="20"/>
              </w:rPr>
              <w:t>Annual</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16"/>
              </w:rPr>
            </w:pPr>
            <w:r w:rsidRPr="002856F3">
              <w:rPr>
                <w:rFonts w:ascii="Arial" w:hAnsi="Arial"/>
                <w:sz w:val="20"/>
              </w:rPr>
              <w:t>Semi-annual</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Quarterly</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Other :</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Other :</w:t>
            </w:r>
          </w:p>
        </w:tc>
        <w:tc>
          <w:tcPr>
            <w:tcW w:w="4579" w:type="dxa"/>
          </w:tcPr>
          <w:p w:rsidR="00D53402" w:rsidRPr="002856F3" w:rsidRDefault="00D53402" w:rsidP="00243736">
            <w:pPr>
              <w:rPr>
                <w:rFonts w:ascii="Arial" w:hAnsi="Arial"/>
                <w:sz w:val="20"/>
              </w:rPr>
            </w:pPr>
          </w:p>
        </w:tc>
      </w:tr>
    </w:tbl>
    <w:p w:rsidR="00D53402" w:rsidRPr="002856F3" w:rsidRDefault="00D53402"/>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D53402"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D53402" w:rsidRPr="002856F3" w:rsidRDefault="00D53402" w:rsidP="00243736">
            <w:pPr>
              <w:jc w:val="center"/>
              <w:rPr>
                <w:rFonts w:ascii="Arial" w:hAnsi="Arial"/>
                <w:sz w:val="20"/>
              </w:rPr>
            </w:pPr>
            <w:r w:rsidRPr="002856F3">
              <w:rPr>
                <w:rFonts w:ascii="Arial" w:hAnsi="Arial"/>
                <w:sz w:val="20"/>
              </w:rPr>
              <w:t>CONTINUOUS EMISSION MONITOR REPORTS</w:t>
            </w:r>
          </w:p>
        </w:tc>
        <w:tc>
          <w:tcPr>
            <w:tcW w:w="4579" w:type="dxa"/>
            <w:tcBorders>
              <w:top w:val="single" w:sz="12" w:space="0" w:color="auto"/>
              <w:bottom w:val="single" w:sz="4" w:space="0" w:color="auto"/>
            </w:tcBorders>
            <w:shd w:val="clear" w:color="auto" w:fill="E0E0E0"/>
          </w:tcPr>
          <w:p w:rsidR="00D53402" w:rsidRPr="002856F3" w:rsidRDefault="00D53402" w:rsidP="00243736">
            <w:pPr>
              <w:jc w:val="center"/>
              <w:rPr>
                <w:rFonts w:ascii="Arial" w:hAnsi="Arial"/>
                <w:sz w:val="20"/>
              </w:rPr>
            </w:pPr>
            <w:r w:rsidRPr="002856F3">
              <w:rPr>
                <w:rFonts w:ascii="Arial" w:hAnsi="Arial"/>
                <w:sz w:val="20"/>
              </w:rPr>
              <w:t>COMMENTS</w:t>
            </w: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Quarterly excess emissions</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Semi-annual</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RATA</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CGA</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Other :</w:t>
            </w:r>
          </w:p>
        </w:tc>
        <w:tc>
          <w:tcPr>
            <w:tcW w:w="4579"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4329" w:type="dxa"/>
            <w:vAlign w:val="center"/>
          </w:tcPr>
          <w:p w:rsidR="00D53402" w:rsidRPr="002856F3" w:rsidRDefault="00D53402" w:rsidP="00243736">
            <w:pPr>
              <w:rPr>
                <w:rFonts w:ascii="Arial" w:hAnsi="Arial"/>
                <w:sz w:val="20"/>
              </w:rPr>
            </w:pPr>
            <w:r w:rsidRPr="002856F3">
              <w:rPr>
                <w:rFonts w:ascii="Arial" w:hAnsi="Arial"/>
                <w:sz w:val="20"/>
              </w:rPr>
              <w:t xml:space="preserve">Other : </w:t>
            </w:r>
          </w:p>
        </w:tc>
        <w:tc>
          <w:tcPr>
            <w:tcW w:w="4579" w:type="dxa"/>
          </w:tcPr>
          <w:p w:rsidR="00D53402" w:rsidRPr="002856F3" w:rsidRDefault="00D53402" w:rsidP="00243736">
            <w:pPr>
              <w:rPr>
                <w:rFonts w:ascii="Arial" w:hAnsi="Arial"/>
                <w:sz w:val="20"/>
              </w:rPr>
            </w:pPr>
          </w:p>
        </w:tc>
      </w:tr>
    </w:tbl>
    <w:p w:rsidR="00D53402" w:rsidRPr="002856F3" w:rsidRDefault="00D53402" w:rsidP="00243736"/>
    <w:p w:rsidR="00D53402" w:rsidRPr="002856F3" w:rsidRDefault="00D53402" w:rsidP="00243736">
      <w:pPr>
        <w:jc w:val="center"/>
        <w:rPr>
          <w:smallCaps/>
        </w:rPr>
      </w:pPr>
      <w:r w:rsidRPr="002856F3">
        <w:rPr>
          <w:smallCaps/>
        </w:rPr>
        <w:t>Assessment of Control Device and Process Operating Conditions</w:t>
      </w:r>
    </w:p>
    <w:p w:rsidR="00D53402" w:rsidRPr="002856F3" w:rsidRDefault="00D53402"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2880"/>
        <w:gridCol w:w="7920"/>
      </w:tblGrid>
      <w:tr w:rsidR="00D53402" w:rsidRPr="002856F3" w:rsidTr="00243736">
        <w:trPr>
          <w:jc w:val="center"/>
        </w:trPr>
        <w:tc>
          <w:tcPr>
            <w:tcW w:w="2880" w:type="dxa"/>
            <w:vAlign w:val="center"/>
          </w:tcPr>
          <w:p w:rsidR="00D53402" w:rsidRPr="002856F3" w:rsidRDefault="00354DDD"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OFF-SITE ASSESSMENT</w:t>
            </w:r>
          </w:p>
        </w:tc>
        <w:tc>
          <w:tcPr>
            <w:tcW w:w="7920" w:type="dxa"/>
          </w:tcPr>
          <w:p w:rsidR="00D53402" w:rsidRPr="002856F3" w:rsidRDefault="00D53402" w:rsidP="00243736">
            <w:pPr>
              <w:rPr>
                <w:rFonts w:ascii="Arial" w:hAnsi="Arial"/>
                <w:sz w:val="20"/>
              </w:rPr>
            </w:pPr>
            <w:r w:rsidRPr="002856F3">
              <w:rPr>
                <w:rFonts w:ascii="Arial" w:hAnsi="Arial"/>
                <w:sz w:val="20"/>
              </w:rPr>
              <w:t>(Describe the off-site assessment in comments)</w:t>
            </w:r>
          </w:p>
        </w:tc>
      </w:tr>
      <w:tr w:rsidR="00D53402" w:rsidRPr="002856F3" w:rsidTr="00243736">
        <w:trPr>
          <w:jc w:val="center"/>
        </w:trPr>
        <w:tc>
          <w:tcPr>
            <w:tcW w:w="2880" w:type="dxa"/>
            <w:vAlign w:val="center"/>
          </w:tcPr>
          <w:p w:rsidR="00D53402" w:rsidRPr="002856F3" w:rsidRDefault="00431F24" w:rsidP="00243736">
            <w:pPr>
              <w:rPr>
                <w:rFonts w:ascii="Arial" w:hAnsi="Arial"/>
                <w:sz w:val="20"/>
              </w:rPr>
            </w:pPr>
            <w:r>
              <w:rPr>
                <w:rFonts w:ascii="Arial" w:hAnsi="Arial"/>
              </w:rPr>
              <w:fldChar w:fldCharType="begin">
                <w:ffData>
                  <w:name w:val=""/>
                  <w:enabled/>
                  <w:calcOnExit w:val="0"/>
                  <w:checkBox>
                    <w:size w:val="18"/>
                    <w:default w:val="1"/>
                  </w:checkBox>
                </w:ffData>
              </w:fldChar>
            </w:r>
            <w:r>
              <w:rPr>
                <w:rFonts w:ascii="Arial" w:hAnsi="Arial"/>
              </w:rPr>
              <w:instrText xml:space="preserve"> FORMCHECKBOX </w:instrText>
            </w:r>
            <w:r>
              <w:rPr>
                <w:rFonts w:ascii="Arial" w:hAnsi="Arial"/>
              </w:rPr>
            </w:r>
            <w:r>
              <w:rPr>
                <w:rFonts w:ascii="Arial" w:hAnsi="Arial"/>
              </w:rPr>
              <w:fldChar w:fldCharType="end"/>
            </w:r>
            <w:r w:rsidR="00D53402" w:rsidRPr="002856F3">
              <w:rPr>
                <w:rFonts w:ascii="Arial" w:hAnsi="Arial"/>
                <w:sz w:val="20"/>
              </w:rPr>
              <w:t xml:space="preserve"> ON-SITE ASSESSMENT</w:t>
            </w:r>
          </w:p>
        </w:tc>
        <w:tc>
          <w:tcPr>
            <w:tcW w:w="7920" w:type="dxa"/>
          </w:tcPr>
          <w:p w:rsidR="00D53402" w:rsidRPr="002856F3" w:rsidRDefault="00D53402" w:rsidP="00243736">
            <w:pPr>
              <w:rPr>
                <w:rFonts w:ascii="Arial" w:hAnsi="Arial"/>
                <w:sz w:val="20"/>
              </w:rPr>
            </w:pPr>
            <w:r w:rsidRPr="002856F3">
              <w:rPr>
                <w:rFonts w:ascii="Arial" w:hAnsi="Arial"/>
                <w:sz w:val="20"/>
              </w:rPr>
              <w:t>(Document the on-site inspection below)</w:t>
            </w:r>
          </w:p>
        </w:tc>
      </w:tr>
    </w:tbl>
    <w:tbl>
      <w:tblPr>
        <w:tblStyle w:val="TableGrid"/>
        <w:tblW w:w="10800" w:type="dxa"/>
        <w:jc w:val="center"/>
        <w:tblLayout w:type="fixed"/>
        <w:tblCellMar>
          <w:top w:w="43" w:type="dxa"/>
          <w:left w:w="115" w:type="dxa"/>
          <w:bottom w:w="43" w:type="dxa"/>
          <w:right w:w="115" w:type="dxa"/>
        </w:tblCellMar>
        <w:tblLook w:val="01E0"/>
      </w:tblPr>
      <w:tblGrid>
        <w:gridCol w:w="1800"/>
        <w:gridCol w:w="1920"/>
        <w:gridCol w:w="1680"/>
        <w:gridCol w:w="2040"/>
        <w:gridCol w:w="3360"/>
      </w:tblGrid>
      <w:tr w:rsidR="00D53402" w:rsidRPr="002856F3" w:rsidTr="00243736">
        <w:trPr>
          <w:jc w:val="center"/>
        </w:trPr>
        <w:tc>
          <w:tcPr>
            <w:tcW w:w="1800" w:type="dxa"/>
            <w:vMerge w:val="restart"/>
            <w:tcBorders>
              <w:top w:val="single" w:sz="12" w:space="0" w:color="auto"/>
              <w:lef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DATE OF INSPECTION</w:t>
            </w:r>
          </w:p>
        </w:tc>
        <w:tc>
          <w:tcPr>
            <w:tcW w:w="1920" w:type="dxa"/>
            <w:vMerge w:val="restart"/>
            <w:tcBorders>
              <w:top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DATE OF INSPECTION REPORT</w:t>
            </w:r>
          </w:p>
        </w:tc>
        <w:tc>
          <w:tcPr>
            <w:tcW w:w="7080" w:type="dxa"/>
            <w:gridSpan w:val="3"/>
            <w:tcBorders>
              <w:top w:val="single" w:sz="12" w:space="0" w:color="auto"/>
              <w:righ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My office maintains the inspection report...</w:t>
            </w:r>
          </w:p>
        </w:tc>
      </w:tr>
      <w:tr w:rsidR="00D53402" w:rsidRPr="002856F3" w:rsidTr="00243736">
        <w:trPr>
          <w:jc w:val="center"/>
        </w:trPr>
        <w:tc>
          <w:tcPr>
            <w:tcW w:w="1800" w:type="dxa"/>
            <w:vMerge/>
            <w:tcBorders>
              <w:left w:val="single" w:sz="12" w:space="0" w:color="auto"/>
            </w:tcBorders>
            <w:shd w:val="clear" w:color="auto" w:fill="E0E0E0"/>
            <w:vAlign w:val="bottom"/>
          </w:tcPr>
          <w:p w:rsidR="00D53402" w:rsidRPr="002856F3" w:rsidRDefault="00D53402" w:rsidP="00243736">
            <w:pPr>
              <w:jc w:val="center"/>
              <w:rPr>
                <w:rFonts w:ascii="Arial" w:hAnsi="Arial" w:cs="Arial"/>
                <w:sz w:val="20"/>
              </w:rPr>
            </w:pPr>
          </w:p>
        </w:tc>
        <w:tc>
          <w:tcPr>
            <w:tcW w:w="1920" w:type="dxa"/>
            <w:vMerge/>
            <w:shd w:val="clear" w:color="auto" w:fill="E0E0E0"/>
            <w:vAlign w:val="bottom"/>
          </w:tcPr>
          <w:p w:rsidR="00D53402" w:rsidRPr="002856F3" w:rsidRDefault="00D53402" w:rsidP="00243736">
            <w:pPr>
              <w:jc w:val="center"/>
              <w:rPr>
                <w:rFonts w:ascii="Arial" w:hAnsi="Arial" w:cs="Arial"/>
                <w:sz w:val="20"/>
              </w:rPr>
            </w:pPr>
          </w:p>
        </w:tc>
        <w:tc>
          <w:tcPr>
            <w:tcW w:w="1680" w:type="dxa"/>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...in the ARMS database through EASIIR.</w:t>
            </w:r>
          </w:p>
        </w:tc>
        <w:tc>
          <w:tcPr>
            <w:tcW w:w="2040" w:type="dxa"/>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...with the paper or electronic compliance files</w:t>
            </w:r>
          </w:p>
        </w:tc>
        <w:tc>
          <w:tcPr>
            <w:tcW w:w="3360" w:type="dxa"/>
            <w:tcBorders>
              <w:righ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...in another location (specify).</w:t>
            </w:r>
          </w:p>
        </w:tc>
      </w:tr>
      <w:tr w:rsidR="00D53402" w:rsidRPr="002856F3" w:rsidTr="00243736">
        <w:trPr>
          <w:jc w:val="center"/>
        </w:trPr>
        <w:tc>
          <w:tcPr>
            <w:tcW w:w="1800" w:type="dxa"/>
            <w:tcBorders>
              <w:left w:val="single" w:sz="12" w:space="0" w:color="auto"/>
            </w:tcBorders>
          </w:tcPr>
          <w:p w:rsidR="00D53402" w:rsidRPr="002856F3" w:rsidRDefault="00431F24" w:rsidP="00243736">
            <w:pPr>
              <w:rPr>
                <w:rFonts w:ascii="Arial" w:hAnsi="Arial" w:cs="Arial"/>
                <w:sz w:val="20"/>
              </w:rPr>
            </w:pPr>
            <w:r>
              <w:rPr>
                <w:rFonts w:ascii="Arial" w:hAnsi="Arial" w:cs="Arial"/>
                <w:sz w:val="20"/>
              </w:rPr>
              <w:t>6/22/2011</w:t>
            </w:r>
          </w:p>
        </w:tc>
        <w:tc>
          <w:tcPr>
            <w:tcW w:w="1920" w:type="dxa"/>
          </w:tcPr>
          <w:p w:rsidR="00D53402" w:rsidRPr="002856F3" w:rsidRDefault="00431F24" w:rsidP="00243736">
            <w:pPr>
              <w:rPr>
                <w:rFonts w:ascii="Arial" w:hAnsi="Arial" w:cs="Arial"/>
                <w:sz w:val="20"/>
              </w:rPr>
            </w:pPr>
            <w:r>
              <w:rPr>
                <w:rFonts w:ascii="Arial" w:hAnsi="Arial" w:cs="Arial"/>
                <w:sz w:val="20"/>
              </w:rPr>
              <w:t>7/19/2011</w:t>
            </w:r>
          </w:p>
        </w:tc>
        <w:tc>
          <w:tcPr>
            <w:tcW w:w="1680" w:type="dxa"/>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2040" w:type="dxa"/>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360" w:type="dxa"/>
            <w:tcBorders>
              <w:right w:val="single" w:sz="12" w:space="0" w:color="auto"/>
            </w:tcBorders>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243736">
        <w:trPr>
          <w:jc w:val="center"/>
        </w:trPr>
        <w:tc>
          <w:tcPr>
            <w:tcW w:w="1800" w:type="dxa"/>
            <w:tcBorders>
              <w:left w:val="single" w:sz="12" w:space="0" w:color="auto"/>
            </w:tcBorders>
          </w:tcPr>
          <w:p w:rsidR="00D53402" w:rsidRPr="002856F3" w:rsidRDefault="00D53402" w:rsidP="00243736">
            <w:pPr>
              <w:rPr>
                <w:rFonts w:ascii="Arial" w:hAnsi="Arial" w:cs="Arial"/>
                <w:sz w:val="20"/>
              </w:rPr>
            </w:pPr>
          </w:p>
        </w:tc>
        <w:tc>
          <w:tcPr>
            <w:tcW w:w="1920" w:type="dxa"/>
          </w:tcPr>
          <w:p w:rsidR="00D53402" w:rsidRPr="002856F3" w:rsidRDefault="00D53402" w:rsidP="00243736">
            <w:pPr>
              <w:rPr>
                <w:rFonts w:ascii="Arial" w:hAnsi="Arial" w:cs="Arial"/>
                <w:sz w:val="20"/>
              </w:rPr>
            </w:pPr>
          </w:p>
        </w:tc>
        <w:tc>
          <w:tcPr>
            <w:tcW w:w="168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243736">
        <w:trPr>
          <w:jc w:val="center"/>
        </w:trPr>
        <w:tc>
          <w:tcPr>
            <w:tcW w:w="1800" w:type="dxa"/>
            <w:tcBorders>
              <w:left w:val="single" w:sz="12" w:space="0" w:color="auto"/>
            </w:tcBorders>
          </w:tcPr>
          <w:p w:rsidR="00D53402" w:rsidRPr="002856F3" w:rsidRDefault="00D53402" w:rsidP="00243736">
            <w:pPr>
              <w:rPr>
                <w:rFonts w:ascii="Arial" w:hAnsi="Arial" w:cs="Arial"/>
                <w:sz w:val="20"/>
              </w:rPr>
            </w:pPr>
          </w:p>
        </w:tc>
        <w:tc>
          <w:tcPr>
            <w:tcW w:w="1920" w:type="dxa"/>
          </w:tcPr>
          <w:p w:rsidR="00D53402" w:rsidRPr="002856F3" w:rsidRDefault="00D53402" w:rsidP="00243736">
            <w:pPr>
              <w:rPr>
                <w:rFonts w:ascii="Arial" w:hAnsi="Arial" w:cs="Arial"/>
                <w:sz w:val="20"/>
              </w:rPr>
            </w:pPr>
          </w:p>
        </w:tc>
        <w:tc>
          <w:tcPr>
            <w:tcW w:w="168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243736">
        <w:trPr>
          <w:jc w:val="center"/>
        </w:trPr>
        <w:tc>
          <w:tcPr>
            <w:tcW w:w="1800" w:type="dxa"/>
            <w:tcBorders>
              <w:left w:val="single" w:sz="12" w:space="0" w:color="auto"/>
            </w:tcBorders>
          </w:tcPr>
          <w:p w:rsidR="00D53402" w:rsidRPr="002856F3" w:rsidRDefault="00D53402" w:rsidP="00243736">
            <w:pPr>
              <w:rPr>
                <w:rFonts w:ascii="Arial" w:hAnsi="Arial" w:cs="Arial"/>
                <w:sz w:val="20"/>
              </w:rPr>
            </w:pPr>
          </w:p>
        </w:tc>
        <w:tc>
          <w:tcPr>
            <w:tcW w:w="1920" w:type="dxa"/>
          </w:tcPr>
          <w:p w:rsidR="00D53402" w:rsidRPr="002856F3" w:rsidRDefault="00D53402" w:rsidP="00243736">
            <w:pPr>
              <w:rPr>
                <w:rFonts w:ascii="Arial" w:hAnsi="Arial" w:cs="Arial"/>
                <w:sz w:val="20"/>
              </w:rPr>
            </w:pPr>
          </w:p>
        </w:tc>
        <w:tc>
          <w:tcPr>
            <w:tcW w:w="168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243736">
        <w:trPr>
          <w:jc w:val="center"/>
        </w:trPr>
        <w:tc>
          <w:tcPr>
            <w:tcW w:w="10800" w:type="dxa"/>
            <w:gridSpan w:val="5"/>
            <w:tcBorders>
              <w:left w:val="single" w:sz="12" w:space="0" w:color="auto"/>
              <w:bottom w:val="single" w:sz="12" w:space="0" w:color="auto"/>
              <w:right w:val="single" w:sz="12" w:space="0" w:color="auto"/>
            </w:tcBorders>
          </w:tcPr>
          <w:p w:rsidR="00D53402" w:rsidRPr="002856F3" w:rsidRDefault="00D53402" w:rsidP="00243736">
            <w:pPr>
              <w:rPr>
                <w:rFonts w:ascii="Arial" w:hAnsi="Arial" w:cs="Arial"/>
                <w:sz w:val="20"/>
              </w:rPr>
            </w:pPr>
            <w:r w:rsidRPr="002856F3">
              <w:rPr>
                <w:rFonts w:ascii="Arial" w:hAnsi="Arial" w:cs="Arial"/>
                <w:sz w:val="20"/>
              </w:rPr>
              <w:t>COMMENTS</w:t>
            </w:r>
          </w:p>
          <w:p w:rsidR="00D53402" w:rsidRPr="002856F3" w:rsidRDefault="00D53402" w:rsidP="00243736">
            <w:pPr>
              <w:rPr>
                <w:rFonts w:ascii="Arial" w:hAnsi="Arial" w:cs="Arial"/>
                <w:sz w:val="20"/>
              </w:rPr>
            </w:pPr>
          </w:p>
          <w:p w:rsidR="00D53402" w:rsidRPr="002856F3" w:rsidRDefault="00D53402" w:rsidP="00243736">
            <w:pPr>
              <w:rPr>
                <w:rFonts w:ascii="Arial" w:hAnsi="Arial" w:cs="Arial"/>
                <w:sz w:val="20"/>
              </w:rPr>
            </w:pPr>
          </w:p>
          <w:p w:rsidR="00D53402" w:rsidRPr="002856F3" w:rsidRDefault="00D53402" w:rsidP="00243736">
            <w:pPr>
              <w:rPr>
                <w:rFonts w:ascii="Arial" w:hAnsi="Arial" w:cs="Arial"/>
                <w:sz w:val="20"/>
              </w:rPr>
            </w:pPr>
          </w:p>
          <w:p w:rsidR="00D53402" w:rsidRPr="002856F3" w:rsidRDefault="00D53402" w:rsidP="00243736">
            <w:pPr>
              <w:rPr>
                <w:rFonts w:ascii="Arial" w:hAnsi="Arial"/>
                <w:sz w:val="20"/>
              </w:rPr>
            </w:pPr>
          </w:p>
          <w:p w:rsidR="00D53402" w:rsidRPr="002856F3" w:rsidRDefault="00D53402" w:rsidP="00243736">
            <w:pPr>
              <w:rPr>
                <w:rFonts w:ascii="Arial" w:hAnsi="Arial"/>
                <w:sz w:val="20"/>
              </w:rPr>
            </w:pPr>
          </w:p>
        </w:tc>
      </w:tr>
    </w:tbl>
    <w:p w:rsidR="00D53402" w:rsidRDefault="00D53402" w:rsidP="00243736">
      <w:pPr>
        <w:jc w:val="center"/>
        <w:rPr>
          <w:smallCaps/>
        </w:rPr>
      </w:pPr>
    </w:p>
    <w:p w:rsidR="00D53402" w:rsidRPr="002856F3" w:rsidRDefault="00D53402" w:rsidP="00243736">
      <w:pPr>
        <w:jc w:val="center"/>
        <w:rPr>
          <w:smallCaps/>
        </w:rPr>
      </w:pPr>
      <w:r>
        <w:rPr>
          <w:smallCaps/>
        </w:rPr>
        <w:br w:type="page"/>
      </w:r>
      <w:r w:rsidRPr="002856F3">
        <w:rPr>
          <w:smallCaps/>
        </w:rPr>
        <w:lastRenderedPageBreak/>
        <w:t>Review of Tests and Records</w:t>
      </w:r>
    </w:p>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3388"/>
        <w:gridCol w:w="5520"/>
      </w:tblGrid>
      <w:tr w:rsidR="00D53402" w:rsidRPr="002856F3" w:rsidTr="00243736">
        <w:trPr>
          <w:jc w:val="center"/>
        </w:trPr>
        <w:tc>
          <w:tcPr>
            <w:tcW w:w="5280" w:type="dxa"/>
            <w:gridSpan w:val="2"/>
            <w:tcBorders>
              <w:top w:val="single" w:sz="12" w:space="0" w:color="auto"/>
              <w:bottom w:val="single" w:sz="4" w:space="0" w:color="auto"/>
            </w:tcBorders>
            <w:shd w:val="clear" w:color="auto" w:fill="E0E0E0"/>
            <w:vAlign w:val="center"/>
          </w:tcPr>
          <w:p w:rsidR="00D53402" w:rsidRPr="002856F3" w:rsidRDefault="00D53402" w:rsidP="00243736">
            <w:pPr>
              <w:jc w:val="center"/>
              <w:rPr>
                <w:rFonts w:ascii="Arial" w:hAnsi="Arial"/>
                <w:sz w:val="20"/>
              </w:rPr>
            </w:pPr>
            <w:r w:rsidRPr="002856F3">
              <w:rPr>
                <w:rFonts w:ascii="Arial" w:hAnsi="Arial"/>
                <w:sz w:val="20"/>
              </w:rPr>
              <w:t>TESTS, OBSERVATIONS AND RECORDS</w:t>
            </w:r>
          </w:p>
        </w:tc>
        <w:tc>
          <w:tcPr>
            <w:tcW w:w="5520" w:type="dxa"/>
            <w:tcBorders>
              <w:top w:val="single" w:sz="12" w:space="0" w:color="auto"/>
              <w:bottom w:val="single" w:sz="4" w:space="0" w:color="auto"/>
            </w:tcBorders>
            <w:shd w:val="clear" w:color="auto" w:fill="E0E0E0"/>
          </w:tcPr>
          <w:p w:rsidR="00D53402" w:rsidRPr="002856F3" w:rsidRDefault="00D53402" w:rsidP="00243736">
            <w:pPr>
              <w:jc w:val="center"/>
              <w:rPr>
                <w:rFonts w:ascii="Arial" w:hAnsi="Arial"/>
                <w:sz w:val="20"/>
              </w:rPr>
            </w:pPr>
            <w:r w:rsidRPr="002856F3">
              <w:rPr>
                <w:rFonts w:ascii="Arial" w:hAnsi="Arial"/>
                <w:sz w:val="20"/>
              </w:rPr>
              <w:t>COMMENTS</w:t>
            </w: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Visible emission observation(s)</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431F24" w:rsidP="00243736">
            <w:pPr>
              <w:rPr>
                <w:rFonts w:ascii="Arial" w:hAnsi="Arial"/>
                <w:sz w:val="20"/>
              </w:rPr>
            </w:pPr>
            <w:r>
              <w:rPr>
                <w:rFonts w:ascii="Arial" w:hAnsi="Arial"/>
              </w:rPr>
              <w:fldChar w:fldCharType="begin">
                <w:ffData>
                  <w:name w:val=""/>
                  <w:enabled/>
                  <w:calcOnExit w:val="0"/>
                  <w:checkBox>
                    <w:size w:val="18"/>
                    <w:default w:val="1"/>
                  </w:checkBox>
                </w:ffData>
              </w:fldChar>
            </w:r>
            <w:r>
              <w:rPr>
                <w:rFonts w:ascii="Arial" w:hAnsi="Arial"/>
              </w:rPr>
              <w:instrText xml:space="preserve"> FORMCHECKBOX </w:instrText>
            </w:r>
            <w:r>
              <w:rPr>
                <w:rFonts w:ascii="Arial" w:hAnsi="Arial"/>
              </w:rPr>
            </w:r>
            <w:r>
              <w:rPr>
                <w:rFonts w:ascii="Arial" w:hAnsi="Arial"/>
              </w:rPr>
              <w:fldChar w:fldCharType="end"/>
            </w:r>
            <w:r w:rsidR="00D53402" w:rsidRPr="002856F3">
              <w:rPr>
                <w:rFonts w:ascii="Arial" w:hAnsi="Arial"/>
                <w:sz w:val="20"/>
              </w:rPr>
              <w:t xml:space="preserve"> DONE   </w:t>
            </w:r>
            <w:r w:rsidR="00354DDD"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00354DDD" w:rsidRPr="002856F3">
              <w:rPr>
                <w:rFonts w:ascii="Arial" w:hAnsi="Arial"/>
              </w:rPr>
            </w:r>
            <w:r w:rsidR="00354DDD" w:rsidRPr="002856F3">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Review of facility records and logs</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431F24" w:rsidP="00243736">
            <w:pPr>
              <w:rPr>
                <w:rFonts w:ascii="Arial" w:hAnsi="Arial"/>
                <w:sz w:val="20"/>
              </w:rPr>
            </w:pPr>
            <w:r>
              <w:rPr>
                <w:rFonts w:ascii="Arial" w:hAnsi="Arial"/>
              </w:rPr>
              <w:fldChar w:fldCharType="begin">
                <w:ffData>
                  <w:name w:val=""/>
                  <w:enabled/>
                  <w:calcOnExit w:val="0"/>
                  <w:checkBox>
                    <w:size w:val="18"/>
                    <w:default w:val="1"/>
                  </w:checkBox>
                </w:ffData>
              </w:fldChar>
            </w:r>
            <w:r>
              <w:rPr>
                <w:rFonts w:ascii="Arial" w:hAnsi="Arial"/>
              </w:rPr>
              <w:instrText xml:space="preserve"> FORMCHECKBOX </w:instrText>
            </w:r>
            <w:r>
              <w:rPr>
                <w:rFonts w:ascii="Arial" w:hAnsi="Arial"/>
              </w:rPr>
            </w:r>
            <w:r>
              <w:rPr>
                <w:rFonts w:ascii="Arial" w:hAnsi="Arial"/>
              </w:rPr>
              <w:fldChar w:fldCharType="end"/>
            </w:r>
            <w:r w:rsidR="00D53402" w:rsidRPr="002856F3">
              <w:rPr>
                <w:rFonts w:ascii="Arial" w:hAnsi="Arial"/>
                <w:sz w:val="20"/>
              </w:rPr>
              <w:t xml:space="preserve"> DONE   </w:t>
            </w:r>
            <w:r w:rsidR="00354DDD"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00354DDD" w:rsidRPr="002856F3">
              <w:rPr>
                <w:rFonts w:ascii="Arial" w:hAnsi="Arial"/>
              </w:rPr>
            </w:r>
            <w:r w:rsidR="00354DDD" w:rsidRPr="002856F3">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 xml:space="preserve">Assessment of process parameters </w:t>
            </w:r>
            <w:r w:rsidRPr="002856F3">
              <w:rPr>
                <w:rFonts w:ascii="Arial" w:hAnsi="Arial"/>
                <w:sz w:val="16"/>
              </w:rPr>
              <w:t>(feed rates, process rates, raw material compositions, etc.)</w:t>
            </w:r>
            <w:r w:rsidRPr="002856F3">
              <w:rPr>
                <w:rFonts w:ascii="Arial" w:hAnsi="Arial"/>
                <w:sz w:val="20"/>
              </w:rPr>
              <w:t xml:space="preserve">  </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Assessment of control equipment performance parameters</w:t>
            </w:r>
          </w:p>
          <w:p w:rsidR="00D53402" w:rsidRPr="002856F3" w:rsidRDefault="00D53402" w:rsidP="00243736">
            <w:pPr>
              <w:rPr>
                <w:rFonts w:ascii="Arial" w:hAnsi="Arial"/>
                <w:sz w:val="16"/>
              </w:rPr>
            </w:pPr>
            <w:r w:rsidRPr="002856F3">
              <w:rPr>
                <w:rFonts w:ascii="Arial" w:hAnsi="Arial"/>
                <w:sz w:val="16"/>
              </w:rPr>
              <w:t>(</w:t>
            </w:r>
            <w:proofErr w:type="gramStart"/>
            <w:r w:rsidRPr="002856F3">
              <w:rPr>
                <w:rFonts w:ascii="Arial" w:hAnsi="Arial"/>
                <w:sz w:val="16"/>
              </w:rPr>
              <w:t>water</w:t>
            </w:r>
            <w:proofErr w:type="gramEnd"/>
            <w:r w:rsidRPr="002856F3">
              <w:rPr>
                <w:rFonts w:ascii="Arial" w:hAnsi="Arial"/>
                <w:sz w:val="16"/>
              </w:rPr>
              <w:t xml:space="preserve"> flow rates, pressure drops, temperatures, ESP power levels, etc.)</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431F24">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00431F24">
              <w:rPr>
                <w:rFonts w:ascii="Arial" w:hAnsi="Arial"/>
              </w:rPr>
              <w:fldChar w:fldCharType="begin">
                <w:ffData>
                  <w:name w:val=""/>
                  <w:enabled/>
                  <w:calcOnExit w:val="0"/>
                  <w:checkBox>
                    <w:size w:val="18"/>
                    <w:default w:val="1"/>
                  </w:checkBox>
                </w:ffData>
              </w:fldChar>
            </w:r>
            <w:r w:rsidR="00431F24">
              <w:rPr>
                <w:rFonts w:ascii="Arial" w:hAnsi="Arial"/>
              </w:rPr>
              <w:instrText xml:space="preserve"> FORMCHECKBOX </w:instrText>
            </w:r>
            <w:r w:rsidR="00431F24">
              <w:rPr>
                <w:rFonts w:ascii="Arial" w:hAnsi="Arial"/>
              </w:rPr>
            </w:r>
            <w:r w:rsidR="00431F24">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Stack test(s)</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 xml:space="preserve">Other : </w:t>
            </w:r>
          </w:p>
        </w:tc>
        <w:tc>
          <w:tcPr>
            <w:tcW w:w="5520" w:type="dxa"/>
          </w:tcPr>
          <w:p w:rsidR="00D53402" w:rsidRPr="002856F3" w:rsidRDefault="00D53402" w:rsidP="00243736">
            <w:pPr>
              <w:rPr>
                <w:rFonts w:ascii="Arial" w:hAnsi="Arial"/>
                <w:sz w:val="20"/>
              </w:rPr>
            </w:pPr>
          </w:p>
        </w:tc>
      </w:tr>
      <w:tr w:rsidR="00D53402" w:rsidRPr="002856F3" w:rsidTr="00243736">
        <w:trPr>
          <w:jc w:val="center"/>
        </w:trPr>
        <w:tc>
          <w:tcPr>
            <w:tcW w:w="1892" w:type="dxa"/>
            <w:vAlign w:val="center"/>
          </w:tcPr>
          <w:p w:rsidR="00D53402" w:rsidRPr="002856F3" w:rsidRDefault="00354DDD"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D53402"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D53402" w:rsidRPr="002856F3">
              <w:rPr>
                <w:rFonts w:ascii="Arial" w:hAnsi="Arial"/>
                <w:sz w:val="20"/>
              </w:rPr>
              <w:t xml:space="preserve"> N/A</w:t>
            </w:r>
          </w:p>
        </w:tc>
        <w:tc>
          <w:tcPr>
            <w:tcW w:w="3388" w:type="dxa"/>
            <w:vAlign w:val="center"/>
          </w:tcPr>
          <w:p w:rsidR="00D53402" w:rsidRPr="002856F3" w:rsidRDefault="00D53402" w:rsidP="00243736">
            <w:pPr>
              <w:rPr>
                <w:rFonts w:ascii="Arial" w:hAnsi="Arial"/>
                <w:sz w:val="20"/>
              </w:rPr>
            </w:pPr>
            <w:r w:rsidRPr="002856F3">
              <w:rPr>
                <w:rFonts w:ascii="Arial" w:hAnsi="Arial"/>
                <w:sz w:val="20"/>
              </w:rPr>
              <w:t xml:space="preserve">Other : </w:t>
            </w:r>
          </w:p>
        </w:tc>
        <w:tc>
          <w:tcPr>
            <w:tcW w:w="5520" w:type="dxa"/>
          </w:tcPr>
          <w:p w:rsidR="00D53402" w:rsidRPr="002856F3" w:rsidRDefault="00D53402" w:rsidP="00243736">
            <w:pPr>
              <w:rPr>
                <w:rFonts w:ascii="Arial" w:hAnsi="Arial"/>
                <w:sz w:val="20"/>
              </w:rPr>
            </w:pPr>
          </w:p>
        </w:tc>
      </w:tr>
    </w:tbl>
    <w:p w:rsidR="00D53402" w:rsidRPr="002856F3" w:rsidRDefault="00D53402" w:rsidP="00243736"/>
    <w:p w:rsidR="00D53402" w:rsidRPr="002856F3" w:rsidRDefault="00D53402" w:rsidP="00243736">
      <w:pPr>
        <w:jc w:val="center"/>
        <w:rPr>
          <w:smallCaps/>
        </w:rPr>
      </w:pPr>
      <w:r w:rsidRPr="002856F3">
        <w:rPr>
          <w:smallCaps/>
        </w:rPr>
        <w:t>Compliance Monitoring (CM) Information</w:t>
      </w:r>
    </w:p>
    <w:tbl>
      <w:tblPr>
        <w:tblStyle w:val="TableGrid"/>
        <w:tblW w:w="10800" w:type="dxa"/>
        <w:jc w:val="center"/>
        <w:tblLayout w:type="fixed"/>
        <w:tblCellMar>
          <w:top w:w="43" w:type="dxa"/>
          <w:left w:w="115" w:type="dxa"/>
          <w:bottom w:w="43" w:type="dxa"/>
          <w:right w:w="115" w:type="dxa"/>
        </w:tblCellMar>
        <w:tblLook w:val="01E0"/>
      </w:tblPr>
      <w:tblGrid>
        <w:gridCol w:w="2160"/>
        <w:gridCol w:w="2160"/>
        <w:gridCol w:w="1680"/>
        <w:gridCol w:w="1800"/>
        <w:gridCol w:w="3000"/>
      </w:tblGrid>
      <w:tr w:rsidR="00D53402" w:rsidRPr="002856F3" w:rsidTr="00243736">
        <w:trPr>
          <w:jc w:val="center"/>
        </w:trPr>
        <w:tc>
          <w:tcPr>
            <w:tcW w:w="2160" w:type="dxa"/>
            <w:vMerge w:val="restart"/>
            <w:tcBorders>
              <w:top w:val="single" w:sz="12" w:space="0" w:color="auto"/>
              <w:lef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CM ELEMENT</w:t>
            </w:r>
          </w:p>
        </w:tc>
        <w:tc>
          <w:tcPr>
            <w:tcW w:w="8640" w:type="dxa"/>
            <w:gridSpan w:val="4"/>
            <w:tcBorders>
              <w:top w:val="single" w:sz="12" w:space="0" w:color="auto"/>
              <w:righ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My office maintains this information...</w:t>
            </w:r>
          </w:p>
        </w:tc>
      </w:tr>
      <w:tr w:rsidR="00D53402" w:rsidRPr="002856F3" w:rsidTr="00243736">
        <w:trPr>
          <w:jc w:val="center"/>
        </w:trPr>
        <w:tc>
          <w:tcPr>
            <w:tcW w:w="2160" w:type="dxa"/>
            <w:vMerge/>
            <w:tcBorders>
              <w:left w:val="single" w:sz="12" w:space="0" w:color="auto"/>
            </w:tcBorders>
            <w:shd w:val="clear" w:color="auto" w:fill="E0E0E0"/>
            <w:vAlign w:val="bottom"/>
          </w:tcPr>
          <w:p w:rsidR="00D53402" w:rsidRPr="002856F3" w:rsidRDefault="00D53402" w:rsidP="00243736">
            <w:pPr>
              <w:jc w:val="center"/>
              <w:rPr>
                <w:rFonts w:ascii="Arial" w:hAnsi="Arial" w:cs="Arial"/>
                <w:sz w:val="20"/>
              </w:rPr>
            </w:pPr>
          </w:p>
        </w:tc>
        <w:tc>
          <w:tcPr>
            <w:tcW w:w="2160" w:type="dxa"/>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...electronically, in the ARMS database.</w:t>
            </w:r>
          </w:p>
        </w:tc>
        <w:tc>
          <w:tcPr>
            <w:tcW w:w="1680" w:type="dxa"/>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...in the permit.</w:t>
            </w:r>
          </w:p>
        </w:tc>
        <w:tc>
          <w:tcPr>
            <w:tcW w:w="1800" w:type="dxa"/>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...in the inspection report.</w:t>
            </w:r>
          </w:p>
        </w:tc>
        <w:tc>
          <w:tcPr>
            <w:tcW w:w="3000" w:type="dxa"/>
            <w:tcBorders>
              <w:right w:val="single" w:sz="12" w:space="0" w:color="auto"/>
            </w:tcBorders>
            <w:shd w:val="clear" w:color="auto" w:fill="E0E0E0"/>
            <w:vAlign w:val="bottom"/>
          </w:tcPr>
          <w:p w:rsidR="00D53402" w:rsidRPr="002856F3" w:rsidRDefault="00D53402" w:rsidP="00243736">
            <w:pPr>
              <w:jc w:val="center"/>
              <w:rPr>
                <w:rFonts w:ascii="Arial" w:hAnsi="Arial" w:cs="Arial"/>
                <w:sz w:val="20"/>
              </w:rPr>
            </w:pPr>
            <w:r w:rsidRPr="002856F3">
              <w:rPr>
                <w:rFonts w:ascii="Arial" w:hAnsi="Arial" w:cs="Arial"/>
                <w:sz w:val="20"/>
              </w:rPr>
              <w:t>...in another location (specify).</w:t>
            </w:r>
          </w:p>
        </w:tc>
      </w:tr>
      <w:tr w:rsidR="00D53402" w:rsidRPr="002856F3" w:rsidTr="00005209">
        <w:trPr>
          <w:trHeight w:val="343"/>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Facility information</w:t>
            </w:r>
          </w:p>
        </w:tc>
        <w:tc>
          <w:tcPr>
            <w:tcW w:w="216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005209">
        <w:trPr>
          <w:trHeight w:val="262"/>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Applicable requirements</w:t>
            </w:r>
          </w:p>
        </w:tc>
        <w:tc>
          <w:tcPr>
            <w:tcW w:w="216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005209">
        <w:trPr>
          <w:trHeight w:val="334"/>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Inventory of emission units</w:t>
            </w:r>
          </w:p>
        </w:tc>
        <w:tc>
          <w:tcPr>
            <w:tcW w:w="216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005209">
        <w:trPr>
          <w:trHeight w:val="316"/>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Enforcement history</w:t>
            </w:r>
          </w:p>
        </w:tc>
        <w:tc>
          <w:tcPr>
            <w:tcW w:w="216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005209">
        <w:trPr>
          <w:trHeight w:val="271"/>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Compliance activities</w:t>
            </w:r>
          </w:p>
        </w:tc>
        <w:tc>
          <w:tcPr>
            <w:tcW w:w="216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005209">
        <w:trPr>
          <w:trHeight w:val="352"/>
          <w:jc w:val="center"/>
        </w:trPr>
        <w:tc>
          <w:tcPr>
            <w:tcW w:w="2160" w:type="dxa"/>
            <w:tcBorders>
              <w:left w:val="single" w:sz="12" w:space="0" w:color="auto"/>
            </w:tcBorders>
            <w:vAlign w:val="center"/>
          </w:tcPr>
          <w:p w:rsidR="00D53402" w:rsidRPr="002856F3" w:rsidRDefault="00D53402" w:rsidP="00243736">
            <w:pPr>
              <w:rPr>
                <w:rFonts w:ascii="Arial" w:hAnsi="Arial" w:cs="Arial"/>
                <w:sz w:val="20"/>
              </w:rPr>
            </w:pPr>
            <w:r w:rsidRPr="002856F3">
              <w:rPr>
                <w:rFonts w:ascii="Arial" w:hAnsi="Arial" w:cs="Arial"/>
                <w:sz w:val="20"/>
              </w:rPr>
              <w:t>Findings and recommendations</w:t>
            </w:r>
          </w:p>
        </w:tc>
        <w:tc>
          <w:tcPr>
            <w:tcW w:w="2160" w:type="dxa"/>
            <w:vAlign w:val="center"/>
          </w:tcPr>
          <w:p w:rsidR="00D53402" w:rsidRPr="002856F3" w:rsidRDefault="00354DDD"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168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D53402" w:rsidRPr="002856F3" w:rsidRDefault="00431F2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D53402" w:rsidRPr="002856F3" w:rsidRDefault="00354DDD"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D53402"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D53402" w:rsidRPr="002856F3" w:rsidTr="00243736">
        <w:trPr>
          <w:jc w:val="center"/>
        </w:trPr>
        <w:tc>
          <w:tcPr>
            <w:tcW w:w="10800" w:type="dxa"/>
            <w:gridSpan w:val="5"/>
            <w:tcBorders>
              <w:left w:val="single" w:sz="12" w:space="0" w:color="auto"/>
              <w:bottom w:val="single" w:sz="12" w:space="0" w:color="auto"/>
              <w:right w:val="single" w:sz="12" w:space="0" w:color="auto"/>
            </w:tcBorders>
          </w:tcPr>
          <w:p w:rsidR="00D53402" w:rsidRPr="002856F3" w:rsidRDefault="00D53402" w:rsidP="00243736">
            <w:pPr>
              <w:rPr>
                <w:rFonts w:ascii="Arial" w:hAnsi="Arial" w:cs="Arial"/>
                <w:sz w:val="20"/>
              </w:rPr>
            </w:pPr>
            <w:r w:rsidRPr="002856F3">
              <w:rPr>
                <w:rFonts w:ascii="Arial" w:hAnsi="Arial" w:cs="Arial"/>
                <w:sz w:val="20"/>
              </w:rPr>
              <w:t>COMMENTS</w:t>
            </w:r>
          </w:p>
          <w:p w:rsidR="00D53402" w:rsidRPr="002856F3" w:rsidRDefault="00D53402" w:rsidP="00243736">
            <w:pPr>
              <w:rPr>
                <w:rFonts w:ascii="Arial" w:hAnsi="Arial" w:cs="Arial"/>
                <w:sz w:val="20"/>
              </w:rPr>
            </w:pPr>
          </w:p>
          <w:p w:rsidR="00D53402" w:rsidRPr="002856F3" w:rsidRDefault="00D53402" w:rsidP="00243736">
            <w:pPr>
              <w:rPr>
                <w:rFonts w:ascii="Arial" w:hAnsi="Arial" w:cs="Arial"/>
                <w:sz w:val="20"/>
              </w:rPr>
            </w:pPr>
          </w:p>
          <w:p w:rsidR="00D53402" w:rsidRPr="002856F3" w:rsidRDefault="00D53402" w:rsidP="00243736">
            <w:pPr>
              <w:rPr>
                <w:rFonts w:ascii="Arial" w:hAnsi="Arial"/>
                <w:sz w:val="20"/>
              </w:rPr>
            </w:pPr>
          </w:p>
        </w:tc>
      </w:tr>
    </w:tbl>
    <w:p w:rsidR="00D53402" w:rsidRPr="002856F3" w:rsidRDefault="00D53402" w:rsidP="00243736"/>
    <w:p w:rsidR="00D53402" w:rsidRPr="002856F3" w:rsidRDefault="00D53402" w:rsidP="00243736">
      <w:pPr>
        <w:jc w:val="center"/>
        <w:rPr>
          <w:smallCaps/>
        </w:rPr>
      </w:pPr>
      <w:r w:rsidRPr="002856F3">
        <w:rPr>
          <w:smallCaps/>
        </w:rPr>
        <w:t>Other Comments</w:t>
      </w:r>
    </w:p>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800"/>
      </w:tblGrid>
      <w:tr w:rsidR="00D53402" w:rsidRPr="002856F3" w:rsidTr="00005209">
        <w:trPr>
          <w:jc w:val="center"/>
        </w:trPr>
        <w:tc>
          <w:tcPr>
            <w:tcW w:w="10800" w:type="dxa"/>
          </w:tcPr>
          <w:p w:rsidR="00D53402" w:rsidRPr="002856F3" w:rsidRDefault="00D53402" w:rsidP="00431F24">
            <w:pPr>
              <w:rPr>
                <w:sz w:val="20"/>
              </w:rPr>
            </w:pPr>
          </w:p>
        </w:tc>
      </w:tr>
    </w:tbl>
    <w:p w:rsidR="00D53402" w:rsidRPr="002856F3" w:rsidRDefault="00D53402" w:rsidP="00243736"/>
    <w:p w:rsidR="00D53402" w:rsidRPr="002856F3" w:rsidRDefault="00D53402" w:rsidP="00243736">
      <w:pPr>
        <w:tabs>
          <w:tab w:val="left" w:pos="1440"/>
          <w:tab w:val="left" w:pos="7200"/>
          <w:tab w:val="left" w:pos="7920"/>
          <w:tab w:val="left" w:pos="8640"/>
          <w:tab w:val="left" w:pos="10800"/>
        </w:tabs>
        <w:rPr>
          <w:rFonts w:ascii="Arial" w:hAnsi="Arial" w:cs="Arial"/>
          <w:sz w:val="20"/>
        </w:rPr>
      </w:pPr>
      <w:r w:rsidRPr="002856F3">
        <w:rPr>
          <w:rFonts w:ascii="Arial" w:hAnsi="Arial" w:cs="Arial"/>
          <w:sz w:val="20"/>
        </w:rPr>
        <w:t>Prepared by:</w:t>
      </w:r>
      <w:r w:rsidRPr="002856F3">
        <w:rPr>
          <w:rFonts w:ascii="Arial" w:hAnsi="Arial" w:cs="Arial"/>
          <w:sz w:val="20"/>
        </w:rPr>
        <w:tab/>
      </w:r>
      <w:r w:rsidRPr="002856F3">
        <w:rPr>
          <w:rFonts w:ascii="Arial" w:hAnsi="Arial" w:cs="Arial"/>
          <w:sz w:val="20"/>
          <w:u w:val="single"/>
        </w:rPr>
        <w:t xml:space="preserve">   </w:t>
      </w:r>
      <w:r w:rsidRPr="00DD0F41">
        <w:rPr>
          <w:noProof/>
          <w:sz w:val="22"/>
          <w:u w:val="single"/>
        </w:rPr>
        <w:t>Jose</w:t>
      </w:r>
      <w:r w:rsidRPr="002856F3">
        <w:rPr>
          <w:sz w:val="22"/>
          <w:u w:val="single"/>
        </w:rPr>
        <w:t xml:space="preserve"> </w:t>
      </w:r>
      <w:r w:rsidRPr="00DD0F41">
        <w:rPr>
          <w:noProof/>
          <w:sz w:val="22"/>
          <w:u w:val="single"/>
        </w:rPr>
        <w:t>Rodriguez</w:t>
      </w:r>
      <w:r w:rsidRPr="002856F3">
        <w:rPr>
          <w:rFonts w:ascii="Arial" w:hAnsi="Arial" w:cs="Arial"/>
          <w:sz w:val="20"/>
          <w:u w:val="single"/>
        </w:rPr>
        <w:tab/>
      </w:r>
      <w:r w:rsidRPr="002856F3">
        <w:rPr>
          <w:rFonts w:ascii="Arial" w:hAnsi="Arial" w:cs="Arial"/>
          <w:sz w:val="20"/>
        </w:rPr>
        <w:tab/>
        <w:t xml:space="preserve">Date: </w:t>
      </w:r>
      <w:r w:rsidRPr="002856F3">
        <w:rPr>
          <w:rFonts w:ascii="Arial" w:hAnsi="Arial" w:cs="Arial"/>
          <w:sz w:val="20"/>
        </w:rPr>
        <w:tab/>
      </w:r>
      <w:r w:rsidR="00431F24">
        <w:rPr>
          <w:rFonts w:ascii="Arial" w:hAnsi="Arial" w:cs="Arial"/>
          <w:sz w:val="20"/>
          <w:u w:val="single"/>
        </w:rPr>
        <w:t>7/19/2011</w:t>
      </w:r>
    </w:p>
    <w:p w:rsidR="00D53402" w:rsidRPr="002856F3" w:rsidRDefault="00D53402" w:rsidP="00243736">
      <w:pPr>
        <w:tabs>
          <w:tab w:val="left" w:pos="1440"/>
          <w:tab w:val="left" w:pos="7200"/>
          <w:tab w:val="left" w:pos="7920"/>
          <w:tab w:val="left" w:pos="8640"/>
          <w:tab w:val="left" w:pos="10800"/>
        </w:tabs>
        <w:rPr>
          <w:rFonts w:ascii="Arial" w:hAnsi="Arial" w:cs="Arial"/>
          <w:sz w:val="20"/>
        </w:rPr>
      </w:pPr>
    </w:p>
    <w:p w:rsidR="00D53402" w:rsidRPr="002856F3" w:rsidRDefault="00D53402" w:rsidP="00243736">
      <w:pPr>
        <w:tabs>
          <w:tab w:val="left" w:pos="1440"/>
          <w:tab w:val="left" w:pos="7200"/>
          <w:tab w:val="left" w:pos="7920"/>
          <w:tab w:val="left" w:pos="8640"/>
          <w:tab w:val="left" w:pos="10800"/>
        </w:tabs>
        <w:rPr>
          <w:rFonts w:ascii="Arial" w:hAnsi="Arial" w:cs="Arial"/>
          <w:sz w:val="20"/>
        </w:rPr>
      </w:pPr>
      <w:r w:rsidRPr="002856F3">
        <w:rPr>
          <w:rFonts w:ascii="Arial" w:hAnsi="Arial" w:cs="Arial"/>
          <w:sz w:val="20"/>
        </w:rPr>
        <w:t>Reviewed by:</w:t>
      </w:r>
      <w:r w:rsidRPr="002856F3">
        <w:rPr>
          <w:rFonts w:ascii="Arial" w:hAnsi="Arial" w:cs="Arial"/>
          <w:sz w:val="20"/>
        </w:rPr>
        <w:tab/>
      </w:r>
      <w:r w:rsidRPr="002856F3">
        <w:rPr>
          <w:rFonts w:ascii="Arial" w:hAnsi="Arial" w:cs="Arial"/>
          <w:sz w:val="20"/>
          <w:u w:val="single"/>
        </w:rPr>
        <w:tab/>
      </w:r>
      <w:r w:rsidRPr="002856F3">
        <w:rPr>
          <w:rFonts w:ascii="Arial" w:hAnsi="Arial" w:cs="Arial"/>
          <w:sz w:val="20"/>
        </w:rPr>
        <w:tab/>
        <w:t>Date:</w:t>
      </w:r>
      <w:r w:rsidRPr="002856F3">
        <w:rPr>
          <w:rFonts w:ascii="Arial" w:hAnsi="Arial" w:cs="Arial"/>
          <w:sz w:val="20"/>
        </w:rPr>
        <w:tab/>
      </w:r>
      <w:r w:rsidRPr="002856F3">
        <w:rPr>
          <w:rFonts w:ascii="Arial" w:hAnsi="Arial" w:cs="Arial"/>
          <w:sz w:val="20"/>
          <w:u w:val="single"/>
        </w:rPr>
        <w:tab/>
      </w:r>
    </w:p>
    <w:p w:rsidR="00D53402" w:rsidRDefault="00D53402" w:rsidP="00F91287"/>
    <w:p w:rsidR="00D53402" w:rsidRDefault="00D53402" w:rsidP="00F91287">
      <w:pPr>
        <w:rPr>
          <w:rFonts w:ascii="Calibri" w:hAnsi="Calibri"/>
          <w:color w:val="000080"/>
          <w:sz w:val="22"/>
          <w:szCs w:val="22"/>
        </w:rPr>
        <w:sectPr w:rsidR="00D53402" w:rsidSect="00005209">
          <w:headerReference w:type="default" r:id="rId9"/>
          <w:footerReference w:type="even" r:id="rId10"/>
          <w:footerReference w:type="default" r:id="rId11"/>
          <w:pgSz w:w="12240" w:h="15840" w:code="1"/>
          <w:pgMar w:top="720" w:right="720" w:bottom="432" w:left="720" w:header="720" w:footer="389" w:gutter="0"/>
          <w:pgNumType w:start="1"/>
          <w:cols w:space="720"/>
        </w:sectPr>
      </w:pPr>
      <w:r w:rsidRPr="00005209">
        <w:rPr>
          <w:rFonts w:ascii="Calibri" w:hAnsi="Calibri"/>
          <w:color w:val="000080"/>
          <w:sz w:val="22"/>
          <w:szCs w:val="22"/>
        </w:rPr>
        <w:t>1.  Complete the form as much as possible during for inspection; 2.  The remainder of checklist, for activities in the FY, are filled in no later than 9/15</w:t>
      </w:r>
      <w:proofErr w:type="gramStart"/>
      <w:r w:rsidRPr="00005209">
        <w:rPr>
          <w:rFonts w:ascii="Calibri" w:hAnsi="Calibri"/>
          <w:color w:val="000080"/>
          <w:sz w:val="22"/>
          <w:szCs w:val="22"/>
        </w:rPr>
        <w:t>;  3</w:t>
      </w:r>
      <w:proofErr w:type="gramEnd"/>
      <w:r w:rsidRPr="00005209">
        <w:rPr>
          <w:rFonts w:ascii="Calibri" w:hAnsi="Calibri"/>
          <w:color w:val="000080"/>
          <w:sz w:val="22"/>
          <w:szCs w:val="22"/>
        </w:rPr>
        <w:t>.  Between 9/15 and 9/30, complete the FCE by closing out the FCS project in ARMS.</w:t>
      </w:r>
      <w:r>
        <w:rPr>
          <w:rFonts w:ascii="Calibri" w:hAnsi="Calibri"/>
          <w:color w:val="000080"/>
          <w:sz w:val="22"/>
          <w:szCs w:val="22"/>
        </w:rPr>
        <w:t xml:space="preserve">  </w:t>
      </w:r>
      <w:r w:rsidRPr="00005209">
        <w:rPr>
          <w:rFonts w:ascii="Calibri" w:hAnsi="Calibri"/>
          <w:color w:val="000080"/>
          <w:sz w:val="22"/>
          <w:szCs w:val="22"/>
        </w:rPr>
        <w:t>The INSP &gt; FCS record only accepts a completion date and a comment; it does not accept information on the lower portion of the form.  If an FCS project already exists for the fiscal year in question, enter a completion date and comment in the existing record, do not create a duplicate FCS record.</w:t>
      </w:r>
    </w:p>
    <w:p w:rsidR="00D53402" w:rsidRPr="00005209" w:rsidRDefault="00D53402" w:rsidP="00F91287">
      <w:pPr>
        <w:rPr>
          <w:sz w:val="22"/>
          <w:szCs w:val="22"/>
        </w:rPr>
      </w:pPr>
    </w:p>
    <w:sectPr w:rsidR="00D53402" w:rsidRPr="00005209" w:rsidSect="00D53402">
      <w:headerReference w:type="default" r:id="rId12"/>
      <w:footerReference w:type="even" r:id="rId13"/>
      <w:footerReference w:type="default" r:id="rId14"/>
      <w:type w:val="continuous"/>
      <w:pgSz w:w="12240" w:h="15840" w:code="1"/>
      <w:pgMar w:top="720" w:right="720" w:bottom="432" w:left="720" w:header="720"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7A" w:rsidRDefault="00A83C7A">
      <w:r>
        <w:separator/>
      </w:r>
    </w:p>
  </w:endnote>
  <w:endnote w:type="continuationSeparator" w:id="0">
    <w:p w:rsidR="00A83C7A" w:rsidRDefault="00A83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Default="00A83C7A">
    <w:pPr>
      <w:pStyle w:val="Footer"/>
      <w:rPr>
        <w:color w:val="808080"/>
        <w:sz w:val="16"/>
      </w:rPr>
    </w:pPr>
  </w:p>
  <w:p w:rsidR="00A83C7A" w:rsidRDefault="00A83C7A">
    <w:pPr>
      <w:pStyle w:val="Footer"/>
      <w:rPr>
        <w:color w:val="808080"/>
        <w:sz w:val="16"/>
      </w:rPr>
    </w:pPr>
    <w:r>
      <w:rPr>
        <w:noProof/>
        <w:color w:val="808080"/>
        <w:sz w:val="16"/>
      </w:rPr>
      <w:t>h:\users\Templates\Generic CMS</w:t>
    </w:r>
  </w:p>
  <w:p w:rsidR="00A83C7A" w:rsidRDefault="00A83C7A">
    <w:pPr>
      <w:pStyle w:val="Footer"/>
      <w:rPr>
        <w:color w:val="808080"/>
        <w:sz w:val="16"/>
      </w:rPr>
    </w:pPr>
  </w:p>
  <w:p w:rsidR="00A83C7A" w:rsidRDefault="00A83C7A">
    <w:pPr>
      <w:pStyle w:val="Footer"/>
      <w:jc w:val="center"/>
      <w:rPr>
        <w:color w:val="808080"/>
        <w:sz w:val="20"/>
      </w:rPr>
    </w:pPr>
    <w:r>
      <w:rPr>
        <w:color w:val="808080"/>
        <w:sz w:val="20"/>
      </w:rPr>
      <w:t xml:space="preserve">Page </w:t>
    </w:r>
    <w:r>
      <w:rPr>
        <w:color w:val="808080"/>
        <w:sz w:val="20"/>
      </w:rPr>
      <w:fldChar w:fldCharType="begin"/>
    </w:r>
    <w:r>
      <w:rPr>
        <w:color w:val="808080"/>
        <w:sz w:val="20"/>
      </w:rPr>
      <w:instrText xml:space="preserve"> PAGE </w:instrText>
    </w:r>
    <w:r>
      <w:rPr>
        <w:color w:val="808080"/>
        <w:sz w:val="20"/>
      </w:rPr>
      <w:fldChar w:fldCharType="separate"/>
    </w:r>
    <w:r w:rsidR="00C20069">
      <w:rPr>
        <w:noProof/>
        <w:color w:val="808080"/>
        <w:sz w:val="20"/>
      </w:rPr>
      <w:t>6</w:t>
    </w:r>
    <w:r>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Default="00A83C7A">
    <w:pPr>
      <w:pStyle w:val="Footer"/>
      <w:rPr>
        <w:color w:val="8080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Default="00A83C7A" w:rsidP="0024373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3C7A" w:rsidRDefault="00A83C7A" w:rsidP="00243736">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Pr="00350E5E" w:rsidRDefault="00A83C7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Pr="00350E5E">
      <w:rPr>
        <w:rStyle w:val="PageNumber"/>
        <w:rFonts w:ascii="Arial" w:hAnsi="Arial"/>
        <w:sz w:val="16"/>
      </w:rPr>
      <w:fldChar w:fldCharType="begin"/>
    </w:r>
    <w:r w:rsidRPr="00350E5E">
      <w:rPr>
        <w:rStyle w:val="PageNumber"/>
        <w:rFonts w:ascii="Arial" w:hAnsi="Arial"/>
        <w:sz w:val="16"/>
      </w:rPr>
      <w:instrText xml:space="preserve">PAGE  </w:instrText>
    </w:r>
    <w:r w:rsidRPr="00350E5E">
      <w:rPr>
        <w:rStyle w:val="PageNumber"/>
        <w:rFonts w:ascii="Arial" w:hAnsi="Arial"/>
        <w:sz w:val="16"/>
      </w:rPr>
      <w:fldChar w:fldCharType="separate"/>
    </w:r>
    <w:r w:rsidR="00C20069">
      <w:rPr>
        <w:rStyle w:val="PageNumber"/>
        <w:rFonts w:ascii="Arial" w:hAnsi="Arial"/>
        <w:noProof/>
        <w:sz w:val="16"/>
      </w:rPr>
      <w:t>2</w:t>
    </w:r>
    <w:r w:rsidRPr="00350E5E">
      <w:rPr>
        <w:rStyle w:val="PageNumber"/>
        <w:rFonts w:ascii="Arial" w:hAnsi="Arial"/>
        <w:sz w:val="16"/>
      </w:rPr>
      <w:fldChar w:fldCharType="end"/>
    </w:r>
    <w:r w:rsidRPr="00350E5E">
      <w:rPr>
        <w:rStyle w:val="PageNumber"/>
        <w:rFonts w:ascii="Arial" w:hAnsi="Arial"/>
        <w:sz w:val="16"/>
      </w:rPr>
      <w:t xml:space="preserve"> of 2</w:t>
    </w:r>
  </w:p>
  <w:p w:rsidR="00A83C7A" w:rsidRDefault="00A83C7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Default="00A83C7A" w:rsidP="0024373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83C7A" w:rsidRDefault="00A83C7A" w:rsidP="00243736">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Pr="00350E5E" w:rsidRDefault="00A83C7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Pr="00350E5E">
      <w:rPr>
        <w:rStyle w:val="PageNumber"/>
        <w:rFonts w:ascii="Arial" w:hAnsi="Arial"/>
        <w:sz w:val="16"/>
      </w:rPr>
      <w:fldChar w:fldCharType="begin"/>
    </w:r>
    <w:r w:rsidRPr="00350E5E">
      <w:rPr>
        <w:rStyle w:val="PageNumber"/>
        <w:rFonts w:ascii="Arial" w:hAnsi="Arial"/>
        <w:sz w:val="16"/>
      </w:rPr>
      <w:instrText xml:space="preserve">PAGE  </w:instrText>
    </w:r>
    <w:r w:rsidRPr="00350E5E">
      <w:rPr>
        <w:rStyle w:val="PageNumber"/>
        <w:rFonts w:ascii="Arial" w:hAnsi="Arial"/>
        <w:sz w:val="16"/>
      </w:rPr>
      <w:fldChar w:fldCharType="separate"/>
    </w:r>
    <w:r w:rsidR="00431F24">
      <w:rPr>
        <w:rStyle w:val="PageNumber"/>
        <w:rFonts w:ascii="Arial" w:hAnsi="Arial"/>
        <w:noProof/>
        <w:sz w:val="16"/>
      </w:rPr>
      <w:t>1</w:t>
    </w:r>
    <w:r w:rsidRPr="00350E5E">
      <w:rPr>
        <w:rStyle w:val="PageNumber"/>
        <w:rFonts w:ascii="Arial" w:hAnsi="Arial"/>
        <w:sz w:val="16"/>
      </w:rPr>
      <w:fldChar w:fldCharType="end"/>
    </w:r>
    <w:r w:rsidRPr="00350E5E">
      <w:rPr>
        <w:rStyle w:val="PageNumber"/>
        <w:rFonts w:ascii="Arial" w:hAnsi="Arial"/>
        <w:sz w:val="16"/>
      </w:rPr>
      <w:t xml:space="preserve"> of 2</w:t>
    </w:r>
  </w:p>
  <w:p w:rsidR="00A83C7A" w:rsidRDefault="00A83C7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7A" w:rsidRDefault="00A83C7A">
      <w:r>
        <w:separator/>
      </w:r>
    </w:p>
  </w:footnote>
  <w:footnote w:type="continuationSeparator" w:id="0">
    <w:p w:rsidR="00A83C7A" w:rsidRDefault="00A83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Pr="008D42C3" w:rsidRDefault="00A83C7A" w:rsidP="00243736">
    <w:pPr>
      <w:pStyle w:val="Title"/>
      <w:rPr>
        <w:smallCaps/>
        <w:sz w:val="32"/>
      </w:rPr>
    </w:pPr>
    <w:r>
      <w:rPr>
        <w:smallCaps/>
        <w:sz w:val="32"/>
      </w:rPr>
      <w:t>Full Compliance Evaluation Checklist</w:t>
    </w:r>
  </w:p>
  <w:p w:rsidR="00A83C7A" w:rsidRDefault="00A83C7A"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7A" w:rsidRPr="008D42C3" w:rsidRDefault="00A83C7A" w:rsidP="00243736">
    <w:pPr>
      <w:pStyle w:val="Title"/>
      <w:rPr>
        <w:smallCaps/>
        <w:sz w:val="32"/>
      </w:rPr>
    </w:pPr>
    <w:bookmarkStart w:id="3" w:name="OLE_LINK5"/>
    <w:bookmarkStart w:id="4" w:name="OLE_LINK6"/>
    <w:r>
      <w:rPr>
        <w:smallCaps/>
        <w:sz w:val="32"/>
      </w:rPr>
      <w:t>Full Compliance Evaluation Checklist</w:t>
    </w:r>
    <w:bookmarkEnd w:id="3"/>
    <w:bookmarkEnd w:id="4"/>
  </w:p>
  <w:p w:rsidR="00A83C7A" w:rsidRDefault="00A83C7A"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42DD4946"/>
    <w:multiLevelType w:val="hybridMultilevel"/>
    <w:tmpl w:val="133A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2">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4"/>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3809"/>
    <w:rsid w:val="00005209"/>
    <w:rsid w:val="00025C78"/>
    <w:rsid w:val="00027F9F"/>
    <w:rsid w:val="00046673"/>
    <w:rsid w:val="00055C99"/>
    <w:rsid w:val="000D0D8F"/>
    <w:rsid w:val="001138C9"/>
    <w:rsid w:val="00124938"/>
    <w:rsid w:val="00171123"/>
    <w:rsid w:val="00182571"/>
    <w:rsid w:val="001B0864"/>
    <w:rsid w:val="001D6F89"/>
    <w:rsid w:val="001D7768"/>
    <w:rsid w:val="001F2D53"/>
    <w:rsid w:val="00200D58"/>
    <w:rsid w:val="00202D64"/>
    <w:rsid w:val="00212371"/>
    <w:rsid w:val="00226A78"/>
    <w:rsid w:val="00240888"/>
    <w:rsid w:val="00243736"/>
    <w:rsid w:val="00246BA5"/>
    <w:rsid w:val="00253682"/>
    <w:rsid w:val="0026576E"/>
    <w:rsid w:val="0028189A"/>
    <w:rsid w:val="002856F3"/>
    <w:rsid w:val="002A0558"/>
    <w:rsid w:val="002A44A2"/>
    <w:rsid w:val="002B3CD4"/>
    <w:rsid w:val="002F0C37"/>
    <w:rsid w:val="00311FD9"/>
    <w:rsid w:val="00324DC6"/>
    <w:rsid w:val="00354DDD"/>
    <w:rsid w:val="00360377"/>
    <w:rsid w:val="00382320"/>
    <w:rsid w:val="003E6679"/>
    <w:rsid w:val="00431F24"/>
    <w:rsid w:val="00433163"/>
    <w:rsid w:val="00472EED"/>
    <w:rsid w:val="004B6395"/>
    <w:rsid w:val="004C7CA9"/>
    <w:rsid w:val="004E0D5F"/>
    <w:rsid w:val="005153F0"/>
    <w:rsid w:val="005C0788"/>
    <w:rsid w:val="00645089"/>
    <w:rsid w:val="00666145"/>
    <w:rsid w:val="00672131"/>
    <w:rsid w:val="00672C66"/>
    <w:rsid w:val="006C1594"/>
    <w:rsid w:val="007504CA"/>
    <w:rsid w:val="007F65A5"/>
    <w:rsid w:val="008008A3"/>
    <w:rsid w:val="0080230E"/>
    <w:rsid w:val="00807933"/>
    <w:rsid w:val="00873E7E"/>
    <w:rsid w:val="008A0321"/>
    <w:rsid w:val="008B7D28"/>
    <w:rsid w:val="008C5799"/>
    <w:rsid w:val="008C6CE9"/>
    <w:rsid w:val="008D407F"/>
    <w:rsid w:val="008E5963"/>
    <w:rsid w:val="008F0BC0"/>
    <w:rsid w:val="009132E4"/>
    <w:rsid w:val="00933704"/>
    <w:rsid w:val="00961DC4"/>
    <w:rsid w:val="009A0164"/>
    <w:rsid w:val="009A5BF6"/>
    <w:rsid w:val="009E4ED1"/>
    <w:rsid w:val="009F2AC4"/>
    <w:rsid w:val="00A04EB9"/>
    <w:rsid w:val="00A774DE"/>
    <w:rsid w:val="00A83C7A"/>
    <w:rsid w:val="00AA4836"/>
    <w:rsid w:val="00BB3AC7"/>
    <w:rsid w:val="00BC3C90"/>
    <w:rsid w:val="00BD1D1E"/>
    <w:rsid w:val="00BF6216"/>
    <w:rsid w:val="00C20069"/>
    <w:rsid w:val="00C50086"/>
    <w:rsid w:val="00C6610A"/>
    <w:rsid w:val="00C66B0E"/>
    <w:rsid w:val="00C6737D"/>
    <w:rsid w:val="00C900E3"/>
    <w:rsid w:val="00C93652"/>
    <w:rsid w:val="00CA21BD"/>
    <w:rsid w:val="00CA3CDE"/>
    <w:rsid w:val="00CB4483"/>
    <w:rsid w:val="00CD5882"/>
    <w:rsid w:val="00CD7892"/>
    <w:rsid w:val="00CE1CD9"/>
    <w:rsid w:val="00D15FAF"/>
    <w:rsid w:val="00D346F4"/>
    <w:rsid w:val="00D52DB5"/>
    <w:rsid w:val="00D53402"/>
    <w:rsid w:val="00D55B74"/>
    <w:rsid w:val="00D61595"/>
    <w:rsid w:val="00DA40EC"/>
    <w:rsid w:val="00DB58B7"/>
    <w:rsid w:val="00DE3FB7"/>
    <w:rsid w:val="00E11D6F"/>
    <w:rsid w:val="00E82959"/>
    <w:rsid w:val="00EE4E95"/>
    <w:rsid w:val="00EE6740"/>
    <w:rsid w:val="00F14257"/>
    <w:rsid w:val="00F14CB4"/>
    <w:rsid w:val="00F16338"/>
    <w:rsid w:val="00F21D15"/>
    <w:rsid w:val="00F662CD"/>
    <w:rsid w:val="00F843FF"/>
    <w:rsid w:val="00F91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99"/>
    <w:rPr>
      <w:sz w:val="24"/>
    </w:rPr>
  </w:style>
  <w:style w:type="paragraph" w:styleId="Heading1">
    <w:name w:val="heading 1"/>
    <w:basedOn w:val="Normal"/>
    <w:next w:val="Normal"/>
    <w:qFormat/>
    <w:rsid w:val="00055C99"/>
    <w:pPr>
      <w:keepNext/>
      <w:spacing w:line="-261" w:lineRule="auto"/>
      <w:jc w:val="right"/>
      <w:outlineLvl w:val="0"/>
    </w:pPr>
    <w:rPr>
      <w:rFonts w:ascii="Times New" w:hAnsi="Times New"/>
      <w:b/>
      <w:bCs/>
      <w:sz w:val="16"/>
    </w:rPr>
  </w:style>
  <w:style w:type="paragraph" w:styleId="Heading2">
    <w:name w:val="heading 2"/>
    <w:basedOn w:val="Normal"/>
    <w:next w:val="Normal"/>
    <w:qFormat/>
    <w:rsid w:val="00055C99"/>
    <w:pPr>
      <w:keepNext/>
      <w:spacing w:line="-261" w:lineRule="auto"/>
      <w:jc w:val="center"/>
      <w:outlineLvl w:val="1"/>
    </w:pPr>
    <w:rPr>
      <w:rFonts w:ascii="Tahoma" w:hAnsi="Tahoma" w:cs="Tahoma"/>
      <w:b/>
      <w:sz w:val="18"/>
    </w:rPr>
  </w:style>
  <w:style w:type="paragraph" w:styleId="Heading3">
    <w:name w:val="heading 3"/>
    <w:basedOn w:val="Normal"/>
    <w:next w:val="Normal"/>
    <w:qFormat/>
    <w:rsid w:val="00055C99"/>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055C99"/>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055C99"/>
    <w:pPr>
      <w:keepNext/>
      <w:ind w:firstLine="720"/>
      <w:outlineLvl w:val="4"/>
    </w:pPr>
    <w:rPr>
      <w:b/>
      <w:i/>
      <w:color w:val="FF0000"/>
      <w:sz w:val="28"/>
    </w:rPr>
  </w:style>
  <w:style w:type="paragraph" w:styleId="Heading6">
    <w:name w:val="heading 6"/>
    <w:basedOn w:val="Normal"/>
    <w:next w:val="Normal"/>
    <w:qFormat/>
    <w:rsid w:val="00055C99"/>
    <w:pPr>
      <w:keepNext/>
      <w:numPr>
        <w:numId w:val="13"/>
      </w:numPr>
      <w:outlineLvl w:val="5"/>
    </w:pPr>
    <w:rPr>
      <w:b/>
      <w:sz w:val="20"/>
    </w:rPr>
  </w:style>
  <w:style w:type="paragraph" w:styleId="Heading7">
    <w:name w:val="heading 7"/>
    <w:basedOn w:val="Normal"/>
    <w:next w:val="Normal"/>
    <w:qFormat/>
    <w:rsid w:val="00055C99"/>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55C99"/>
    <w:rPr>
      <w:rFonts w:ascii="Courier" w:hAnsi="Courier"/>
    </w:rPr>
  </w:style>
  <w:style w:type="paragraph" w:styleId="BlockText">
    <w:name w:val="Block Text"/>
    <w:basedOn w:val="Normal"/>
    <w:rsid w:val="00055C99"/>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055C99"/>
    <w:pPr>
      <w:tabs>
        <w:tab w:val="left" w:pos="360"/>
        <w:tab w:val="left" w:pos="720"/>
        <w:tab w:val="left" w:pos="1080"/>
      </w:tabs>
      <w:suppressAutoHyphens/>
      <w:ind w:right="90"/>
    </w:pPr>
    <w:rPr>
      <w:sz w:val="22"/>
    </w:rPr>
  </w:style>
  <w:style w:type="character" w:styleId="Hyperlink">
    <w:name w:val="Hyperlink"/>
    <w:basedOn w:val="DefaultParagraphFont"/>
    <w:rsid w:val="00055C99"/>
    <w:rPr>
      <w:color w:val="0000FF"/>
      <w:u w:val="single"/>
    </w:rPr>
  </w:style>
  <w:style w:type="character" w:styleId="FollowedHyperlink">
    <w:name w:val="FollowedHyperlink"/>
    <w:basedOn w:val="DefaultParagraphFont"/>
    <w:rsid w:val="00055C99"/>
    <w:rPr>
      <w:color w:val="800080"/>
      <w:u w:val="single"/>
    </w:rPr>
  </w:style>
  <w:style w:type="paragraph" w:styleId="Header">
    <w:name w:val="header"/>
    <w:basedOn w:val="Normal"/>
    <w:rsid w:val="00055C99"/>
    <w:pPr>
      <w:tabs>
        <w:tab w:val="center" w:pos="4320"/>
        <w:tab w:val="right" w:pos="8640"/>
      </w:tabs>
    </w:pPr>
  </w:style>
  <w:style w:type="paragraph" w:styleId="Footer">
    <w:name w:val="footer"/>
    <w:basedOn w:val="Normal"/>
    <w:rsid w:val="00055C99"/>
    <w:pPr>
      <w:tabs>
        <w:tab w:val="center" w:pos="4320"/>
        <w:tab w:val="right" w:pos="8640"/>
      </w:tabs>
    </w:pPr>
  </w:style>
  <w:style w:type="character" w:styleId="CommentReference">
    <w:name w:val="annotation reference"/>
    <w:basedOn w:val="DefaultParagraphFont"/>
    <w:semiHidden/>
    <w:rsid w:val="00055C99"/>
    <w:rPr>
      <w:sz w:val="16"/>
      <w:szCs w:val="16"/>
    </w:rPr>
  </w:style>
  <w:style w:type="paragraph" w:styleId="BodyText">
    <w:name w:val="Body Text"/>
    <w:basedOn w:val="Normal"/>
    <w:rsid w:val="00055C99"/>
  </w:style>
  <w:style w:type="paragraph" w:styleId="BodyTextIndent3">
    <w:name w:val="Body Text Indent 3"/>
    <w:basedOn w:val="Normal"/>
    <w:rsid w:val="00055C99"/>
    <w:pPr>
      <w:ind w:firstLine="720"/>
    </w:pPr>
  </w:style>
  <w:style w:type="paragraph" w:styleId="BodyTextIndent">
    <w:name w:val="Body Text Indent"/>
    <w:basedOn w:val="Normal"/>
    <w:link w:val="BodyTextIndentChar"/>
    <w:rsid w:val="00055C99"/>
    <w:pPr>
      <w:ind w:firstLine="720"/>
    </w:pPr>
    <w:rPr>
      <w:sz w:val="20"/>
    </w:rPr>
  </w:style>
  <w:style w:type="paragraph" w:styleId="BodyTextIndent2">
    <w:name w:val="Body Text Indent 2"/>
    <w:basedOn w:val="Normal"/>
    <w:link w:val="BodyTextIndent2Char"/>
    <w:rsid w:val="00055C99"/>
    <w:pPr>
      <w:ind w:firstLine="720"/>
    </w:pPr>
    <w:rPr>
      <w:sz w:val="28"/>
    </w:rPr>
  </w:style>
  <w:style w:type="paragraph" w:styleId="DocumentMap">
    <w:name w:val="Document Map"/>
    <w:basedOn w:val="Normal"/>
    <w:semiHidden/>
    <w:rsid w:val="00055C99"/>
    <w:pPr>
      <w:shd w:val="clear" w:color="auto" w:fill="000080"/>
    </w:pPr>
    <w:rPr>
      <w:rFonts w:ascii="Tahoma" w:hAnsi="Tahoma" w:cs="Tahoma"/>
    </w:rPr>
  </w:style>
  <w:style w:type="character" w:styleId="PageNumber">
    <w:name w:val="page number"/>
    <w:basedOn w:val="DefaultParagraphFont"/>
    <w:rsid w:val="00055C99"/>
  </w:style>
  <w:style w:type="paragraph" w:styleId="CommentText">
    <w:name w:val="annotation text"/>
    <w:basedOn w:val="Normal"/>
    <w:semiHidden/>
    <w:rsid w:val="00055C99"/>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semiHidden/>
    <w:rsid w:val="00D53402"/>
    <w:rPr>
      <w:rFonts w:ascii="Courier" w:hAnsi="Courier"/>
      <w:sz w:val="24"/>
    </w:rPr>
  </w:style>
  <w:style w:type="character" w:customStyle="1" w:styleId="BodyTextIndentChar">
    <w:name w:val="Body Text Indent Char"/>
    <w:basedOn w:val="DefaultParagraphFont"/>
    <w:link w:val="BodyTextIndent"/>
    <w:rsid w:val="00D53402"/>
  </w:style>
  <w:style w:type="character" w:customStyle="1" w:styleId="BodyTextIndent2Char">
    <w:name w:val="Body Text Indent 2 Char"/>
    <w:basedOn w:val="DefaultParagraphFont"/>
    <w:link w:val="BodyTextIndent2"/>
    <w:rsid w:val="00D53402"/>
    <w:rPr>
      <w:sz w:val="28"/>
    </w:rPr>
  </w:style>
</w:styles>
</file>

<file path=word/webSettings.xml><?xml version="1.0" encoding="utf-8"?>
<w:webSettings xmlns:r="http://schemas.openxmlformats.org/officeDocument/2006/relationships" xmlns:w="http://schemas.openxmlformats.org/wordprocessingml/2006/main">
  <w:divs>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3150</Words>
  <Characters>18876</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2011-07-19T17:05:00Z</cp:lastPrinted>
  <dcterms:created xsi:type="dcterms:W3CDTF">2011-07-19T17:05:00Z</dcterms:created>
  <dcterms:modified xsi:type="dcterms:W3CDTF">2011-07-19T17:05:00Z</dcterms:modified>
</cp:coreProperties>
</file>