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3F10" w:rsidRPr="00194AA6" w:rsidRDefault="00193F10" w:rsidP="00194AA6">
      <w:pPr>
        <w:jc w:val="center"/>
        <w:rPr>
          <w:sz w:val="22"/>
          <w:szCs w:val="22"/>
        </w:rPr>
      </w:pPr>
    </w:p>
    <w:p w:rsidR="00193F10" w:rsidRDefault="00114ACE" w:rsidP="00194AA6">
      <w:pPr>
        <w:jc w:val="center"/>
      </w:pPr>
      <w:r>
        <w:rPr>
          <w:noProof/>
        </w:rPr>
        <w:drawing>
          <wp:inline distT="0" distB="0" distL="0" distR="0">
            <wp:extent cx="1717675" cy="1121410"/>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srcRect/>
                    <a:stretch>
                      <a:fillRect/>
                    </a:stretch>
                  </pic:blipFill>
                  <pic:spPr bwMode="auto">
                    <a:xfrm>
                      <a:off x="0" y="0"/>
                      <a:ext cx="1717675" cy="1121410"/>
                    </a:xfrm>
                    <a:prstGeom prst="rect">
                      <a:avLst/>
                    </a:prstGeom>
                    <a:noFill/>
                    <a:ln w="9525">
                      <a:noFill/>
                      <a:miter lim="800000"/>
                      <a:headEnd/>
                      <a:tailEnd/>
                    </a:ln>
                  </pic:spPr>
                </pic:pic>
              </a:graphicData>
            </a:graphic>
          </wp:inline>
        </w:drawing>
      </w:r>
    </w:p>
    <w:p w:rsidR="001771DC" w:rsidRPr="00194AA6" w:rsidRDefault="001771DC" w:rsidP="00194AA6">
      <w:pPr>
        <w:jc w:val="center"/>
        <w:rPr>
          <w:sz w:val="22"/>
          <w:szCs w:val="22"/>
        </w:rPr>
      </w:pPr>
    </w:p>
    <w:p w:rsidR="00193F10" w:rsidRPr="004E6565" w:rsidRDefault="00193F10" w:rsidP="00194AA6">
      <w:pPr>
        <w:pStyle w:val="Heading3"/>
        <w:rPr>
          <w:b/>
          <w:sz w:val="32"/>
          <w:szCs w:val="32"/>
        </w:rPr>
      </w:pPr>
      <w:r w:rsidRPr="004E6565">
        <w:rPr>
          <w:b/>
          <w:sz w:val="32"/>
          <w:szCs w:val="32"/>
        </w:rPr>
        <w:t>TECHNICAL EVALUATION</w:t>
      </w:r>
    </w:p>
    <w:p w:rsidR="00193F10" w:rsidRPr="004E6565" w:rsidRDefault="00193F10" w:rsidP="00194AA6">
      <w:pPr>
        <w:jc w:val="center"/>
        <w:rPr>
          <w:b/>
          <w:sz w:val="32"/>
          <w:szCs w:val="32"/>
        </w:rPr>
      </w:pPr>
      <w:r w:rsidRPr="004E6565">
        <w:rPr>
          <w:b/>
          <w:sz w:val="32"/>
          <w:szCs w:val="32"/>
        </w:rPr>
        <w:t>&amp;</w:t>
      </w:r>
    </w:p>
    <w:p w:rsidR="00193F10" w:rsidRPr="004E6565" w:rsidRDefault="00193F10" w:rsidP="00176ACD">
      <w:pPr>
        <w:spacing w:after="240"/>
        <w:jc w:val="center"/>
        <w:rPr>
          <w:b/>
          <w:sz w:val="32"/>
          <w:szCs w:val="32"/>
        </w:rPr>
      </w:pPr>
      <w:r w:rsidRPr="004E6565">
        <w:rPr>
          <w:b/>
          <w:sz w:val="32"/>
          <w:szCs w:val="32"/>
        </w:rPr>
        <w:t>PRELIMINARY DETERMINATION</w:t>
      </w:r>
    </w:p>
    <w:p w:rsidR="00194AA6" w:rsidRPr="00194AA6" w:rsidRDefault="00194AA6" w:rsidP="00194AA6">
      <w:pPr>
        <w:pStyle w:val="Heading4"/>
        <w:spacing w:after="120"/>
        <w:rPr>
          <w:bCs/>
          <w:szCs w:val="22"/>
        </w:rPr>
      </w:pPr>
      <w:r w:rsidRPr="00194AA6">
        <w:rPr>
          <w:bCs/>
          <w:szCs w:val="22"/>
        </w:rPr>
        <w:t>APPLICANT</w:t>
      </w:r>
    </w:p>
    <w:p w:rsidR="00352DE9" w:rsidRPr="00352DE9" w:rsidRDefault="00352DE9" w:rsidP="00352DE9">
      <w:pPr>
        <w:autoSpaceDE w:val="0"/>
        <w:autoSpaceDN w:val="0"/>
        <w:adjustRightInd w:val="0"/>
        <w:jc w:val="center"/>
        <w:rPr>
          <w:color w:val="000000"/>
          <w:sz w:val="22"/>
          <w:szCs w:val="22"/>
        </w:rPr>
      </w:pPr>
      <w:r>
        <w:rPr>
          <w:color w:val="000000"/>
          <w:sz w:val="22"/>
          <w:szCs w:val="22"/>
        </w:rPr>
        <w:t>Ardagh Glass, Inc.</w:t>
      </w:r>
    </w:p>
    <w:p w:rsidR="00352DE9" w:rsidRPr="00352DE9" w:rsidRDefault="00352DE9" w:rsidP="00352DE9">
      <w:pPr>
        <w:autoSpaceDE w:val="0"/>
        <w:autoSpaceDN w:val="0"/>
        <w:adjustRightInd w:val="0"/>
        <w:jc w:val="center"/>
        <w:rPr>
          <w:color w:val="000000"/>
          <w:sz w:val="22"/>
          <w:szCs w:val="22"/>
        </w:rPr>
      </w:pPr>
      <w:r w:rsidRPr="00352DE9">
        <w:rPr>
          <w:color w:val="000000"/>
          <w:sz w:val="22"/>
          <w:szCs w:val="22"/>
        </w:rPr>
        <w:t>2121 Huron Street</w:t>
      </w:r>
    </w:p>
    <w:p w:rsidR="00194AA6" w:rsidRPr="00746205" w:rsidRDefault="00352DE9" w:rsidP="00176ACD">
      <w:pPr>
        <w:widowControl w:val="0"/>
        <w:spacing w:after="240"/>
        <w:jc w:val="center"/>
        <w:rPr>
          <w:sz w:val="22"/>
          <w:szCs w:val="22"/>
        </w:rPr>
      </w:pPr>
      <w:r w:rsidRPr="00352DE9">
        <w:rPr>
          <w:color w:val="000000"/>
          <w:sz w:val="22"/>
          <w:szCs w:val="22"/>
        </w:rPr>
        <w:t xml:space="preserve">Jacksonville, FL 32254 </w:t>
      </w:r>
    </w:p>
    <w:p w:rsidR="00194AA6" w:rsidRPr="00746205" w:rsidRDefault="00352DE9" w:rsidP="00194AA6">
      <w:pPr>
        <w:widowControl w:val="0"/>
        <w:jc w:val="center"/>
        <w:rPr>
          <w:sz w:val="22"/>
          <w:szCs w:val="22"/>
        </w:rPr>
      </w:pPr>
      <w:r>
        <w:rPr>
          <w:sz w:val="22"/>
          <w:szCs w:val="22"/>
        </w:rPr>
        <w:t>Jacksonville Facility</w:t>
      </w:r>
    </w:p>
    <w:p w:rsidR="00194AA6" w:rsidRDefault="00194AA6" w:rsidP="00176ACD">
      <w:pPr>
        <w:widowControl w:val="0"/>
        <w:spacing w:after="360"/>
        <w:jc w:val="center"/>
        <w:rPr>
          <w:sz w:val="22"/>
          <w:szCs w:val="22"/>
        </w:rPr>
      </w:pPr>
      <w:r w:rsidRPr="00746205">
        <w:rPr>
          <w:sz w:val="22"/>
          <w:szCs w:val="22"/>
        </w:rPr>
        <w:t xml:space="preserve">Facility ID No. </w:t>
      </w:r>
      <w:r w:rsidR="00352DE9">
        <w:rPr>
          <w:sz w:val="22"/>
          <w:szCs w:val="22"/>
        </w:rPr>
        <w:t>0310005</w:t>
      </w:r>
    </w:p>
    <w:p w:rsidR="00193F10" w:rsidRDefault="00193F10" w:rsidP="00194AA6">
      <w:pPr>
        <w:pStyle w:val="Heading4"/>
        <w:spacing w:after="120"/>
        <w:rPr>
          <w:bCs/>
        </w:rPr>
      </w:pPr>
      <w:r>
        <w:rPr>
          <w:bCs/>
        </w:rPr>
        <w:t>PROJECT</w:t>
      </w:r>
    </w:p>
    <w:p w:rsidR="00193F10" w:rsidRDefault="00193F10" w:rsidP="00194AA6">
      <w:pPr>
        <w:pStyle w:val="Heading1"/>
        <w:spacing w:after="0"/>
        <w:ind w:left="0"/>
        <w:jc w:val="center"/>
        <w:rPr>
          <w:sz w:val="22"/>
        </w:rPr>
      </w:pPr>
      <w:r w:rsidRPr="0060062E">
        <w:rPr>
          <w:sz w:val="22"/>
        </w:rPr>
        <w:t>P</w:t>
      </w:r>
      <w:r w:rsidR="00194AA6" w:rsidRPr="0060062E">
        <w:rPr>
          <w:sz w:val="22"/>
        </w:rPr>
        <w:t>roject</w:t>
      </w:r>
      <w:r w:rsidRPr="0060062E">
        <w:rPr>
          <w:sz w:val="22"/>
        </w:rPr>
        <w:t xml:space="preserve"> No. </w:t>
      </w:r>
      <w:r w:rsidR="00352DE9">
        <w:rPr>
          <w:sz w:val="22"/>
        </w:rPr>
        <w:t>0310005-015</w:t>
      </w:r>
      <w:r w:rsidR="008603FF" w:rsidRPr="0060062E">
        <w:rPr>
          <w:sz w:val="22"/>
        </w:rPr>
        <w:t>-AC</w:t>
      </w:r>
    </w:p>
    <w:p w:rsidR="00194AA6" w:rsidRDefault="00194AA6" w:rsidP="00352DE9">
      <w:pPr>
        <w:spacing w:after="240"/>
        <w:jc w:val="center"/>
        <w:rPr>
          <w:sz w:val="22"/>
        </w:rPr>
      </w:pPr>
      <w:r w:rsidRPr="004665E5">
        <w:rPr>
          <w:sz w:val="22"/>
        </w:rPr>
        <w:t xml:space="preserve">Application for </w:t>
      </w:r>
      <w:r w:rsidR="008603FF" w:rsidRPr="004665E5">
        <w:rPr>
          <w:sz w:val="22"/>
        </w:rPr>
        <w:t xml:space="preserve">Minor Source </w:t>
      </w:r>
      <w:r w:rsidRPr="004665E5">
        <w:rPr>
          <w:sz w:val="22"/>
        </w:rPr>
        <w:t>Air Construction Permit</w:t>
      </w:r>
    </w:p>
    <w:p w:rsidR="00C04FD1" w:rsidRDefault="00C04FD1" w:rsidP="00352DE9">
      <w:pPr>
        <w:spacing w:after="120"/>
        <w:jc w:val="center"/>
        <w:rPr>
          <w:sz w:val="22"/>
        </w:rPr>
      </w:pPr>
      <w:r w:rsidRPr="00C04FD1">
        <w:rPr>
          <w:sz w:val="22"/>
        </w:rPr>
        <w:t xml:space="preserve">No. 4 </w:t>
      </w:r>
      <w:r w:rsidR="00352DE9">
        <w:rPr>
          <w:sz w:val="22"/>
        </w:rPr>
        <w:t>Glass Melting Furnace (After the Fact Modification to Permit No. 0310005-012-AC)</w:t>
      </w:r>
    </w:p>
    <w:p w:rsidR="00352DE9" w:rsidRDefault="00352DE9" w:rsidP="004E6565">
      <w:pPr>
        <w:spacing w:after="360"/>
        <w:jc w:val="center"/>
        <w:rPr>
          <w:sz w:val="22"/>
        </w:rPr>
      </w:pPr>
      <w:r>
        <w:rPr>
          <w:sz w:val="22"/>
        </w:rPr>
        <w:t xml:space="preserve">No. 3 Glass Melting Furnace (After the Fact Permit for Burner </w:t>
      </w:r>
      <w:r w:rsidR="003A2119">
        <w:rPr>
          <w:sz w:val="22"/>
        </w:rPr>
        <w:t xml:space="preserve">Tip </w:t>
      </w:r>
      <w:r>
        <w:rPr>
          <w:sz w:val="22"/>
        </w:rPr>
        <w:t xml:space="preserve">Changes) </w:t>
      </w:r>
    </w:p>
    <w:p w:rsidR="00193F10" w:rsidRDefault="00193F10" w:rsidP="00194AA6">
      <w:pPr>
        <w:pStyle w:val="Heading4"/>
        <w:spacing w:after="120"/>
        <w:rPr>
          <w:bCs/>
        </w:rPr>
      </w:pPr>
      <w:r>
        <w:rPr>
          <w:bCs/>
        </w:rPr>
        <w:t>COUNTY</w:t>
      </w:r>
    </w:p>
    <w:p w:rsidR="00193F10" w:rsidRPr="001D487F" w:rsidRDefault="00352DE9" w:rsidP="00176ACD">
      <w:pPr>
        <w:spacing w:after="360"/>
        <w:jc w:val="center"/>
        <w:rPr>
          <w:sz w:val="22"/>
        </w:rPr>
      </w:pPr>
      <w:r>
        <w:rPr>
          <w:sz w:val="22"/>
        </w:rPr>
        <w:t>Duval</w:t>
      </w:r>
      <w:r w:rsidR="001D1649" w:rsidRPr="001D1649">
        <w:rPr>
          <w:sz w:val="22"/>
        </w:rPr>
        <w:t xml:space="preserve"> </w:t>
      </w:r>
      <w:r w:rsidR="00193F10" w:rsidRPr="001D1649">
        <w:rPr>
          <w:sz w:val="22"/>
        </w:rPr>
        <w:t>County</w:t>
      </w:r>
      <w:r w:rsidR="001D487F">
        <w:rPr>
          <w:sz w:val="22"/>
        </w:rPr>
        <w:t>, Florida</w:t>
      </w:r>
    </w:p>
    <w:p w:rsidR="00193F10" w:rsidRDefault="00193F10" w:rsidP="00194AA6">
      <w:pPr>
        <w:pStyle w:val="Heading8"/>
        <w:jc w:val="center"/>
      </w:pPr>
      <w:r>
        <w:t>PERMITTING</w:t>
      </w:r>
      <w:r w:rsidR="001D487F">
        <w:t xml:space="preserve"> </w:t>
      </w:r>
      <w:r>
        <w:t>AUTHORITY</w:t>
      </w:r>
    </w:p>
    <w:p w:rsidR="00EB50AB" w:rsidRPr="00EB50AB" w:rsidRDefault="00EB50AB" w:rsidP="00EB50AB">
      <w:pPr>
        <w:jc w:val="center"/>
        <w:rPr>
          <w:sz w:val="22"/>
          <w:szCs w:val="22"/>
        </w:rPr>
      </w:pPr>
      <w:r w:rsidRPr="00EB50AB">
        <w:rPr>
          <w:sz w:val="22"/>
          <w:szCs w:val="22"/>
        </w:rPr>
        <w:t>Florida Department of Environmental Protection</w:t>
      </w:r>
    </w:p>
    <w:p w:rsidR="00EB50AB" w:rsidRPr="00EB50AB" w:rsidRDefault="00352DE9" w:rsidP="00EB50AB">
      <w:pPr>
        <w:jc w:val="center"/>
        <w:rPr>
          <w:sz w:val="22"/>
          <w:szCs w:val="22"/>
        </w:rPr>
      </w:pPr>
      <w:r>
        <w:rPr>
          <w:sz w:val="22"/>
          <w:szCs w:val="22"/>
        </w:rPr>
        <w:t>Northeast District Office</w:t>
      </w:r>
    </w:p>
    <w:p w:rsidR="00EB50AB" w:rsidRPr="00EB50AB" w:rsidRDefault="00352DE9" w:rsidP="00EB50AB">
      <w:pPr>
        <w:jc w:val="center"/>
        <w:rPr>
          <w:sz w:val="22"/>
          <w:szCs w:val="22"/>
        </w:rPr>
      </w:pPr>
      <w:r>
        <w:rPr>
          <w:sz w:val="22"/>
          <w:szCs w:val="22"/>
        </w:rPr>
        <w:t>Waste and Air Resource Management Program</w:t>
      </w:r>
    </w:p>
    <w:p w:rsidR="00EB50AB" w:rsidRPr="00EB50AB" w:rsidRDefault="00352DE9" w:rsidP="00EB50AB">
      <w:pPr>
        <w:jc w:val="center"/>
        <w:rPr>
          <w:sz w:val="22"/>
          <w:szCs w:val="22"/>
        </w:rPr>
      </w:pPr>
      <w:r>
        <w:rPr>
          <w:sz w:val="22"/>
          <w:szCs w:val="22"/>
        </w:rPr>
        <w:t xml:space="preserve">8800 Baymeadows </w:t>
      </w:r>
      <w:r w:rsidR="00086F09">
        <w:rPr>
          <w:sz w:val="22"/>
          <w:szCs w:val="22"/>
        </w:rPr>
        <w:t>Way</w:t>
      </w:r>
      <w:r>
        <w:rPr>
          <w:sz w:val="22"/>
          <w:szCs w:val="22"/>
        </w:rPr>
        <w:t xml:space="preserve"> West, Suite 100</w:t>
      </w:r>
    </w:p>
    <w:p w:rsidR="00EB50AB" w:rsidRPr="00EB50AB" w:rsidRDefault="00352DE9" w:rsidP="00176ACD">
      <w:pPr>
        <w:spacing w:after="360"/>
        <w:jc w:val="center"/>
        <w:rPr>
          <w:sz w:val="22"/>
          <w:szCs w:val="22"/>
        </w:rPr>
      </w:pPr>
      <w:r>
        <w:rPr>
          <w:sz w:val="22"/>
          <w:szCs w:val="22"/>
        </w:rPr>
        <w:t>Jacksonville</w:t>
      </w:r>
      <w:r w:rsidR="00EB50AB" w:rsidRPr="00EB50AB">
        <w:rPr>
          <w:sz w:val="22"/>
          <w:szCs w:val="22"/>
        </w:rPr>
        <w:t xml:space="preserve">, </w:t>
      </w:r>
      <w:smartTag w:uri="urn:schemas-microsoft-com:office:smarttags" w:element="State">
        <w:r w:rsidR="00EB50AB" w:rsidRPr="00EB50AB">
          <w:rPr>
            <w:sz w:val="22"/>
            <w:szCs w:val="22"/>
          </w:rPr>
          <w:t>Florida</w:t>
        </w:r>
      </w:smartTag>
      <w:r w:rsidR="00EB50AB" w:rsidRPr="00EB50AB">
        <w:rPr>
          <w:sz w:val="22"/>
          <w:szCs w:val="22"/>
        </w:rPr>
        <w:t xml:space="preserve">  </w:t>
      </w:r>
      <w:r>
        <w:rPr>
          <w:sz w:val="22"/>
          <w:szCs w:val="22"/>
        </w:rPr>
        <w:t>32256</w:t>
      </w:r>
    </w:p>
    <w:p w:rsidR="00176ACD" w:rsidRDefault="00176ACD" w:rsidP="00176ACD">
      <w:pPr>
        <w:pStyle w:val="Heading8"/>
        <w:jc w:val="center"/>
      </w:pPr>
      <w:r>
        <w:t>Compliance AUTHORITY</w:t>
      </w:r>
    </w:p>
    <w:p w:rsidR="00176ACD" w:rsidRPr="00EB50AB" w:rsidRDefault="00176ACD" w:rsidP="00176ACD">
      <w:pPr>
        <w:jc w:val="center"/>
        <w:rPr>
          <w:sz w:val="22"/>
          <w:szCs w:val="22"/>
        </w:rPr>
      </w:pPr>
      <w:r w:rsidRPr="00EB50AB">
        <w:rPr>
          <w:sz w:val="22"/>
          <w:szCs w:val="22"/>
        </w:rPr>
        <w:t>Florida Department of Environmental Protection</w:t>
      </w:r>
    </w:p>
    <w:p w:rsidR="00176ACD" w:rsidRPr="00EB50AB" w:rsidRDefault="00176ACD" w:rsidP="00176ACD">
      <w:pPr>
        <w:jc w:val="center"/>
        <w:rPr>
          <w:sz w:val="22"/>
          <w:szCs w:val="22"/>
        </w:rPr>
      </w:pPr>
      <w:r>
        <w:rPr>
          <w:sz w:val="22"/>
          <w:szCs w:val="22"/>
        </w:rPr>
        <w:t>Northeast District Office</w:t>
      </w:r>
    </w:p>
    <w:p w:rsidR="00176ACD" w:rsidRPr="00EB50AB" w:rsidRDefault="00176ACD" w:rsidP="00176ACD">
      <w:pPr>
        <w:jc w:val="center"/>
        <w:rPr>
          <w:sz w:val="22"/>
          <w:szCs w:val="22"/>
        </w:rPr>
      </w:pPr>
      <w:r>
        <w:rPr>
          <w:sz w:val="22"/>
          <w:szCs w:val="22"/>
        </w:rPr>
        <w:t>Compliance Assurance</w:t>
      </w:r>
    </w:p>
    <w:p w:rsidR="00176ACD" w:rsidRPr="00EB50AB" w:rsidRDefault="00176ACD" w:rsidP="00176ACD">
      <w:pPr>
        <w:jc w:val="center"/>
        <w:rPr>
          <w:sz w:val="22"/>
          <w:szCs w:val="22"/>
        </w:rPr>
      </w:pPr>
      <w:r>
        <w:rPr>
          <w:sz w:val="22"/>
          <w:szCs w:val="22"/>
        </w:rPr>
        <w:t>8800 Baymeadows Way West, Suite 100</w:t>
      </w:r>
    </w:p>
    <w:p w:rsidR="00176ACD" w:rsidRDefault="00176ACD" w:rsidP="00176ACD">
      <w:pPr>
        <w:jc w:val="center"/>
        <w:rPr>
          <w:sz w:val="22"/>
        </w:rPr>
      </w:pPr>
      <w:r>
        <w:rPr>
          <w:sz w:val="22"/>
          <w:szCs w:val="22"/>
        </w:rPr>
        <w:t>Jacksonville</w:t>
      </w:r>
      <w:r w:rsidRPr="00EB50AB">
        <w:rPr>
          <w:sz w:val="22"/>
          <w:szCs w:val="22"/>
        </w:rPr>
        <w:t xml:space="preserve">, </w:t>
      </w:r>
      <w:smartTag w:uri="urn:schemas-microsoft-com:office:smarttags" w:element="State">
        <w:r w:rsidRPr="00EB50AB">
          <w:rPr>
            <w:sz w:val="22"/>
            <w:szCs w:val="22"/>
          </w:rPr>
          <w:t>Florida</w:t>
        </w:r>
      </w:smartTag>
      <w:r w:rsidRPr="00EB50AB">
        <w:rPr>
          <w:sz w:val="22"/>
          <w:szCs w:val="22"/>
        </w:rPr>
        <w:t xml:space="preserve">  </w:t>
      </w:r>
      <w:r>
        <w:rPr>
          <w:sz w:val="22"/>
          <w:szCs w:val="22"/>
        </w:rPr>
        <w:t>32256</w:t>
      </w:r>
    </w:p>
    <w:p w:rsidR="00176ACD" w:rsidRDefault="00176ACD" w:rsidP="00194AA6">
      <w:pPr>
        <w:jc w:val="center"/>
        <w:rPr>
          <w:sz w:val="22"/>
        </w:rPr>
      </w:pPr>
    </w:p>
    <w:p w:rsidR="00193F10" w:rsidRPr="001D487F" w:rsidRDefault="00212194" w:rsidP="00194AA6">
      <w:pPr>
        <w:jc w:val="center"/>
        <w:rPr>
          <w:sz w:val="22"/>
        </w:rPr>
      </w:pPr>
      <w:r>
        <w:rPr>
          <w:sz w:val="22"/>
        </w:rPr>
        <w:t>November 22</w:t>
      </w:r>
      <w:r w:rsidR="0024738C">
        <w:rPr>
          <w:sz w:val="22"/>
        </w:rPr>
        <w:t>,</w:t>
      </w:r>
      <w:r w:rsidR="00330E51" w:rsidRPr="0024738C">
        <w:rPr>
          <w:sz w:val="22"/>
        </w:rPr>
        <w:t xml:space="preserve"> 201</w:t>
      </w:r>
      <w:r w:rsidR="0024738C">
        <w:rPr>
          <w:sz w:val="22"/>
        </w:rPr>
        <w:t>3</w:t>
      </w:r>
    </w:p>
    <w:p w:rsidR="00193F10" w:rsidRDefault="00193F10">
      <w:pPr>
        <w:jc w:val="center"/>
        <w:rPr>
          <w:sz w:val="22"/>
        </w:rPr>
        <w:sectPr w:rsidR="00193F10" w:rsidSect="00B80226">
          <w:pgSz w:w="12240" w:h="15840" w:code="1"/>
          <w:pgMar w:top="720" w:right="1080" w:bottom="720" w:left="1080" w:header="720" w:footer="720" w:gutter="0"/>
          <w:paperSrc w:first="15" w:other="15"/>
          <w:pgNumType w:start="1"/>
          <w:cols w:space="720"/>
        </w:sectPr>
      </w:pPr>
    </w:p>
    <w:p w:rsidR="00193F10" w:rsidRPr="00D302B8" w:rsidRDefault="00193F10" w:rsidP="009872EA">
      <w:pPr>
        <w:pStyle w:val="ListParagraph"/>
        <w:numPr>
          <w:ilvl w:val="0"/>
          <w:numId w:val="13"/>
        </w:numPr>
        <w:spacing w:before="120" w:after="120"/>
        <w:ind w:left="720" w:hanging="720"/>
        <w:contextualSpacing w:val="0"/>
        <w:rPr>
          <w:rFonts w:ascii="Times New Roman" w:hAnsi="Times New Roman" w:cs="Times New Roman"/>
          <w:b/>
          <w:caps/>
        </w:rPr>
      </w:pPr>
      <w:r w:rsidRPr="00D302B8">
        <w:rPr>
          <w:rFonts w:ascii="Times New Roman" w:hAnsi="Times New Roman" w:cs="Times New Roman"/>
          <w:b/>
          <w:caps/>
        </w:rPr>
        <w:lastRenderedPageBreak/>
        <w:t>General Project INFORMATION</w:t>
      </w:r>
    </w:p>
    <w:p w:rsidR="00EE6112" w:rsidRPr="00D302B8" w:rsidRDefault="00EE6112" w:rsidP="00D302B8">
      <w:pPr>
        <w:pStyle w:val="ListParagraph"/>
        <w:numPr>
          <w:ilvl w:val="1"/>
          <w:numId w:val="13"/>
        </w:numPr>
        <w:spacing w:after="120"/>
        <w:ind w:left="720" w:hanging="720"/>
        <w:contextualSpacing w:val="0"/>
        <w:rPr>
          <w:rFonts w:ascii="Times New Roman" w:hAnsi="Times New Roman" w:cs="Times New Roman"/>
          <w:b/>
          <w:caps/>
        </w:rPr>
      </w:pPr>
      <w:r w:rsidRPr="00D302B8">
        <w:rPr>
          <w:rFonts w:ascii="Times New Roman" w:hAnsi="Times New Roman" w:cs="Times New Roman"/>
          <w:b/>
          <w:bCs/>
        </w:rPr>
        <w:t>Air Pollution Regulations</w:t>
      </w:r>
    </w:p>
    <w:p w:rsidR="00EE6112" w:rsidRDefault="00EE6112" w:rsidP="00EE6112">
      <w:pPr>
        <w:spacing w:after="120"/>
        <w:rPr>
          <w:sz w:val="22"/>
          <w:szCs w:val="22"/>
        </w:rPr>
      </w:pPr>
      <w:r>
        <w:rPr>
          <w:sz w:val="22"/>
          <w:szCs w:val="22"/>
        </w:rPr>
        <w:t xml:space="preserve">Projects </w:t>
      </w:r>
      <w:r w:rsidR="004D1D9F">
        <w:rPr>
          <w:sz w:val="22"/>
          <w:szCs w:val="22"/>
        </w:rPr>
        <w:t xml:space="preserve">at stationary sources </w:t>
      </w:r>
      <w:r>
        <w:rPr>
          <w:sz w:val="22"/>
          <w:szCs w:val="22"/>
        </w:rPr>
        <w:t xml:space="preserve">with the potential to emit air pollution are </w:t>
      </w:r>
      <w:r w:rsidRPr="000302D6">
        <w:rPr>
          <w:sz w:val="22"/>
          <w:szCs w:val="22"/>
        </w:rPr>
        <w:t>subject to the applicable environmental laws specified in Section 403 of the Florida Statutes (F.S.)</w:t>
      </w:r>
      <w:r>
        <w:rPr>
          <w:sz w:val="22"/>
          <w:szCs w:val="22"/>
        </w:rPr>
        <w:t xml:space="preserve">.  The statutes </w:t>
      </w:r>
      <w:r w:rsidRPr="000302D6">
        <w:rPr>
          <w:sz w:val="22"/>
          <w:szCs w:val="22"/>
        </w:rPr>
        <w:t>authoriz</w:t>
      </w:r>
      <w:r w:rsidR="000C5143">
        <w:rPr>
          <w:sz w:val="22"/>
          <w:szCs w:val="22"/>
        </w:rPr>
        <w:t>e</w:t>
      </w:r>
      <w:r w:rsidRPr="000302D6">
        <w:rPr>
          <w:sz w:val="22"/>
          <w:szCs w:val="22"/>
        </w:rPr>
        <w:t xml:space="preserve"> the Department of Environmental Protection </w:t>
      </w:r>
      <w:r>
        <w:rPr>
          <w:sz w:val="22"/>
          <w:szCs w:val="22"/>
        </w:rPr>
        <w:t xml:space="preserve">(Department) </w:t>
      </w:r>
      <w:r w:rsidRPr="000302D6">
        <w:rPr>
          <w:sz w:val="22"/>
          <w:szCs w:val="22"/>
        </w:rPr>
        <w:t xml:space="preserve">to establish regulations regarding air quality as part of the Florida Administrative Code (F.A.C.), which includes the following </w:t>
      </w:r>
      <w:r w:rsidR="00701FEF">
        <w:rPr>
          <w:sz w:val="22"/>
          <w:szCs w:val="22"/>
        </w:rPr>
        <w:t xml:space="preserve">applicable </w:t>
      </w:r>
      <w:r w:rsidRPr="000302D6">
        <w:rPr>
          <w:sz w:val="22"/>
          <w:szCs w:val="22"/>
        </w:rPr>
        <w:t>chapters:  62-4 (Permits); 62-204 (Air Pollution Control – General Provisions); 62-210 (Stationary Sources – General Requirements); 62-212 (Stationary Sources</w:t>
      </w:r>
      <w:r w:rsidR="00D51D78" w:rsidRPr="000302D6">
        <w:rPr>
          <w:sz w:val="22"/>
          <w:szCs w:val="22"/>
        </w:rPr>
        <w:t xml:space="preserve"> – </w:t>
      </w:r>
      <w:r w:rsidRPr="000302D6">
        <w:rPr>
          <w:sz w:val="22"/>
          <w:szCs w:val="22"/>
        </w:rPr>
        <w:t>Preconstruction Review); 62-213 (Operation Permits for Major Sources of Air Pollution); 62-296 (Stationary Sources - Emission Standards); and 62-297 (Stationary Sources</w:t>
      </w:r>
      <w:r w:rsidR="00D51D78" w:rsidRPr="000302D6">
        <w:rPr>
          <w:sz w:val="22"/>
          <w:szCs w:val="22"/>
        </w:rPr>
        <w:t xml:space="preserve"> – </w:t>
      </w:r>
      <w:r w:rsidRPr="000302D6">
        <w:rPr>
          <w:sz w:val="22"/>
          <w:szCs w:val="22"/>
        </w:rPr>
        <w:t>Emissions Monitoring).</w:t>
      </w:r>
      <w:r>
        <w:rPr>
          <w:sz w:val="22"/>
          <w:szCs w:val="22"/>
        </w:rPr>
        <w:t xml:space="preserve">  Specifically, air construction permits are required pursuant to Rules 62-4, 62-210 and 62-212, F.A.C.</w:t>
      </w:r>
    </w:p>
    <w:p w:rsidR="00EE6112" w:rsidRPr="000302D6" w:rsidRDefault="00EE6112" w:rsidP="00EE6112">
      <w:pPr>
        <w:spacing w:after="120"/>
        <w:rPr>
          <w:sz w:val="22"/>
          <w:szCs w:val="22"/>
        </w:rPr>
      </w:pPr>
      <w:r w:rsidRPr="000302D6">
        <w:rPr>
          <w:sz w:val="22"/>
          <w:szCs w:val="22"/>
        </w:rPr>
        <w:t>In addition, the U. S. Environmental Protection Agency (EPA) establishes air quality regulations in Title 40 of the Code of Federal Regulations</w:t>
      </w:r>
      <w:r>
        <w:rPr>
          <w:sz w:val="22"/>
          <w:szCs w:val="22"/>
        </w:rPr>
        <w:t xml:space="preserve"> (CFR).  </w:t>
      </w:r>
      <w:r w:rsidRPr="000302D6">
        <w:rPr>
          <w:sz w:val="22"/>
          <w:szCs w:val="22"/>
        </w:rPr>
        <w:t xml:space="preserve">Part 60 </w:t>
      </w:r>
      <w:r>
        <w:rPr>
          <w:sz w:val="22"/>
          <w:szCs w:val="22"/>
        </w:rPr>
        <w:t>specifies New Source Performance Standards (</w:t>
      </w:r>
      <w:r w:rsidRPr="000302D6">
        <w:rPr>
          <w:sz w:val="22"/>
          <w:szCs w:val="22"/>
        </w:rPr>
        <w:t>NSPS</w:t>
      </w:r>
      <w:r>
        <w:rPr>
          <w:sz w:val="22"/>
          <w:szCs w:val="22"/>
        </w:rPr>
        <w:t>)</w:t>
      </w:r>
      <w:r w:rsidRPr="000302D6">
        <w:rPr>
          <w:sz w:val="22"/>
          <w:szCs w:val="22"/>
        </w:rPr>
        <w:t xml:space="preserve"> for </w:t>
      </w:r>
      <w:r>
        <w:rPr>
          <w:sz w:val="22"/>
          <w:szCs w:val="22"/>
        </w:rPr>
        <w:t xml:space="preserve">numerous </w:t>
      </w:r>
      <w:r w:rsidRPr="000302D6">
        <w:rPr>
          <w:sz w:val="22"/>
          <w:szCs w:val="22"/>
        </w:rPr>
        <w:t xml:space="preserve">industrial </w:t>
      </w:r>
      <w:r w:rsidR="000E42D3" w:rsidRPr="000302D6">
        <w:rPr>
          <w:sz w:val="22"/>
          <w:szCs w:val="22"/>
        </w:rPr>
        <w:t>categories</w:t>
      </w:r>
      <w:r>
        <w:rPr>
          <w:sz w:val="22"/>
          <w:szCs w:val="22"/>
        </w:rPr>
        <w:t xml:space="preserve">.  </w:t>
      </w:r>
      <w:r w:rsidRPr="000302D6">
        <w:rPr>
          <w:sz w:val="22"/>
          <w:szCs w:val="22"/>
        </w:rPr>
        <w:t>Part 61 specifies National Emission Standards for Hazardous Air Pollutants (NESHAP) based on specific pollutants</w:t>
      </w:r>
      <w:r>
        <w:rPr>
          <w:sz w:val="22"/>
          <w:szCs w:val="22"/>
        </w:rPr>
        <w:t xml:space="preserve">.  </w:t>
      </w:r>
      <w:r w:rsidRPr="000302D6">
        <w:rPr>
          <w:sz w:val="22"/>
          <w:szCs w:val="22"/>
        </w:rPr>
        <w:t xml:space="preserve">Part 63 specifies NESHAP based on the Maximum Achievable Control Technology (MACT) for </w:t>
      </w:r>
      <w:r>
        <w:rPr>
          <w:sz w:val="22"/>
          <w:szCs w:val="22"/>
        </w:rPr>
        <w:t xml:space="preserve">numerous </w:t>
      </w:r>
      <w:r w:rsidRPr="000302D6">
        <w:rPr>
          <w:sz w:val="22"/>
          <w:szCs w:val="22"/>
        </w:rPr>
        <w:t xml:space="preserve">industrial categories.  The Department adopts these federal regulations </w:t>
      </w:r>
      <w:r>
        <w:rPr>
          <w:sz w:val="22"/>
          <w:szCs w:val="22"/>
        </w:rPr>
        <w:t xml:space="preserve">on a quarterly basis </w:t>
      </w:r>
      <w:r w:rsidRPr="000302D6">
        <w:rPr>
          <w:sz w:val="22"/>
          <w:szCs w:val="22"/>
        </w:rPr>
        <w:t>in Rule 62-204.800, F.A.C.</w:t>
      </w:r>
    </w:p>
    <w:p w:rsidR="00193F10" w:rsidRPr="00D302B8" w:rsidRDefault="00193F10" w:rsidP="00D302B8">
      <w:pPr>
        <w:pStyle w:val="ListParagraph"/>
        <w:numPr>
          <w:ilvl w:val="1"/>
          <w:numId w:val="13"/>
        </w:numPr>
        <w:spacing w:after="120"/>
        <w:ind w:left="720" w:hanging="720"/>
        <w:contextualSpacing w:val="0"/>
        <w:rPr>
          <w:rFonts w:ascii="Times New Roman" w:hAnsi="Times New Roman" w:cs="Times New Roman"/>
          <w:b/>
          <w:bCs/>
        </w:rPr>
      </w:pPr>
      <w:r w:rsidRPr="00D302B8">
        <w:rPr>
          <w:rFonts w:ascii="Times New Roman" w:hAnsi="Times New Roman" w:cs="Times New Roman"/>
          <w:b/>
          <w:bCs/>
        </w:rPr>
        <w:t>Facility Description and Location</w:t>
      </w:r>
    </w:p>
    <w:p w:rsidR="00193F10" w:rsidRDefault="00940F63" w:rsidP="004D1D9F">
      <w:pPr>
        <w:pStyle w:val="BodyText3"/>
        <w:numPr>
          <w:ilvl w:val="12"/>
          <w:numId w:val="0"/>
        </w:numPr>
        <w:spacing w:before="0"/>
      </w:pPr>
      <w:r w:rsidRPr="00940F63">
        <w:t xml:space="preserve">The </w:t>
      </w:r>
      <w:r w:rsidR="00352DE9">
        <w:t xml:space="preserve">Jacksonville Facility </w:t>
      </w:r>
      <w:r w:rsidR="00302267" w:rsidRPr="00940F63">
        <w:t>is</w:t>
      </w:r>
      <w:r>
        <w:t xml:space="preserve"> </w:t>
      </w:r>
      <w:r w:rsidRPr="00940F63">
        <w:t xml:space="preserve">an </w:t>
      </w:r>
      <w:r w:rsidR="004D1D9F" w:rsidRPr="00940F63">
        <w:t>existing</w:t>
      </w:r>
      <w:r w:rsidR="001D1649" w:rsidRPr="00940F63">
        <w:t xml:space="preserve"> </w:t>
      </w:r>
      <w:r w:rsidR="00352DE9">
        <w:t>container glass manufacturing plant</w:t>
      </w:r>
      <w:r w:rsidR="001D1649" w:rsidRPr="001C4E37">
        <w:t xml:space="preserve">, which is categorized </w:t>
      </w:r>
      <w:r w:rsidR="001D1649">
        <w:t xml:space="preserve">under </w:t>
      </w:r>
      <w:r w:rsidR="001D1649" w:rsidRPr="001C4E37">
        <w:rPr>
          <w:bCs/>
        </w:rPr>
        <w:t xml:space="preserve">Standard Industrial Classification Code No. </w:t>
      </w:r>
      <w:r w:rsidR="00352DE9">
        <w:rPr>
          <w:bCs/>
        </w:rPr>
        <w:t>3221</w:t>
      </w:r>
      <w:r w:rsidR="001D1649" w:rsidRPr="001C4E37">
        <w:rPr>
          <w:bCs/>
        </w:rPr>
        <w:t>.</w:t>
      </w:r>
      <w:r w:rsidR="001D1649">
        <w:rPr>
          <w:bCs/>
        </w:rPr>
        <w:t xml:space="preserve"> </w:t>
      </w:r>
      <w:r w:rsidR="001C4E37">
        <w:t xml:space="preserve"> </w:t>
      </w:r>
      <w:r w:rsidR="00302267">
        <w:t>T</w:t>
      </w:r>
      <w:r w:rsidR="00302267" w:rsidRPr="004357DC">
        <w:rPr>
          <w:szCs w:val="22"/>
        </w:rPr>
        <w:t xml:space="preserve">he </w:t>
      </w:r>
      <w:r w:rsidR="00302267" w:rsidRPr="00940F63">
        <w:rPr>
          <w:szCs w:val="22"/>
        </w:rPr>
        <w:t xml:space="preserve">existing </w:t>
      </w:r>
      <w:r w:rsidR="00352DE9">
        <w:rPr>
          <w:szCs w:val="22"/>
        </w:rPr>
        <w:t>Jacksonville Facility</w:t>
      </w:r>
      <w:r w:rsidRPr="00940F63">
        <w:rPr>
          <w:szCs w:val="22"/>
        </w:rPr>
        <w:t xml:space="preserve"> </w:t>
      </w:r>
      <w:r w:rsidR="00302267" w:rsidRPr="00940F63">
        <w:rPr>
          <w:szCs w:val="22"/>
        </w:rPr>
        <w:t>is located</w:t>
      </w:r>
      <w:r w:rsidR="00302267" w:rsidRPr="004357DC">
        <w:rPr>
          <w:szCs w:val="22"/>
        </w:rPr>
        <w:t xml:space="preserve"> in </w:t>
      </w:r>
      <w:r w:rsidR="00352DE9">
        <w:rPr>
          <w:szCs w:val="22"/>
        </w:rPr>
        <w:t>Duval</w:t>
      </w:r>
      <w:r w:rsidR="00302267" w:rsidRPr="004357DC">
        <w:rPr>
          <w:szCs w:val="22"/>
        </w:rPr>
        <w:t xml:space="preserve"> County at </w:t>
      </w:r>
      <w:r w:rsidR="00352DE9">
        <w:t>2121 Huron Street, Jacksonville, Duval County, FL 32254</w:t>
      </w:r>
      <w:r w:rsidR="00F71458" w:rsidRPr="00940F63">
        <w:t xml:space="preserve">.  </w:t>
      </w:r>
      <w:r w:rsidR="00193F10" w:rsidRPr="00940F63">
        <w:t>The</w:t>
      </w:r>
      <w:r w:rsidR="00193F10">
        <w:t xml:space="preserve"> UTM coordinates </w:t>
      </w:r>
      <w:r w:rsidR="001D487F">
        <w:t xml:space="preserve">of the </w:t>
      </w:r>
      <w:r w:rsidR="001D487F" w:rsidRPr="00940F63">
        <w:t>existing facility</w:t>
      </w:r>
      <w:r w:rsidR="001D487F">
        <w:t xml:space="preserve"> </w:t>
      </w:r>
      <w:r w:rsidR="00193F10">
        <w:t xml:space="preserve">are </w:t>
      </w:r>
      <w:r w:rsidR="00352DE9">
        <w:t xml:space="preserve">Zone 17, 431.500 km East and 3357.500 km </w:t>
      </w:r>
      <w:proofErr w:type="gramStart"/>
      <w:r w:rsidR="00352DE9">
        <w:t>North</w:t>
      </w:r>
      <w:proofErr w:type="gramEnd"/>
      <w:r w:rsidR="00352DE9">
        <w:t>.</w:t>
      </w:r>
      <w:r w:rsidRPr="000472DA">
        <w:rPr>
          <w:szCs w:val="22"/>
        </w:rPr>
        <w:t xml:space="preserve">  </w:t>
      </w:r>
      <w:r w:rsidR="00193F10">
        <w:t>This site is in an area that is in attainment (or designated as unclassifiable) for all air</w:t>
      </w:r>
      <w:r w:rsidR="001D487F">
        <w:t xml:space="preserve"> pollutants subject to </w:t>
      </w:r>
      <w:r w:rsidR="00F71458">
        <w:t xml:space="preserve">state and federal </w:t>
      </w:r>
      <w:r w:rsidR="00193F10">
        <w:t>Ambient Air Quality Standard</w:t>
      </w:r>
      <w:r w:rsidR="001D487F">
        <w:t>s</w:t>
      </w:r>
      <w:r w:rsidR="00F71458">
        <w:t xml:space="preserve"> (</w:t>
      </w:r>
      <w:r w:rsidR="00193F10">
        <w:t>AAQS).</w:t>
      </w:r>
      <w:r w:rsidR="00352DE9">
        <w:t xml:space="preserve"> The site is located in an air quality maintenance area for the pollutant ozone and is located in the area of influence </w:t>
      </w:r>
      <w:proofErr w:type="gramStart"/>
      <w:r w:rsidR="00352DE9">
        <w:t>of  an</w:t>
      </w:r>
      <w:proofErr w:type="gramEnd"/>
      <w:r w:rsidR="00352DE9">
        <w:t xml:space="preserve"> air quality maintenance area for particulate matter. </w:t>
      </w:r>
    </w:p>
    <w:p w:rsidR="00193F10" w:rsidRPr="00D302B8" w:rsidRDefault="001C4E37" w:rsidP="00D302B8">
      <w:pPr>
        <w:pStyle w:val="ListParagraph"/>
        <w:numPr>
          <w:ilvl w:val="1"/>
          <w:numId w:val="13"/>
        </w:numPr>
        <w:spacing w:after="120"/>
        <w:ind w:left="720" w:hanging="720"/>
        <w:contextualSpacing w:val="0"/>
        <w:rPr>
          <w:rFonts w:ascii="Times New Roman" w:hAnsi="Times New Roman" w:cs="Times New Roman"/>
          <w:b/>
          <w:bCs/>
        </w:rPr>
      </w:pPr>
      <w:r w:rsidRPr="00D302B8">
        <w:rPr>
          <w:rFonts w:ascii="Times New Roman" w:hAnsi="Times New Roman" w:cs="Times New Roman"/>
          <w:b/>
          <w:bCs/>
        </w:rPr>
        <w:t xml:space="preserve">Facility </w:t>
      </w:r>
      <w:r w:rsidR="00193F10" w:rsidRPr="00D302B8">
        <w:rPr>
          <w:rFonts w:ascii="Times New Roman" w:hAnsi="Times New Roman" w:cs="Times New Roman"/>
          <w:b/>
          <w:bCs/>
        </w:rPr>
        <w:t>Regulatory Categories</w:t>
      </w:r>
    </w:p>
    <w:p w:rsidR="00F71458" w:rsidRPr="00940F63" w:rsidRDefault="00F71458" w:rsidP="00F71458">
      <w:pPr>
        <w:numPr>
          <w:ilvl w:val="0"/>
          <w:numId w:val="3"/>
        </w:numPr>
        <w:spacing w:after="120"/>
        <w:rPr>
          <w:sz w:val="22"/>
          <w:szCs w:val="22"/>
        </w:rPr>
      </w:pPr>
      <w:r w:rsidRPr="00877418">
        <w:rPr>
          <w:sz w:val="22"/>
          <w:szCs w:val="22"/>
        </w:rPr>
        <w:t xml:space="preserve">The </w:t>
      </w:r>
      <w:r w:rsidRPr="00940F63">
        <w:rPr>
          <w:sz w:val="22"/>
          <w:szCs w:val="22"/>
        </w:rPr>
        <w:t xml:space="preserve">facility is a </w:t>
      </w:r>
      <w:r w:rsidR="00352DE9">
        <w:rPr>
          <w:sz w:val="22"/>
          <w:szCs w:val="22"/>
        </w:rPr>
        <w:t xml:space="preserve">not </w:t>
      </w:r>
      <w:r w:rsidRPr="00940F63">
        <w:rPr>
          <w:sz w:val="22"/>
          <w:szCs w:val="22"/>
        </w:rPr>
        <w:t>major source of hazardous air pollutants (HAP).</w:t>
      </w:r>
    </w:p>
    <w:p w:rsidR="00F71458" w:rsidRPr="00940F63" w:rsidRDefault="00F71458" w:rsidP="00F71458">
      <w:pPr>
        <w:pStyle w:val="BodyText"/>
        <w:numPr>
          <w:ilvl w:val="0"/>
          <w:numId w:val="3"/>
        </w:numPr>
        <w:rPr>
          <w:sz w:val="22"/>
          <w:szCs w:val="22"/>
        </w:rPr>
      </w:pPr>
      <w:r w:rsidRPr="00940F63">
        <w:rPr>
          <w:sz w:val="22"/>
          <w:szCs w:val="22"/>
        </w:rPr>
        <w:t xml:space="preserve">The facility </w:t>
      </w:r>
      <w:r w:rsidR="00302267" w:rsidRPr="00940F63">
        <w:rPr>
          <w:sz w:val="22"/>
          <w:szCs w:val="22"/>
        </w:rPr>
        <w:t xml:space="preserve">does not operate </w:t>
      </w:r>
      <w:r w:rsidRPr="00940F63">
        <w:rPr>
          <w:sz w:val="22"/>
          <w:szCs w:val="22"/>
        </w:rPr>
        <w:t>units subject to the acid rain provisions of the Clean Air Act.</w:t>
      </w:r>
    </w:p>
    <w:p w:rsidR="00F71458" w:rsidRPr="00940F63" w:rsidRDefault="00F71458" w:rsidP="00F71458">
      <w:pPr>
        <w:numPr>
          <w:ilvl w:val="0"/>
          <w:numId w:val="3"/>
        </w:numPr>
        <w:spacing w:after="120"/>
        <w:rPr>
          <w:sz w:val="22"/>
          <w:szCs w:val="22"/>
        </w:rPr>
      </w:pPr>
      <w:r w:rsidRPr="00940F63">
        <w:rPr>
          <w:sz w:val="22"/>
          <w:szCs w:val="22"/>
        </w:rPr>
        <w:t>The facility is a Title V major source of air pollution in accordance with Chapter 213, F.A.C.</w:t>
      </w:r>
    </w:p>
    <w:p w:rsidR="00F71458" w:rsidRDefault="00F71458" w:rsidP="00F71458">
      <w:pPr>
        <w:numPr>
          <w:ilvl w:val="0"/>
          <w:numId w:val="3"/>
        </w:numPr>
        <w:spacing w:after="120"/>
        <w:rPr>
          <w:sz w:val="22"/>
          <w:szCs w:val="22"/>
        </w:rPr>
      </w:pPr>
      <w:r w:rsidRPr="00940F63">
        <w:rPr>
          <w:sz w:val="22"/>
          <w:szCs w:val="22"/>
        </w:rPr>
        <w:t>The facility is a major stationary</w:t>
      </w:r>
      <w:r>
        <w:rPr>
          <w:sz w:val="22"/>
          <w:szCs w:val="22"/>
        </w:rPr>
        <w:t xml:space="preserve"> source </w:t>
      </w:r>
      <w:r w:rsidRPr="00877418">
        <w:rPr>
          <w:sz w:val="22"/>
          <w:szCs w:val="22"/>
        </w:rPr>
        <w:t>in accordance with Rule 62-212.400, F.A.C.</w:t>
      </w:r>
      <w:r>
        <w:rPr>
          <w:sz w:val="22"/>
          <w:szCs w:val="22"/>
        </w:rPr>
        <w:t xml:space="preserve"> for the Prevention of Significant Deterioration (PSD) of Air Quality.</w:t>
      </w:r>
    </w:p>
    <w:p w:rsidR="00193F10" w:rsidRPr="00D302B8" w:rsidRDefault="00193F10" w:rsidP="00D302B8">
      <w:pPr>
        <w:pStyle w:val="ListParagraph"/>
        <w:numPr>
          <w:ilvl w:val="1"/>
          <w:numId w:val="13"/>
        </w:numPr>
        <w:spacing w:after="120"/>
        <w:ind w:left="720" w:hanging="720"/>
        <w:contextualSpacing w:val="0"/>
        <w:rPr>
          <w:rFonts w:ascii="Times New Roman" w:hAnsi="Times New Roman" w:cs="Times New Roman"/>
          <w:b/>
          <w:bCs/>
        </w:rPr>
      </w:pPr>
      <w:r w:rsidRPr="00D302B8">
        <w:rPr>
          <w:rFonts w:ascii="Times New Roman" w:hAnsi="Times New Roman" w:cs="Times New Roman"/>
          <w:b/>
          <w:bCs/>
        </w:rPr>
        <w:t>Project Description</w:t>
      </w:r>
    </w:p>
    <w:p w:rsidR="008C2789" w:rsidRDefault="00F12726" w:rsidP="00F12726">
      <w:pPr>
        <w:pStyle w:val="BodyText2"/>
        <w:jc w:val="left"/>
        <w:rPr>
          <w:color w:val="000000"/>
          <w:szCs w:val="22"/>
        </w:rPr>
      </w:pPr>
      <w:r w:rsidRPr="00F12726">
        <w:rPr>
          <w:szCs w:val="22"/>
        </w:rPr>
        <w:t xml:space="preserve">This </w:t>
      </w:r>
      <w:r w:rsidR="00DC4EBB">
        <w:rPr>
          <w:szCs w:val="22"/>
        </w:rPr>
        <w:t xml:space="preserve">project </w:t>
      </w:r>
      <w:r>
        <w:rPr>
          <w:szCs w:val="22"/>
        </w:rPr>
        <w:t xml:space="preserve">involves </w:t>
      </w:r>
      <w:r w:rsidR="00352DE9">
        <w:rPr>
          <w:szCs w:val="22"/>
        </w:rPr>
        <w:t xml:space="preserve">1): </w:t>
      </w:r>
      <w:r w:rsidR="003A2119">
        <w:rPr>
          <w:szCs w:val="22"/>
        </w:rPr>
        <w:t>T</w:t>
      </w:r>
      <w:r>
        <w:rPr>
          <w:szCs w:val="22"/>
        </w:rPr>
        <w:t xml:space="preserve">he revision of existing Air Construction </w:t>
      </w:r>
      <w:r w:rsidRPr="00F12726">
        <w:rPr>
          <w:szCs w:val="22"/>
        </w:rPr>
        <w:t xml:space="preserve">Permit No. </w:t>
      </w:r>
      <w:r w:rsidR="00352DE9">
        <w:rPr>
          <w:szCs w:val="22"/>
        </w:rPr>
        <w:t>0310005-012</w:t>
      </w:r>
      <w:r w:rsidRPr="00F12726">
        <w:rPr>
          <w:szCs w:val="22"/>
        </w:rPr>
        <w:t xml:space="preserve">-AC for the No. 4 </w:t>
      </w:r>
      <w:r w:rsidR="00352DE9">
        <w:rPr>
          <w:szCs w:val="22"/>
        </w:rPr>
        <w:t xml:space="preserve">Glass Melting Furnace </w:t>
      </w:r>
      <w:r>
        <w:rPr>
          <w:szCs w:val="22"/>
        </w:rPr>
        <w:t xml:space="preserve">at the </w:t>
      </w:r>
      <w:r w:rsidR="00352DE9">
        <w:rPr>
          <w:szCs w:val="22"/>
        </w:rPr>
        <w:t>Jacksonville Facility</w:t>
      </w:r>
      <w:r w:rsidRPr="00F12726">
        <w:rPr>
          <w:szCs w:val="22"/>
        </w:rPr>
        <w:t xml:space="preserve">.  </w:t>
      </w:r>
      <w:r w:rsidR="00352DE9">
        <w:rPr>
          <w:szCs w:val="22"/>
        </w:rPr>
        <w:t xml:space="preserve">Permit No. 0310005-012-AC was issued on August 5, 2011 as an after the fact permit for modifications made to the </w:t>
      </w:r>
      <w:r w:rsidR="003A2119" w:rsidRPr="00F12726">
        <w:rPr>
          <w:szCs w:val="22"/>
        </w:rPr>
        <w:t xml:space="preserve">No. 4 </w:t>
      </w:r>
      <w:r w:rsidR="003A2119">
        <w:rPr>
          <w:szCs w:val="22"/>
        </w:rPr>
        <w:t>Glass Melting Furnace</w:t>
      </w:r>
      <w:r w:rsidR="00352DE9">
        <w:rPr>
          <w:szCs w:val="22"/>
        </w:rPr>
        <w:t xml:space="preserve"> in 2009. </w:t>
      </w:r>
      <w:r w:rsidR="00352DE9">
        <w:rPr>
          <w:color w:val="000000"/>
          <w:szCs w:val="22"/>
        </w:rPr>
        <w:t xml:space="preserve"> The project included the complete replacement of the furnace glass contact and superstructure refractory bricks; the rearrangement of the furnace regenerator system from 4 passes to 2 passes; the relocation of the furnace binding steel to allow installation of additional insulation; widening of the combustion air ports; and changes in the furnace superstructure to allow future installation of oxy/fuel burners. Not disclosed to the City of Jacksonville (Permitting Authority at that time) in the application for permit No. 0310005-012-AC and additional information submitted regarding that </w:t>
      </w:r>
      <w:r w:rsidR="00086F09">
        <w:rPr>
          <w:color w:val="000000"/>
          <w:szCs w:val="22"/>
        </w:rPr>
        <w:t>application</w:t>
      </w:r>
      <w:r w:rsidR="00352DE9">
        <w:rPr>
          <w:color w:val="000000"/>
          <w:szCs w:val="22"/>
        </w:rPr>
        <w:t xml:space="preserve"> was that the burner tips configuration were changed from four burner tips (two per side) rated at 21 MMBtu per hour each to six burner tips (three per side) rated at 11 MMBtu per hour each. This project will modify permit No. 0310005-012-AC authorizing (after the fact) the installation of the alternate burner tip configuration for the No. 4 </w:t>
      </w:r>
      <w:r w:rsidR="003A2119">
        <w:rPr>
          <w:color w:val="000000"/>
          <w:szCs w:val="22"/>
        </w:rPr>
        <w:t>G</w:t>
      </w:r>
      <w:r w:rsidR="00352DE9">
        <w:rPr>
          <w:color w:val="000000"/>
          <w:szCs w:val="22"/>
        </w:rPr>
        <w:t>lass Melting Furnace and</w:t>
      </w:r>
      <w:r w:rsidR="008C2789">
        <w:rPr>
          <w:color w:val="000000"/>
          <w:szCs w:val="22"/>
        </w:rPr>
        <w:t>;</w:t>
      </w:r>
    </w:p>
    <w:p w:rsidR="00F12726" w:rsidRPr="00F12726" w:rsidRDefault="00352DE9" w:rsidP="00F12726">
      <w:pPr>
        <w:pStyle w:val="BodyText2"/>
        <w:jc w:val="left"/>
        <w:rPr>
          <w:szCs w:val="22"/>
        </w:rPr>
      </w:pPr>
      <w:r>
        <w:rPr>
          <w:color w:val="000000"/>
          <w:szCs w:val="22"/>
        </w:rPr>
        <w:t xml:space="preserve"> 2): After the fact permitting for the No. 3 Glass Melting Furnace at the Jacksonville Facility. Ardagh Glass, Inc. notified the City of Jacksonville in October 2012 of the intention to replace/repair the regen</w:t>
      </w:r>
      <w:r w:rsidR="008C2789">
        <w:rPr>
          <w:color w:val="000000"/>
          <w:szCs w:val="22"/>
        </w:rPr>
        <w:t>er</w:t>
      </w:r>
      <w:r>
        <w:rPr>
          <w:color w:val="000000"/>
          <w:szCs w:val="22"/>
        </w:rPr>
        <w:t xml:space="preserve">ator crown and forehearth in the No. 3 Glass Melting Furnace in November 2012. This action itself did not require an air </w:t>
      </w:r>
      <w:r>
        <w:rPr>
          <w:color w:val="000000"/>
          <w:szCs w:val="22"/>
        </w:rPr>
        <w:lastRenderedPageBreak/>
        <w:t xml:space="preserve">construction permit since the air pollutant emissions would not change </w:t>
      </w:r>
      <w:r w:rsidR="008C2789">
        <w:rPr>
          <w:color w:val="000000"/>
          <w:szCs w:val="22"/>
        </w:rPr>
        <w:t xml:space="preserve">and the change is considered rebricking which is not considered a modification itself. Not disclosed to the City of Jacksonville (Permitting Authority at that time) in the notification was the change to the burner tip </w:t>
      </w:r>
      <w:r w:rsidR="00086F09">
        <w:rPr>
          <w:color w:val="000000"/>
          <w:szCs w:val="22"/>
        </w:rPr>
        <w:t>configuration</w:t>
      </w:r>
      <w:r w:rsidR="008C2789">
        <w:rPr>
          <w:color w:val="000000"/>
          <w:szCs w:val="22"/>
        </w:rPr>
        <w:t xml:space="preserve"> on the No. 3 Glass Melting Furnace coinciding with the construction activity repairing/replacing the regenerator</w:t>
      </w:r>
      <w:r w:rsidR="003A2119">
        <w:rPr>
          <w:color w:val="000000"/>
          <w:szCs w:val="22"/>
        </w:rPr>
        <w:t xml:space="preserve"> </w:t>
      </w:r>
      <w:r w:rsidR="008C2789">
        <w:rPr>
          <w:color w:val="000000"/>
          <w:szCs w:val="22"/>
        </w:rPr>
        <w:t>crown and the forehearths in the No. 3 Glass Melting Furn</w:t>
      </w:r>
      <w:r w:rsidR="00A93DE0">
        <w:rPr>
          <w:color w:val="000000"/>
          <w:szCs w:val="22"/>
        </w:rPr>
        <w:t>a</w:t>
      </w:r>
      <w:r w:rsidR="008C2789">
        <w:rPr>
          <w:color w:val="000000"/>
          <w:szCs w:val="22"/>
        </w:rPr>
        <w:t xml:space="preserve">ce. The </w:t>
      </w:r>
      <w:r w:rsidR="003A2119">
        <w:rPr>
          <w:color w:val="000000"/>
          <w:szCs w:val="22"/>
        </w:rPr>
        <w:t>change</w:t>
      </w:r>
      <w:r w:rsidR="008C2789">
        <w:rPr>
          <w:color w:val="000000"/>
          <w:szCs w:val="22"/>
        </w:rPr>
        <w:t xml:space="preserve"> of the burner tips </w:t>
      </w:r>
      <w:r w:rsidR="00086F09">
        <w:rPr>
          <w:color w:val="000000"/>
          <w:szCs w:val="22"/>
        </w:rPr>
        <w:t>configuration</w:t>
      </w:r>
      <w:r w:rsidR="008C2789">
        <w:rPr>
          <w:color w:val="000000"/>
          <w:szCs w:val="22"/>
        </w:rPr>
        <w:t xml:space="preserve"> is a physical change which requires an air construction permit. </w:t>
      </w:r>
      <w:r w:rsidR="00A93DE0">
        <w:rPr>
          <w:color w:val="000000"/>
          <w:szCs w:val="22"/>
        </w:rPr>
        <w:t xml:space="preserve">This part of the project addresses this issue.  </w:t>
      </w:r>
      <w:r w:rsidR="00F12726" w:rsidRPr="00F12726">
        <w:rPr>
          <w:szCs w:val="22"/>
        </w:rPr>
        <w:t xml:space="preserve">  </w:t>
      </w:r>
    </w:p>
    <w:p w:rsidR="00C74305" w:rsidRDefault="00C74305" w:rsidP="00F12726">
      <w:pPr>
        <w:pStyle w:val="BodyText2"/>
        <w:numPr>
          <w:ilvl w:val="0"/>
          <w:numId w:val="0"/>
        </w:numPr>
        <w:jc w:val="left"/>
        <w:rPr>
          <w:szCs w:val="22"/>
        </w:rPr>
      </w:pPr>
    </w:p>
    <w:p w:rsidR="001C4E37" w:rsidRPr="00C65C9A" w:rsidRDefault="001C4E37" w:rsidP="00C65C9A">
      <w:pPr>
        <w:pStyle w:val="ListParagraph"/>
        <w:numPr>
          <w:ilvl w:val="1"/>
          <w:numId w:val="13"/>
        </w:numPr>
        <w:spacing w:after="120"/>
        <w:ind w:left="720" w:hanging="720"/>
        <w:contextualSpacing w:val="0"/>
        <w:rPr>
          <w:rFonts w:ascii="Times New Roman" w:hAnsi="Times New Roman" w:cs="Times New Roman"/>
          <w:b/>
          <w:bCs/>
        </w:rPr>
      </w:pPr>
      <w:r w:rsidRPr="00C65C9A">
        <w:rPr>
          <w:rFonts w:ascii="Times New Roman" w:hAnsi="Times New Roman" w:cs="Times New Roman"/>
          <w:b/>
          <w:bCs/>
        </w:rPr>
        <w:t>Processing Schedule</w:t>
      </w:r>
    </w:p>
    <w:p w:rsidR="001C4E37" w:rsidRPr="00782ABD" w:rsidRDefault="00A93DE0" w:rsidP="008D2BBC">
      <w:pPr>
        <w:pStyle w:val="BodyText"/>
        <w:numPr>
          <w:ilvl w:val="0"/>
          <w:numId w:val="17"/>
        </w:numPr>
        <w:tabs>
          <w:tab w:val="left" w:pos="1980"/>
        </w:tabs>
        <w:spacing w:after="60"/>
        <w:ind w:left="360"/>
        <w:rPr>
          <w:sz w:val="22"/>
        </w:rPr>
      </w:pPr>
      <w:r>
        <w:rPr>
          <w:sz w:val="22"/>
        </w:rPr>
        <w:t>September 6, 2013</w:t>
      </w:r>
      <w:r w:rsidR="00DB52EE">
        <w:rPr>
          <w:sz w:val="22"/>
        </w:rPr>
        <w:t>:</w:t>
      </w:r>
      <w:r w:rsidR="00767228">
        <w:rPr>
          <w:sz w:val="22"/>
        </w:rPr>
        <w:tab/>
      </w:r>
      <w:r w:rsidR="001C4E37" w:rsidRPr="00782ABD">
        <w:rPr>
          <w:sz w:val="22"/>
        </w:rPr>
        <w:t xml:space="preserve">Received </w:t>
      </w:r>
      <w:r w:rsidR="009872EA">
        <w:rPr>
          <w:sz w:val="22"/>
        </w:rPr>
        <w:t>complete</w:t>
      </w:r>
      <w:r w:rsidR="001C4E37" w:rsidRPr="00782ABD">
        <w:rPr>
          <w:sz w:val="22"/>
        </w:rPr>
        <w:t xml:space="preserve"> application for a minor source air pollution construction permit.</w:t>
      </w:r>
    </w:p>
    <w:p w:rsidR="001C4E37" w:rsidRDefault="001C4E37" w:rsidP="00A93DE0">
      <w:pPr>
        <w:pStyle w:val="BodyText"/>
        <w:tabs>
          <w:tab w:val="left" w:pos="1980"/>
        </w:tabs>
        <w:ind w:left="360"/>
        <w:rPr>
          <w:sz w:val="22"/>
        </w:rPr>
      </w:pPr>
    </w:p>
    <w:p w:rsidR="00193F10" w:rsidRPr="009872EA" w:rsidRDefault="00D51D78" w:rsidP="009872EA">
      <w:pPr>
        <w:pStyle w:val="ListParagraph"/>
        <w:numPr>
          <w:ilvl w:val="0"/>
          <w:numId w:val="13"/>
        </w:numPr>
        <w:spacing w:after="120"/>
        <w:ind w:left="720" w:hanging="720"/>
        <w:contextualSpacing w:val="0"/>
        <w:rPr>
          <w:rFonts w:ascii="Times New Roman" w:hAnsi="Times New Roman" w:cs="Times New Roman"/>
          <w:b/>
          <w:caps/>
        </w:rPr>
      </w:pPr>
      <w:r w:rsidRPr="009872EA">
        <w:rPr>
          <w:rFonts w:ascii="Times New Roman" w:hAnsi="Times New Roman" w:cs="Times New Roman"/>
          <w:b/>
          <w:caps/>
        </w:rPr>
        <w:t>PSD Applicability</w:t>
      </w:r>
    </w:p>
    <w:p w:rsidR="00D51D78" w:rsidRPr="009872EA" w:rsidRDefault="00D51D78" w:rsidP="009872EA">
      <w:pPr>
        <w:pStyle w:val="ListParagraph"/>
        <w:numPr>
          <w:ilvl w:val="1"/>
          <w:numId w:val="13"/>
        </w:numPr>
        <w:spacing w:after="120"/>
        <w:ind w:left="720" w:hanging="720"/>
        <w:contextualSpacing w:val="0"/>
        <w:rPr>
          <w:rFonts w:ascii="Times New Roman" w:hAnsi="Times New Roman" w:cs="Times New Roman"/>
          <w:b/>
          <w:caps/>
        </w:rPr>
      </w:pPr>
      <w:r w:rsidRPr="009872EA">
        <w:rPr>
          <w:rFonts w:ascii="Times New Roman" w:hAnsi="Times New Roman" w:cs="Times New Roman"/>
          <w:b/>
        </w:rPr>
        <w:t>General PSD Applicability</w:t>
      </w:r>
    </w:p>
    <w:p w:rsidR="00A56796" w:rsidRDefault="00A56796" w:rsidP="00A56796">
      <w:pPr>
        <w:widowControl w:val="0"/>
        <w:spacing w:after="120"/>
        <w:rPr>
          <w:rFonts w:eastAsia="Calibri"/>
          <w:sz w:val="22"/>
          <w:szCs w:val="22"/>
        </w:rPr>
      </w:pPr>
      <w:r w:rsidRPr="005C0768">
        <w:rPr>
          <w:rFonts w:eastAsia="Calibri"/>
          <w:sz w:val="22"/>
          <w:szCs w:val="22"/>
        </w:rPr>
        <w:t xml:space="preserve">The Department regulates major stationary sources in accordance with Florida’s PSD program pursuant to Rule 62-212.400, F.A.C.  PSD preconstruction review is required in areas that are currently in attainment with the state and federal </w:t>
      </w:r>
      <w:r>
        <w:rPr>
          <w:rFonts w:eastAsia="Calibri"/>
          <w:sz w:val="22"/>
          <w:szCs w:val="22"/>
        </w:rPr>
        <w:t>ambient air quality standards (</w:t>
      </w:r>
      <w:r w:rsidRPr="005C0768">
        <w:rPr>
          <w:rFonts w:eastAsia="Calibri"/>
          <w:sz w:val="22"/>
          <w:szCs w:val="22"/>
        </w:rPr>
        <w:t>AAQS</w:t>
      </w:r>
      <w:r>
        <w:rPr>
          <w:rFonts w:eastAsia="Calibri"/>
          <w:sz w:val="22"/>
          <w:szCs w:val="22"/>
        </w:rPr>
        <w:t>)</w:t>
      </w:r>
      <w:r w:rsidRPr="005C0768">
        <w:rPr>
          <w:rFonts w:eastAsia="Calibri"/>
          <w:sz w:val="22"/>
          <w:szCs w:val="22"/>
        </w:rPr>
        <w:t xml:space="preserve"> or areas designated as “unclassifiable” for these regulated pollutants.  </w:t>
      </w:r>
      <w:r>
        <w:rPr>
          <w:rFonts w:eastAsia="Calibri"/>
          <w:sz w:val="22"/>
          <w:szCs w:val="22"/>
        </w:rPr>
        <w:t xml:space="preserve">Commonly addressed </w:t>
      </w:r>
      <w:r w:rsidRPr="005C0768">
        <w:rPr>
          <w:rFonts w:eastAsia="Calibri"/>
          <w:sz w:val="22"/>
          <w:szCs w:val="22"/>
        </w:rPr>
        <w:t xml:space="preserve">PSD pollutants </w:t>
      </w:r>
      <w:r w:rsidR="00CE4ADB">
        <w:rPr>
          <w:rFonts w:eastAsia="Calibri"/>
          <w:sz w:val="22"/>
          <w:szCs w:val="22"/>
        </w:rPr>
        <w:t xml:space="preserve">for </w:t>
      </w:r>
      <w:r w:rsidR="00A93DE0">
        <w:rPr>
          <w:rFonts w:eastAsia="Calibri"/>
          <w:sz w:val="22"/>
          <w:szCs w:val="22"/>
        </w:rPr>
        <w:t>container glass furnaces</w:t>
      </w:r>
      <w:r w:rsidR="00CE4ADB" w:rsidRPr="00CE4ADB">
        <w:rPr>
          <w:rFonts w:eastAsia="Calibri"/>
          <w:sz w:val="22"/>
          <w:szCs w:val="22"/>
        </w:rPr>
        <w:t xml:space="preserve"> </w:t>
      </w:r>
      <w:r w:rsidR="00CE4ADB">
        <w:rPr>
          <w:rFonts w:eastAsia="Calibri"/>
          <w:sz w:val="22"/>
          <w:szCs w:val="22"/>
        </w:rPr>
        <w:t xml:space="preserve">such as the </w:t>
      </w:r>
      <w:r w:rsidR="00A93DE0">
        <w:rPr>
          <w:rFonts w:eastAsia="Calibri"/>
          <w:sz w:val="22"/>
          <w:szCs w:val="22"/>
        </w:rPr>
        <w:t>Jacksonville Facility</w:t>
      </w:r>
      <w:r w:rsidR="00CE4ADB">
        <w:rPr>
          <w:rFonts w:eastAsia="Calibri"/>
          <w:sz w:val="22"/>
          <w:szCs w:val="22"/>
        </w:rPr>
        <w:t xml:space="preserve"> </w:t>
      </w:r>
      <w:r w:rsidRPr="005C0768">
        <w:rPr>
          <w:rFonts w:eastAsia="Calibri"/>
          <w:sz w:val="22"/>
          <w:szCs w:val="22"/>
        </w:rPr>
        <w:t xml:space="preserve">include: </w:t>
      </w:r>
      <w:r w:rsidR="00143813">
        <w:rPr>
          <w:rFonts w:eastAsia="Calibri"/>
          <w:sz w:val="22"/>
          <w:szCs w:val="22"/>
        </w:rPr>
        <w:t>nitrogen oxide (</w:t>
      </w:r>
      <w:r w:rsidRPr="005C0768">
        <w:rPr>
          <w:rFonts w:eastAsia="Calibri"/>
          <w:sz w:val="22"/>
          <w:szCs w:val="22"/>
        </w:rPr>
        <w:t>NO</w:t>
      </w:r>
      <w:r w:rsidRPr="007B78BD">
        <w:rPr>
          <w:rFonts w:eastAsia="Calibri"/>
          <w:sz w:val="22"/>
          <w:szCs w:val="22"/>
          <w:vertAlign w:val="subscript"/>
        </w:rPr>
        <w:t>X</w:t>
      </w:r>
      <w:r w:rsidR="00143813" w:rsidRPr="00143813">
        <w:rPr>
          <w:rFonts w:eastAsia="Calibri"/>
          <w:sz w:val="22"/>
          <w:szCs w:val="22"/>
        </w:rPr>
        <w:t>)</w:t>
      </w:r>
      <w:r>
        <w:rPr>
          <w:rFonts w:eastAsia="Calibri"/>
          <w:sz w:val="22"/>
          <w:szCs w:val="22"/>
        </w:rPr>
        <w:t>, PM,</w:t>
      </w:r>
      <w:r w:rsidRPr="005C0768">
        <w:rPr>
          <w:rFonts w:eastAsia="Calibri"/>
          <w:sz w:val="22"/>
          <w:szCs w:val="22"/>
        </w:rPr>
        <w:t xml:space="preserve"> </w:t>
      </w:r>
      <w:r w:rsidR="00143813">
        <w:rPr>
          <w:rFonts w:eastAsia="Calibri"/>
          <w:sz w:val="22"/>
          <w:szCs w:val="22"/>
        </w:rPr>
        <w:t>PM with a mean diameter of 10 microns or less (</w:t>
      </w:r>
      <w:r w:rsidRPr="005C0768">
        <w:rPr>
          <w:rFonts w:eastAsia="Calibri"/>
          <w:sz w:val="22"/>
          <w:szCs w:val="22"/>
        </w:rPr>
        <w:t>PM</w:t>
      </w:r>
      <w:r w:rsidRPr="00DB5285">
        <w:rPr>
          <w:rFonts w:eastAsia="Calibri"/>
          <w:sz w:val="22"/>
          <w:szCs w:val="22"/>
          <w:vertAlign w:val="subscript"/>
        </w:rPr>
        <w:t>10</w:t>
      </w:r>
      <w:r w:rsidR="00143813">
        <w:rPr>
          <w:rFonts w:eastAsia="Calibri"/>
          <w:sz w:val="22"/>
          <w:szCs w:val="22"/>
        </w:rPr>
        <w:t>)</w:t>
      </w:r>
      <w:r>
        <w:rPr>
          <w:rFonts w:eastAsia="Calibri"/>
          <w:sz w:val="22"/>
          <w:szCs w:val="22"/>
        </w:rPr>
        <w:t>,</w:t>
      </w:r>
      <w:r w:rsidRPr="005C0768">
        <w:rPr>
          <w:rFonts w:eastAsia="Calibri"/>
          <w:sz w:val="22"/>
          <w:szCs w:val="22"/>
        </w:rPr>
        <w:t xml:space="preserve"> </w:t>
      </w:r>
      <w:r w:rsidR="00143813">
        <w:rPr>
          <w:rFonts w:eastAsia="Calibri"/>
          <w:sz w:val="22"/>
          <w:szCs w:val="22"/>
        </w:rPr>
        <w:t>PM with a mean diameter of 2.5 microns or less (</w:t>
      </w:r>
      <w:r>
        <w:rPr>
          <w:rFonts w:eastAsia="Calibri"/>
          <w:sz w:val="22"/>
          <w:szCs w:val="22"/>
        </w:rPr>
        <w:t>PM</w:t>
      </w:r>
      <w:r w:rsidRPr="00B81C9A">
        <w:rPr>
          <w:rFonts w:eastAsia="Calibri"/>
          <w:sz w:val="22"/>
          <w:szCs w:val="22"/>
          <w:vertAlign w:val="subscript"/>
        </w:rPr>
        <w:t>2.5</w:t>
      </w:r>
      <w:r w:rsidR="00143813">
        <w:rPr>
          <w:rFonts w:eastAsia="Calibri"/>
          <w:sz w:val="22"/>
          <w:szCs w:val="22"/>
        </w:rPr>
        <w:t>)</w:t>
      </w:r>
      <w:r>
        <w:rPr>
          <w:rFonts w:eastAsia="Calibri"/>
          <w:sz w:val="22"/>
          <w:szCs w:val="22"/>
        </w:rPr>
        <w:t xml:space="preserve">, </w:t>
      </w:r>
      <w:r w:rsidR="00143813">
        <w:rPr>
          <w:rFonts w:eastAsia="Calibri"/>
          <w:sz w:val="22"/>
          <w:szCs w:val="22"/>
        </w:rPr>
        <w:t>sulfur dioxide (</w:t>
      </w:r>
      <w:r>
        <w:rPr>
          <w:rFonts w:eastAsia="Calibri"/>
          <w:sz w:val="22"/>
          <w:szCs w:val="22"/>
        </w:rPr>
        <w:t>SO</w:t>
      </w:r>
      <w:r w:rsidRPr="00CC5837">
        <w:rPr>
          <w:rFonts w:eastAsia="Calibri"/>
          <w:sz w:val="22"/>
          <w:szCs w:val="22"/>
          <w:vertAlign w:val="subscript"/>
        </w:rPr>
        <w:t>2</w:t>
      </w:r>
      <w:r w:rsidR="00143813">
        <w:rPr>
          <w:rFonts w:eastAsia="Calibri"/>
          <w:sz w:val="22"/>
          <w:szCs w:val="22"/>
        </w:rPr>
        <w:t>)</w:t>
      </w:r>
      <w:r w:rsidR="003A2119">
        <w:rPr>
          <w:rFonts w:eastAsia="Calibri"/>
          <w:sz w:val="22"/>
          <w:szCs w:val="22"/>
        </w:rPr>
        <w:t>, and carbon monoxide (CO)</w:t>
      </w:r>
      <w:r>
        <w:rPr>
          <w:rFonts w:eastAsia="Calibri"/>
          <w:sz w:val="22"/>
          <w:szCs w:val="22"/>
        </w:rPr>
        <w:t xml:space="preserve">.  </w:t>
      </w:r>
    </w:p>
    <w:p w:rsidR="00A56796" w:rsidRPr="004E4744" w:rsidRDefault="00A56796" w:rsidP="00A56796">
      <w:pPr>
        <w:widowControl w:val="0"/>
        <w:spacing w:after="120"/>
        <w:rPr>
          <w:rFonts w:eastAsia="Calibri"/>
          <w:sz w:val="22"/>
          <w:szCs w:val="22"/>
        </w:rPr>
      </w:pPr>
      <w:r>
        <w:rPr>
          <w:rFonts w:eastAsia="Calibri"/>
          <w:sz w:val="22"/>
          <w:szCs w:val="22"/>
        </w:rPr>
        <w:t>Additional PSD pollutants that are more common to certain other industries include:</w:t>
      </w:r>
      <w:r w:rsidRPr="005C0768">
        <w:rPr>
          <w:rFonts w:eastAsia="Calibri"/>
          <w:sz w:val="22"/>
          <w:szCs w:val="22"/>
        </w:rPr>
        <w:t xml:space="preserve"> </w:t>
      </w:r>
      <w:r w:rsidR="008D2BBC">
        <w:rPr>
          <w:rFonts w:eastAsia="Calibri"/>
          <w:sz w:val="22"/>
          <w:szCs w:val="22"/>
        </w:rPr>
        <w:t xml:space="preserve">lead (Pb), mercury (Hg), </w:t>
      </w:r>
      <w:r>
        <w:rPr>
          <w:rFonts w:eastAsia="Calibri"/>
          <w:sz w:val="22"/>
          <w:szCs w:val="22"/>
        </w:rPr>
        <w:t>hydrogen sulfide (</w:t>
      </w:r>
      <w:r w:rsidRPr="005C0768">
        <w:rPr>
          <w:rFonts w:eastAsia="Calibri"/>
          <w:sz w:val="22"/>
          <w:szCs w:val="22"/>
        </w:rPr>
        <w:t>H</w:t>
      </w:r>
      <w:r w:rsidRPr="007B78BD">
        <w:rPr>
          <w:rFonts w:eastAsia="Calibri"/>
          <w:sz w:val="22"/>
          <w:szCs w:val="22"/>
          <w:vertAlign w:val="subscript"/>
        </w:rPr>
        <w:t>2</w:t>
      </w:r>
      <w:r w:rsidRPr="005C0768">
        <w:rPr>
          <w:rFonts w:eastAsia="Calibri"/>
          <w:sz w:val="22"/>
          <w:szCs w:val="22"/>
        </w:rPr>
        <w:t>S</w:t>
      </w:r>
      <w:r>
        <w:rPr>
          <w:rFonts w:eastAsia="Calibri"/>
          <w:sz w:val="22"/>
          <w:szCs w:val="22"/>
        </w:rPr>
        <w:t xml:space="preserve">), </w:t>
      </w:r>
      <w:r w:rsidRPr="005C0768">
        <w:rPr>
          <w:rFonts w:eastAsia="Calibri"/>
          <w:sz w:val="22"/>
          <w:szCs w:val="22"/>
        </w:rPr>
        <w:t>TRS including H</w:t>
      </w:r>
      <w:r w:rsidRPr="007B78BD">
        <w:rPr>
          <w:rFonts w:eastAsia="Calibri"/>
          <w:sz w:val="22"/>
          <w:szCs w:val="22"/>
          <w:vertAlign w:val="subscript"/>
        </w:rPr>
        <w:t>2</w:t>
      </w:r>
      <w:r w:rsidRPr="005C0768">
        <w:rPr>
          <w:rFonts w:eastAsia="Calibri"/>
          <w:sz w:val="22"/>
          <w:szCs w:val="22"/>
        </w:rPr>
        <w:t>S</w:t>
      </w:r>
      <w:r>
        <w:rPr>
          <w:rFonts w:eastAsia="Calibri"/>
          <w:sz w:val="22"/>
          <w:szCs w:val="22"/>
        </w:rPr>
        <w:t>, reduced sulfur compounds (RSC) including H</w:t>
      </w:r>
      <w:r w:rsidRPr="00F81267">
        <w:rPr>
          <w:rFonts w:eastAsia="Calibri"/>
          <w:sz w:val="22"/>
          <w:szCs w:val="22"/>
          <w:vertAlign w:val="subscript"/>
        </w:rPr>
        <w:t>2</w:t>
      </w:r>
      <w:r>
        <w:rPr>
          <w:rFonts w:eastAsia="Calibri"/>
          <w:sz w:val="22"/>
          <w:szCs w:val="22"/>
        </w:rPr>
        <w:t>S, municipal waste combustor (</w:t>
      </w:r>
      <w:r w:rsidRPr="005C0768">
        <w:rPr>
          <w:rFonts w:eastAsia="Calibri"/>
          <w:sz w:val="22"/>
          <w:szCs w:val="22"/>
        </w:rPr>
        <w:t>MWC</w:t>
      </w:r>
      <w:r>
        <w:rPr>
          <w:rFonts w:eastAsia="Calibri"/>
          <w:sz w:val="22"/>
          <w:szCs w:val="22"/>
        </w:rPr>
        <w:t>)</w:t>
      </w:r>
      <w:r w:rsidRPr="005C0768">
        <w:rPr>
          <w:rFonts w:eastAsia="Calibri"/>
          <w:sz w:val="22"/>
          <w:szCs w:val="22"/>
        </w:rPr>
        <w:t xml:space="preserve"> organics measured as total tetra- through octa-chlorinated dibenzo-p-dioxins and dibenzofurans (</w:t>
      </w:r>
      <w:r>
        <w:rPr>
          <w:rFonts w:eastAsia="Calibri"/>
          <w:sz w:val="22"/>
          <w:szCs w:val="22"/>
        </w:rPr>
        <w:t xml:space="preserve">dioxin/furan), </w:t>
      </w:r>
      <w:r w:rsidRPr="005C0768">
        <w:rPr>
          <w:rFonts w:eastAsia="Calibri"/>
          <w:sz w:val="22"/>
          <w:szCs w:val="22"/>
        </w:rPr>
        <w:t xml:space="preserve">MWC metals measured as PM; MWC acid gases </w:t>
      </w:r>
      <w:r w:rsidRPr="004E4744">
        <w:rPr>
          <w:rFonts w:eastAsia="Calibri"/>
          <w:sz w:val="22"/>
          <w:szCs w:val="22"/>
        </w:rPr>
        <w:t>measured as SO</w:t>
      </w:r>
      <w:r w:rsidRPr="004E4744">
        <w:rPr>
          <w:rFonts w:eastAsia="Calibri"/>
          <w:sz w:val="22"/>
          <w:szCs w:val="22"/>
          <w:vertAlign w:val="subscript"/>
        </w:rPr>
        <w:t>2</w:t>
      </w:r>
      <w:r w:rsidRPr="004E4744">
        <w:rPr>
          <w:rFonts w:eastAsia="Calibri"/>
          <w:sz w:val="22"/>
          <w:szCs w:val="22"/>
        </w:rPr>
        <w:t xml:space="preserve"> and HCl, </w:t>
      </w:r>
      <w:r>
        <w:rPr>
          <w:rFonts w:eastAsia="Calibri"/>
          <w:sz w:val="22"/>
          <w:szCs w:val="22"/>
        </w:rPr>
        <w:t>and municipal solid waste (</w:t>
      </w:r>
      <w:r w:rsidRPr="004E4744">
        <w:rPr>
          <w:sz w:val="22"/>
          <w:szCs w:val="22"/>
        </w:rPr>
        <w:t>MSW</w:t>
      </w:r>
      <w:r>
        <w:rPr>
          <w:sz w:val="22"/>
          <w:szCs w:val="22"/>
        </w:rPr>
        <w:t>)</w:t>
      </w:r>
      <w:r w:rsidRPr="004E4744">
        <w:rPr>
          <w:sz w:val="22"/>
          <w:szCs w:val="22"/>
        </w:rPr>
        <w:t xml:space="preserve"> landfill emissions as non-</w:t>
      </w:r>
      <w:r>
        <w:rPr>
          <w:sz w:val="22"/>
          <w:szCs w:val="22"/>
        </w:rPr>
        <w:t>methane organic compounds (NMOC)</w:t>
      </w:r>
      <w:r w:rsidRPr="004E4744">
        <w:rPr>
          <w:rFonts w:eastAsia="Calibri"/>
          <w:sz w:val="22"/>
          <w:szCs w:val="22"/>
        </w:rPr>
        <w:t xml:space="preserve">.  </w:t>
      </w:r>
    </w:p>
    <w:p w:rsidR="00A56796" w:rsidRDefault="00A56796" w:rsidP="00A56796">
      <w:pPr>
        <w:pStyle w:val="Default"/>
        <w:spacing w:after="60"/>
        <w:rPr>
          <w:sz w:val="22"/>
          <w:szCs w:val="22"/>
        </w:rPr>
      </w:pPr>
      <w:r w:rsidRPr="005C0768">
        <w:rPr>
          <w:rFonts w:eastAsia="Calibri"/>
          <w:sz w:val="22"/>
          <w:szCs w:val="22"/>
        </w:rPr>
        <w:t>As defined in Rule 62-210.200(</w:t>
      </w:r>
      <w:r>
        <w:rPr>
          <w:rFonts w:eastAsia="Calibri"/>
          <w:sz w:val="22"/>
          <w:szCs w:val="22"/>
        </w:rPr>
        <w:t>Definitions)</w:t>
      </w:r>
      <w:r w:rsidRPr="005C0768">
        <w:rPr>
          <w:rFonts w:eastAsia="Calibri"/>
          <w:sz w:val="22"/>
          <w:szCs w:val="22"/>
        </w:rPr>
        <w:t xml:space="preserve">, F.A.C., </w:t>
      </w:r>
      <w:r>
        <w:rPr>
          <w:sz w:val="22"/>
          <w:szCs w:val="22"/>
        </w:rPr>
        <w:t>a stationary source is a “major stationary source” (major PSD source) if it emits or has the potential to emit (PTE):</w:t>
      </w:r>
    </w:p>
    <w:p w:rsidR="00A56796" w:rsidRPr="00D94522" w:rsidRDefault="00A56796" w:rsidP="00A56796">
      <w:pPr>
        <w:pStyle w:val="Default"/>
        <w:numPr>
          <w:ilvl w:val="0"/>
          <w:numId w:val="15"/>
        </w:numPr>
        <w:spacing w:after="60"/>
        <w:ind w:left="360"/>
        <w:rPr>
          <w:rFonts w:eastAsia="Calibri"/>
          <w:sz w:val="22"/>
          <w:szCs w:val="22"/>
        </w:rPr>
      </w:pPr>
      <w:r>
        <w:rPr>
          <w:sz w:val="22"/>
          <w:szCs w:val="22"/>
        </w:rPr>
        <w:t xml:space="preserve">250 tons per year (tons/year) or more of any PSD pollutant; </w:t>
      </w:r>
      <w:r w:rsidRPr="00AF28AC">
        <w:rPr>
          <w:sz w:val="22"/>
          <w:szCs w:val="22"/>
          <w:u w:val="single"/>
        </w:rPr>
        <w:t>or</w:t>
      </w:r>
      <w:r>
        <w:rPr>
          <w:sz w:val="22"/>
          <w:szCs w:val="22"/>
        </w:rPr>
        <w:t xml:space="preserve"> </w:t>
      </w:r>
    </w:p>
    <w:p w:rsidR="00A56796" w:rsidRPr="00A56796" w:rsidRDefault="00A56796" w:rsidP="00A56796">
      <w:pPr>
        <w:pStyle w:val="Default"/>
        <w:numPr>
          <w:ilvl w:val="0"/>
          <w:numId w:val="15"/>
        </w:numPr>
        <w:spacing w:after="60"/>
        <w:ind w:left="360"/>
        <w:rPr>
          <w:rFonts w:eastAsia="Calibri"/>
          <w:sz w:val="22"/>
          <w:szCs w:val="22"/>
        </w:rPr>
      </w:pPr>
      <w:r>
        <w:rPr>
          <w:sz w:val="22"/>
          <w:szCs w:val="22"/>
        </w:rPr>
        <w:t xml:space="preserve">100 tons/year or more of any PSD pollutant </w:t>
      </w:r>
      <w:r w:rsidRPr="00AF28AC">
        <w:rPr>
          <w:sz w:val="22"/>
          <w:szCs w:val="22"/>
          <w:u w:val="single"/>
        </w:rPr>
        <w:t>and</w:t>
      </w:r>
      <w:r>
        <w:rPr>
          <w:sz w:val="22"/>
          <w:szCs w:val="22"/>
        </w:rPr>
        <w:t xml:space="preserve"> the facility belongs to one of the 28 listed PSD major facility categories.</w:t>
      </w:r>
    </w:p>
    <w:p w:rsidR="00A56796" w:rsidRDefault="00A56796" w:rsidP="00A56796">
      <w:pPr>
        <w:widowControl w:val="0"/>
        <w:spacing w:after="120"/>
        <w:rPr>
          <w:rFonts w:eastAsia="Calibri"/>
          <w:sz w:val="22"/>
          <w:szCs w:val="22"/>
        </w:rPr>
      </w:pPr>
      <w:r w:rsidRPr="00B81C9A">
        <w:rPr>
          <w:rFonts w:eastAsia="Calibri"/>
          <w:sz w:val="22"/>
          <w:szCs w:val="22"/>
        </w:rPr>
        <w:t xml:space="preserve">The </w:t>
      </w:r>
      <w:r w:rsidR="00A93DE0">
        <w:rPr>
          <w:rFonts w:eastAsia="Calibri"/>
          <w:sz w:val="22"/>
          <w:szCs w:val="22"/>
        </w:rPr>
        <w:t>Jacksonville Facility</w:t>
      </w:r>
      <w:r>
        <w:rPr>
          <w:rFonts w:eastAsia="Calibri"/>
          <w:sz w:val="22"/>
          <w:szCs w:val="22"/>
        </w:rPr>
        <w:t xml:space="preserve"> </w:t>
      </w:r>
      <w:r w:rsidRPr="00B81C9A">
        <w:rPr>
          <w:rFonts w:eastAsia="Calibri"/>
          <w:sz w:val="22"/>
          <w:szCs w:val="22"/>
        </w:rPr>
        <w:t xml:space="preserve">is a major stationary source based on potential to emit </w:t>
      </w:r>
      <w:r w:rsidR="00A93DE0">
        <w:rPr>
          <w:rFonts w:eastAsia="Calibri"/>
          <w:sz w:val="22"/>
          <w:szCs w:val="22"/>
        </w:rPr>
        <w:t>250</w:t>
      </w:r>
      <w:r w:rsidRPr="00B81C9A">
        <w:rPr>
          <w:rFonts w:eastAsia="Calibri"/>
          <w:sz w:val="22"/>
          <w:szCs w:val="22"/>
        </w:rPr>
        <w:t xml:space="preserve"> tons/year </w:t>
      </w:r>
      <w:r w:rsidR="003A2119">
        <w:rPr>
          <w:rFonts w:eastAsia="Calibri"/>
          <w:sz w:val="22"/>
          <w:szCs w:val="22"/>
        </w:rPr>
        <w:t xml:space="preserve">of an </w:t>
      </w:r>
      <w:r w:rsidRPr="00B81C9A">
        <w:rPr>
          <w:rFonts w:eastAsia="Calibri"/>
          <w:sz w:val="22"/>
          <w:szCs w:val="22"/>
        </w:rPr>
        <w:t>individual PSD pollutant.</w:t>
      </w:r>
      <w:r w:rsidRPr="005C0768">
        <w:rPr>
          <w:rFonts w:eastAsia="Calibri"/>
          <w:sz w:val="22"/>
          <w:szCs w:val="22"/>
        </w:rPr>
        <w:t xml:space="preserve">  </w:t>
      </w:r>
    </w:p>
    <w:p w:rsidR="00A56796" w:rsidRPr="005C0768" w:rsidRDefault="00A56796" w:rsidP="00A56796">
      <w:pPr>
        <w:widowControl w:val="0"/>
        <w:spacing w:after="120"/>
        <w:rPr>
          <w:rFonts w:eastAsia="Calibri"/>
          <w:sz w:val="22"/>
          <w:szCs w:val="22"/>
        </w:rPr>
      </w:pPr>
      <w:r w:rsidRPr="005C0768">
        <w:rPr>
          <w:rFonts w:eastAsia="Calibri"/>
          <w:sz w:val="22"/>
          <w:szCs w:val="22"/>
        </w:rPr>
        <w:t>For major stationary sources</w:t>
      </w:r>
      <w:r>
        <w:rPr>
          <w:rFonts w:eastAsia="Calibri"/>
          <w:sz w:val="22"/>
          <w:szCs w:val="22"/>
        </w:rPr>
        <w:t xml:space="preserve"> such as the </w:t>
      </w:r>
      <w:r w:rsidR="00A93DE0">
        <w:rPr>
          <w:rFonts w:eastAsia="Calibri"/>
          <w:sz w:val="22"/>
          <w:szCs w:val="22"/>
        </w:rPr>
        <w:t>Jacksonville Facility</w:t>
      </w:r>
      <w:r w:rsidRPr="005C0768">
        <w:rPr>
          <w:rFonts w:eastAsia="Calibri"/>
          <w:sz w:val="22"/>
          <w:szCs w:val="22"/>
        </w:rPr>
        <w:t xml:space="preserve">, PSD applicability </w:t>
      </w:r>
      <w:r>
        <w:rPr>
          <w:rFonts w:eastAsia="Calibri"/>
          <w:sz w:val="22"/>
          <w:szCs w:val="22"/>
        </w:rPr>
        <w:t xml:space="preserve">for modification projects </w:t>
      </w:r>
      <w:r w:rsidRPr="005C0768">
        <w:rPr>
          <w:rFonts w:eastAsia="Calibri"/>
          <w:sz w:val="22"/>
          <w:szCs w:val="22"/>
        </w:rPr>
        <w:t>is based on thresholds known as the significant emission rates (SER</w:t>
      </w:r>
      <w:r>
        <w:rPr>
          <w:rFonts w:eastAsia="Calibri"/>
          <w:sz w:val="22"/>
          <w:szCs w:val="22"/>
        </w:rPr>
        <w:t xml:space="preserve">) as defined in Rule 62-210.200(Definitions), </w:t>
      </w:r>
      <w:r w:rsidRPr="005C0768">
        <w:rPr>
          <w:rFonts w:eastAsia="Calibri"/>
          <w:sz w:val="22"/>
          <w:szCs w:val="22"/>
        </w:rPr>
        <w:t xml:space="preserve">F.A.C.  </w:t>
      </w:r>
      <w:r>
        <w:rPr>
          <w:rFonts w:eastAsia="Calibri"/>
          <w:sz w:val="22"/>
          <w:szCs w:val="22"/>
        </w:rPr>
        <w:t>Any “net e</w:t>
      </w:r>
      <w:r w:rsidRPr="005C0768">
        <w:rPr>
          <w:rFonts w:eastAsia="Calibri"/>
          <w:sz w:val="22"/>
          <w:szCs w:val="22"/>
        </w:rPr>
        <w:t xml:space="preserve">missions </w:t>
      </w:r>
      <w:r>
        <w:rPr>
          <w:rFonts w:eastAsia="Calibri"/>
          <w:sz w:val="22"/>
          <w:szCs w:val="22"/>
        </w:rPr>
        <w:t xml:space="preserve">increase” as defined in Rule 62-210.200(Definitions), F.A.C. </w:t>
      </w:r>
      <w:r w:rsidRPr="005C0768">
        <w:rPr>
          <w:rFonts w:eastAsia="Calibri"/>
          <w:sz w:val="22"/>
          <w:szCs w:val="22"/>
        </w:rPr>
        <w:t xml:space="preserve">of </w:t>
      </w:r>
      <w:r>
        <w:rPr>
          <w:rFonts w:eastAsia="Calibri"/>
          <w:sz w:val="22"/>
          <w:szCs w:val="22"/>
        </w:rPr>
        <w:t xml:space="preserve">a </w:t>
      </w:r>
      <w:r w:rsidRPr="005C0768">
        <w:rPr>
          <w:rFonts w:eastAsia="Calibri"/>
          <w:sz w:val="22"/>
          <w:szCs w:val="22"/>
        </w:rPr>
        <w:t>PSD pollutant from the project that equal</w:t>
      </w:r>
      <w:r>
        <w:rPr>
          <w:rFonts w:eastAsia="Calibri"/>
          <w:sz w:val="22"/>
          <w:szCs w:val="22"/>
        </w:rPr>
        <w:t>s</w:t>
      </w:r>
      <w:r w:rsidRPr="005C0768">
        <w:rPr>
          <w:rFonts w:eastAsia="Calibri"/>
          <w:sz w:val="22"/>
          <w:szCs w:val="22"/>
        </w:rPr>
        <w:t xml:space="preserve"> or exceed</w:t>
      </w:r>
      <w:r>
        <w:rPr>
          <w:rFonts w:eastAsia="Calibri"/>
          <w:sz w:val="22"/>
          <w:szCs w:val="22"/>
        </w:rPr>
        <w:t>s</w:t>
      </w:r>
      <w:r w:rsidRPr="005C0768">
        <w:rPr>
          <w:rFonts w:eastAsia="Calibri"/>
          <w:sz w:val="22"/>
          <w:szCs w:val="22"/>
        </w:rPr>
        <w:t xml:space="preserve"> the</w:t>
      </w:r>
      <w:r>
        <w:rPr>
          <w:rFonts w:eastAsia="Calibri"/>
          <w:sz w:val="22"/>
          <w:szCs w:val="22"/>
        </w:rPr>
        <w:t xml:space="preserve"> respective </w:t>
      </w:r>
      <w:r w:rsidRPr="005C0768">
        <w:rPr>
          <w:rFonts w:eastAsia="Calibri"/>
          <w:sz w:val="22"/>
          <w:szCs w:val="22"/>
        </w:rPr>
        <w:t>SER</w:t>
      </w:r>
      <w:r>
        <w:rPr>
          <w:rFonts w:eastAsia="Calibri"/>
          <w:sz w:val="22"/>
          <w:szCs w:val="22"/>
        </w:rPr>
        <w:t xml:space="preserve"> is </w:t>
      </w:r>
      <w:r w:rsidRPr="005C0768">
        <w:rPr>
          <w:rFonts w:eastAsia="Calibri"/>
          <w:sz w:val="22"/>
          <w:szCs w:val="22"/>
        </w:rPr>
        <w:t>considered “significant”.  SER also means any emissions rate or any net emissions increase of a PSD pollutant associated with a major stationary source or major modification which would construct within 10 k</w:t>
      </w:r>
      <w:r>
        <w:rPr>
          <w:rFonts w:eastAsia="Calibri"/>
          <w:sz w:val="22"/>
          <w:szCs w:val="22"/>
        </w:rPr>
        <w:t>m</w:t>
      </w:r>
      <w:r w:rsidRPr="005C0768">
        <w:rPr>
          <w:rFonts w:eastAsia="Calibri"/>
          <w:sz w:val="22"/>
          <w:szCs w:val="22"/>
        </w:rPr>
        <w:t xml:space="preserve"> of a Class I area and have an impact on such area equal to or greater than 1 gram per cubic meter, 24-hour average.  </w:t>
      </w:r>
    </w:p>
    <w:p w:rsidR="00A56796" w:rsidRPr="005F3991" w:rsidRDefault="00A56796" w:rsidP="00A56796">
      <w:pPr>
        <w:widowControl w:val="0"/>
        <w:spacing w:after="120"/>
        <w:rPr>
          <w:rFonts w:eastAsia="Calibri"/>
          <w:sz w:val="22"/>
          <w:szCs w:val="22"/>
        </w:rPr>
      </w:pPr>
      <w:r w:rsidRPr="005F3991">
        <w:rPr>
          <w:rFonts w:eastAsia="Calibri"/>
          <w:sz w:val="22"/>
          <w:szCs w:val="22"/>
        </w:rPr>
        <w:t xml:space="preserve">Although a facility may be “major” (i.e. emits or has the potential to emit 100 or 250 TPY as applicable) for only one PSD pollutant, a project must include BACT controls for any PSD pollutant that exceeds the corresponding </w:t>
      </w:r>
      <w:r w:rsidRPr="003A2119">
        <w:rPr>
          <w:rFonts w:eastAsia="Calibri"/>
          <w:sz w:val="22"/>
          <w:szCs w:val="22"/>
        </w:rPr>
        <w:t xml:space="preserve">significant emission rates given in the </w:t>
      </w:r>
      <w:fldSimple w:instr=" REF _Ref344887586 \h  \* MERGEFORMAT ">
        <w:r w:rsidR="00CE4ADB" w:rsidRPr="003A2119">
          <w:rPr>
            <w:sz w:val="22"/>
            <w:szCs w:val="22"/>
          </w:rPr>
          <w:t xml:space="preserve">Table </w:t>
        </w:r>
        <w:r w:rsidR="00CE4ADB" w:rsidRPr="003A2119">
          <w:rPr>
            <w:noProof/>
            <w:sz w:val="22"/>
            <w:szCs w:val="22"/>
          </w:rPr>
          <w:t>1</w:t>
        </w:r>
      </w:fldSimple>
      <w:r w:rsidR="00CE4ADB" w:rsidRPr="003A2119">
        <w:rPr>
          <w:rFonts w:eastAsia="Calibri"/>
          <w:sz w:val="22"/>
          <w:szCs w:val="22"/>
        </w:rPr>
        <w:t xml:space="preserve"> </w:t>
      </w:r>
      <w:r w:rsidRPr="003A2119">
        <w:rPr>
          <w:rFonts w:eastAsia="Calibri"/>
          <w:sz w:val="22"/>
          <w:szCs w:val="22"/>
        </w:rPr>
        <w:t>below.</w:t>
      </w:r>
    </w:p>
    <w:p w:rsidR="00A56796" w:rsidRPr="00DC3588" w:rsidRDefault="00CE4ADB" w:rsidP="00CE4ADB">
      <w:pPr>
        <w:pStyle w:val="Caption"/>
        <w:spacing w:before="0"/>
        <w:jc w:val="center"/>
        <w:rPr>
          <w:caps w:val="0"/>
          <w:color w:val="000000"/>
          <w:szCs w:val="22"/>
        </w:rPr>
      </w:pPr>
      <w:bookmarkStart w:id="0" w:name="_Ref344887586"/>
      <w:proofErr w:type="gramStart"/>
      <w:r w:rsidRPr="00CE4ADB">
        <w:rPr>
          <w:rFonts w:ascii="Times New Roman Bold" w:hAnsi="Times New Roman Bold"/>
          <w:caps w:val="0"/>
        </w:rPr>
        <w:t>Table</w:t>
      </w:r>
      <w:r>
        <w:t xml:space="preserve"> </w:t>
      </w:r>
      <w:fldSimple w:instr=" SEQ Table \* ARABIC ">
        <w:r>
          <w:rPr>
            <w:noProof/>
          </w:rPr>
          <w:t>1</w:t>
        </w:r>
      </w:fldSimple>
      <w:bookmarkEnd w:id="0"/>
      <w:r>
        <w:t xml:space="preserve"> - </w:t>
      </w:r>
      <w:r w:rsidR="00A56796" w:rsidRPr="00DC3588">
        <w:rPr>
          <w:caps w:val="0"/>
          <w:color w:val="000000"/>
          <w:szCs w:val="22"/>
        </w:rPr>
        <w:t>List of SER by PSD-Pollutant</w:t>
      </w:r>
      <w:r w:rsidR="00A56796">
        <w:rPr>
          <w:caps w:val="0"/>
          <w:color w:val="000000"/>
          <w:szCs w:val="22"/>
        </w:rPr>
        <w:t>.</w:t>
      </w:r>
      <w:proofErr w:type="gramEnd"/>
      <w:r w:rsidR="00A56796" w:rsidRPr="00DC3588">
        <w:rPr>
          <w:caps w:val="0"/>
          <w:color w:val="000000"/>
          <w:szCs w:val="22"/>
        </w:rPr>
        <w:t xml:space="preserve"> </w:t>
      </w: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2280"/>
        <w:gridCol w:w="2640"/>
        <w:gridCol w:w="2160"/>
        <w:gridCol w:w="2280"/>
      </w:tblGrid>
      <w:tr w:rsidR="00A56796" w:rsidRPr="005C0768" w:rsidTr="00A56796">
        <w:trPr>
          <w:trHeight w:val="290"/>
          <w:tblHeader/>
        </w:trPr>
        <w:tc>
          <w:tcPr>
            <w:tcW w:w="22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56796" w:rsidRPr="00ED3873" w:rsidRDefault="00A56796" w:rsidP="00ED3873">
            <w:pPr>
              <w:autoSpaceDE w:val="0"/>
              <w:autoSpaceDN w:val="0"/>
              <w:adjustRightInd w:val="0"/>
              <w:spacing w:before="20" w:after="20"/>
              <w:jc w:val="center"/>
              <w:rPr>
                <w:b/>
                <w:color w:val="000000"/>
              </w:rPr>
            </w:pPr>
            <w:r w:rsidRPr="00ED3873">
              <w:rPr>
                <w:b/>
                <w:color w:val="000000"/>
              </w:rPr>
              <w:t>Pollutant</w:t>
            </w:r>
          </w:p>
        </w:tc>
        <w:tc>
          <w:tcPr>
            <w:tcW w:w="2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56796" w:rsidRPr="00ED3873" w:rsidRDefault="00A56796" w:rsidP="00ED3873">
            <w:pPr>
              <w:autoSpaceDE w:val="0"/>
              <w:autoSpaceDN w:val="0"/>
              <w:adjustRightInd w:val="0"/>
              <w:spacing w:before="20" w:after="20"/>
              <w:jc w:val="center"/>
              <w:rPr>
                <w:b/>
                <w:color w:val="000000"/>
              </w:rPr>
            </w:pPr>
            <w:r w:rsidRPr="00ED3873">
              <w:rPr>
                <w:b/>
                <w:color w:val="000000"/>
              </w:rPr>
              <w:t>SER (TPY)</w:t>
            </w:r>
          </w:p>
        </w:tc>
        <w:tc>
          <w:tcPr>
            <w:tcW w:w="216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56796" w:rsidRPr="00ED3873" w:rsidRDefault="00A56796" w:rsidP="00ED3873">
            <w:pPr>
              <w:autoSpaceDE w:val="0"/>
              <w:autoSpaceDN w:val="0"/>
              <w:adjustRightInd w:val="0"/>
              <w:spacing w:before="20" w:after="20"/>
              <w:jc w:val="center"/>
              <w:rPr>
                <w:b/>
                <w:color w:val="000000"/>
              </w:rPr>
            </w:pPr>
            <w:r w:rsidRPr="00ED3873">
              <w:rPr>
                <w:b/>
                <w:color w:val="000000"/>
              </w:rPr>
              <w:t>Pollutant</w:t>
            </w:r>
          </w:p>
        </w:tc>
        <w:tc>
          <w:tcPr>
            <w:tcW w:w="228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rsidR="00A56796" w:rsidRPr="00ED3873" w:rsidRDefault="00A56796" w:rsidP="00ED3873">
            <w:pPr>
              <w:autoSpaceDE w:val="0"/>
              <w:autoSpaceDN w:val="0"/>
              <w:adjustRightInd w:val="0"/>
              <w:spacing w:before="20" w:after="20"/>
              <w:jc w:val="center"/>
              <w:rPr>
                <w:b/>
                <w:color w:val="000000"/>
              </w:rPr>
            </w:pPr>
            <w:r w:rsidRPr="00ED3873">
              <w:rPr>
                <w:b/>
                <w:color w:val="000000"/>
              </w:rPr>
              <w:t>SER (TPY)</w:t>
            </w:r>
          </w:p>
        </w:tc>
      </w:tr>
      <w:tr w:rsidR="00A56796" w:rsidRPr="005C0768" w:rsidTr="00A56796">
        <w:trPr>
          <w:trHeight w:val="264"/>
        </w:trPr>
        <w:tc>
          <w:tcPr>
            <w:tcW w:w="2280" w:type="dxa"/>
            <w:tcBorders>
              <w:top w:val="single" w:sz="4" w:space="0" w:color="auto"/>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CO</w:t>
            </w:r>
          </w:p>
        </w:tc>
        <w:tc>
          <w:tcPr>
            <w:tcW w:w="2640" w:type="dxa"/>
            <w:tcBorders>
              <w:top w:val="single" w:sz="4" w:space="0" w:color="auto"/>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100</w:t>
            </w:r>
          </w:p>
        </w:tc>
        <w:tc>
          <w:tcPr>
            <w:tcW w:w="2160" w:type="dxa"/>
            <w:tcBorders>
              <w:top w:val="single" w:sz="4" w:space="0" w:color="auto"/>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NO</w:t>
            </w:r>
            <w:r w:rsidRPr="00ED3873">
              <w:rPr>
                <w:color w:val="000000"/>
                <w:vertAlign w:val="subscript"/>
              </w:rPr>
              <w:t>X</w:t>
            </w:r>
          </w:p>
        </w:tc>
        <w:tc>
          <w:tcPr>
            <w:tcW w:w="2280" w:type="dxa"/>
            <w:tcBorders>
              <w:top w:val="single" w:sz="4" w:space="0" w:color="auto"/>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r>
      <w:tr w:rsidR="00A56796" w:rsidRPr="005C0768" w:rsidTr="00A56796">
        <w:trPr>
          <w:trHeight w:val="264"/>
        </w:trPr>
        <w:tc>
          <w:tcPr>
            <w:tcW w:w="228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PM/PM</w:t>
            </w:r>
            <w:r w:rsidRPr="00ED3873">
              <w:rPr>
                <w:vertAlign w:val="subscript"/>
              </w:rPr>
              <w:t>10</w:t>
            </w:r>
            <w:r w:rsidRPr="00ED3873">
              <w:rPr>
                <w:color w:val="000000"/>
              </w:rPr>
              <w:t>/PM</w:t>
            </w:r>
            <w:r w:rsidRPr="00ED3873">
              <w:rPr>
                <w:color w:val="000000"/>
                <w:vertAlign w:val="subscript"/>
              </w:rPr>
              <w:t>2.5</w:t>
            </w:r>
          </w:p>
        </w:tc>
        <w:tc>
          <w:tcPr>
            <w:tcW w:w="264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25/15/10</w:t>
            </w:r>
          </w:p>
        </w:tc>
        <w:tc>
          <w:tcPr>
            <w:tcW w:w="216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3A2119">
            <w:pPr>
              <w:autoSpaceDE w:val="0"/>
              <w:autoSpaceDN w:val="0"/>
              <w:adjustRightInd w:val="0"/>
              <w:spacing w:before="20" w:after="20"/>
              <w:jc w:val="center"/>
              <w:rPr>
                <w:color w:val="000000"/>
              </w:rPr>
            </w:pPr>
            <w:r w:rsidRPr="00ED3873">
              <w:rPr>
                <w:color w:val="000000"/>
              </w:rPr>
              <w:t xml:space="preserve">Ozone (VOC) </w:t>
            </w:r>
            <w:r w:rsidR="003A2119">
              <w:rPr>
                <w:b/>
                <w:color w:val="000000"/>
                <w:vertAlign w:val="superscript"/>
              </w:rPr>
              <w:t>1</w:t>
            </w:r>
          </w:p>
        </w:tc>
        <w:tc>
          <w:tcPr>
            <w:tcW w:w="228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r>
      <w:tr w:rsidR="00A56796" w:rsidRPr="005C0768" w:rsidTr="00A56796">
        <w:trPr>
          <w:trHeight w:val="264"/>
        </w:trPr>
        <w:tc>
          <w:tcPr>
            <w:tcW w:w="228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PM</w:t>
            </w:r>
            <w:r w:rsidRPr="00ED3873">
              <w:rPr>
                <w:color w:val="000000"/>
                <w:vertAlign w:val="subscript"/>
              </w:rPr>
              <w:t>2.5</w:t>
            </w:r>
            <w:r w:rsidRPr="00ED3873">
              <w:rPr>
                <w:color w:val="000000"/>
              </w:rPr>
              <w:t xml:space="preserve"> (NO</w:t>
            </w:r>
            <w:r w:rsidRPr="00ED3873">
              <w:rPr>
                <w:vertAlign w:val="subscript"/>
              </w:rPr>
              <w:t>X</w:t>
            </w:r>
            <w:r w:rsidRPr="00ED3873">
              <w:rPr>
                <w:color w:val="000000"/>
              </w:rPr>
              <w:t>)</w:t>
            </w:r>
          </w:p>
        </w:tc>
        <w:tc>
          <w:tcPr>
            <w:tcW w:w="264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c>
          <w:tcPr>
            <w:tcW w:w="216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PM</w:t>
            </w:r>
            <w:r w:rsidRPr="00ED3873">
              <w:rPr>
                <w:color w:val="000000"/>
                <w:vertAlign w:val="subscript"/>
              </w:rPr>
              <w:t>2.5</w:t>
            </w:r>
            <w:r w:rsidRPr="00ED3873">
              <w:rPr>
                <w:color w:val="000000"/>
              </w:rPr>
              <w:t xml:space="preserve"> (SO</w:t>
            </w:r>
            <w:r w:rsidRPr="00ED3873">
              <w:rPr>
                <w:vertAlign w:val="subscript"/>
              </w:rPr>
              <w:t>2</w:t>
            </w:r>
            <w:r w:rsidRPr="00ED3873">
              <w:rPr>
                <w:color w:val="000000"/>
              </w:rPr>
              <w:t>)</w:t>
            </w:r>
          </w:p>
        </w:tc>
        <w:tc>
          <w:tcPr>
            <w:tcW w:w="228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r>
      <w:tr w:rsidR="00A56796" w:rsidRPr="005C0768" w:rsidTr="00A56796">
        <w:trPr>
          <w:trHeight w:val="246"/>
        </w:trPr>
        <w:tc>
          <w:tcPr>
            <w:tcW w:w="228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3A2119">
            <w:pPr>
              <w:autoSpaceDE w:val="0"/>
              <w:autoSpaceDN w:val="0"/>
              <w:adjustRightInd w:val="0"/>
              <w:spacing w:before="20" w:after="20"/>
              <w:jc w:val="center"/>
              <w:rPr>
                <w:color w:val="000000"/>
              </w:rPr>
            </w:pPr>
            <w:r w:rsidRPr="00ED3873">
              <w:rPr>
                <w:color w:val="000000"/>
              </w:rPr>
              <w:lastRenderedPageBreak/>
              <w:t>Ozone (NO</w:t>
            </w:r>
            <w:r w:rsidRPr="00ED3873">
              <w:rPr>
                <w:vertAlign w:val="subscript"/>
              </w:rPr>
              <w:t>X</w:t>
            </w:r>
            <w:r w:rsidRPr="00ED3873">
              <w:rPr>
                <w:color w:val="000000"/>
              </w:rPr>
              <w:t xml:space="preserve">) </w:t>
            </w:r>
            <w:r w:rsidR="003A2119">
              <w:rPr>
                <w:b/>
                <w:color w:val="000000"/>
                <w:vertAlign w:val="superscript"/>
              </w:rPr>
              <w:t>1</w:t>
            </w:r>
          </w:p>
        </w:tc>
        <w:tc>
          <w:tcPr>
            <w:tcW w:w="2640" w:type="dxa"/>
            <w:tcBorders>
              <w:top w:val="single" w:sz="4" w:space="0" w:color="auto"/>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c>
          <w:tcPr>
            <w:tcW w:w="216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SAM</w:t>
            </w:r>
          </w:p>
        </w:tc>
        <w:tc>
          <w:tcPr>
            <w:tcW w:w="228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7</w:t>
            </w:r>
          </w:p>
        </w:tc>
      </w:tr>
      <w:tr w:rsidR="00A56796" w:rsidRPr="005C0768" w:rsidTr="00A56796">
        <w:trPr>
          <w:trHeight w:val="255"/>
        </w:trPr>
        <w:tc>
          <w:tcPr>
            <w:tcW w:w="228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SO</w:t>
            </w:r>
            <w:r w:rsidRPr="00ED3873">
              <w:rPr>
                <w:color w:val="000000"/>
                <w:vertAlign w:val="subscript"/>
              </w:rPr>
              <w:t>2</w:t>
            </w:r>
          </w:p>
        </w:tc>
        <w:tc>
          <w:tcPr>
            <w:tcW w:w="264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40</w:t>
            </w:r>
          </w:p>
        </w:tc>
        <w:tc>
          <w:tcPr>
            <w:tcW w:w="216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Pb</w:t>
            </w:r>
          </w:p>
        </w:tc>
        <w:tc>
          <w:tcPr>
            <w:tcW w:w="228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0.6</w:t>
            </w:r>
          </w:p>
        </w:tc>
      </w:tr>
      <w:tr w:rsidR="00A56796" w:rsidRPr="005C0768" w:rsidTr="00A56796">
        <w:trPr>
          <w:trHeight w:val="255"/>
        </w:trPr>
        <w:tc>
          <w:tcPr>
            <w:tcW w:w="228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Hg</w:t>
            </w:r>
          </w:p>
        </w:tc>
        <w:tc>
          <w:tcPr>
            <w:tcW w:w="264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 xml:space="preserve">0.1 </w:t>
            </w:r>
          </w:p>
        </w:tc>
        <w:tc>
          <w:tcPr>
            <w:tcW w:w="2160" w:type="dxa"/>
            <w:tcBorders>
              <w:top w:val="single" w:sz="6" w:space="0" w:color="000000"/>
              <w:left w:val="single" w:sz="4" w:space="0" w:color="auto"/>
              <w:bottom w:val="single" w:sz="6" w:space="0" w:color="000000"/>
              <w:right w:val="single" w:sz="4" w:space="0" w:color="auto"/>
            </w:tcBorders>
            <w:vAlign w:val="center"/>
            <w:hideMark/>
          </w:tcPr>
          <w:p w:rsidR="00A56796" w:rsidRPr="00ED3873" w:rsidRDefault="00A56796" w:rsidP="00ED3873">
            <w:pPr>
              <w:autoSpaceDE w:val="0"/>
              <w:autoSpaceDN w:val="0"/>
              <w:adjustRightInd w:val="0"/>
              <w:spacing w:before="20" w:after="20"/>
              <w:jc w:val="center"/>
              <w:rPr>
                <w:color w:val="000000"/>
              </w:rPr>
            </w:pPr>
            <w:r w:rsidRPr="00ED3873">
              <w:rPr>
                <w:color w:val="000000"/>
              </w:rPr>
              <w:t>GHG (CO</w:t>
            </w:r>
            <w:r w:rsidRPr="00ED3873">
              <w:rPr>
                <w:color w:val="000000"/>
                <w:vertAlign w:val="subscript"/>
              </w:rPr>
              <w:t>2</w:t>
            </w:r>
            <w:r w:rsidRPr="00ED3873">
              <w:rPr>
                <w:color w:val="000000"/>
              </w:rPr>
              <w:t>e)</w:t>
            </w:r>
          </w:p>
        </w:tc>
        <w:tc>
          <w:tcPr>
            <w:tcW w:w="2280" w:type="dxa"/>
            <w:tcBorders>
              <w:top w:val="single" w:sz="6" w:space="0" w:color="000000"/>
              <w:left w:val="single" w:sz="4" w:space="0" w:color="auto"/>
              <w:bottom w:val="single" w:sz="6" w:space="0" w:color="000000"/>
              <w:right w:val="single" w:sz="4" w:space="0" w:color="auto"/>
            </w:tcBorders>
            <w:shd w:val="clear" w:color="auto" w:fill="DAEEF3" w:themeFill="accent5" w:themeFillTint="33"/>
            <w:vAlign w:val="center"/>
            <w:hideMark/>
          </w:tcPr>
          <w:p w:rsidR="00A56796" w:rsidRPr="00ED3873" w:rsidRDefault="00A56796" w:rsidP="003A2119">
            <w:pPr>
              <w:autoSpaceDE w:val="0"/>
              <w:autoSpaceDN w:val="0"/>
              <w:adjustRightInd w:val="0"/>
              <w:spacing w:before="20" w:after="20"/>
              <w:jc w:val="center"/>
              <w:rPr>
                <w:color w:val="000000"/>
              </w:rPr>
            </w:pPr>
            <w:r w:rsidRPr="00ED3873">
              <w:rPr>
                <w:color w:val="000000"/>
              </w:rPr>
              <w:t>75,000</w:t>
            </w:r>
            <w:r w:rsidRPr="00ED3873">
              <w:rPr>
                <w:b/>
                <w:caps/>
                <w:color w:val="000000"/>
                <w:vertAlign w:val="superscript"/>
              </w:rPr>
              <w:t xml:space="preserve"> </w:t>
            </w:r>
            <w:r w:rsidR="003A2119">
              <w:rPr>
                <w:b/>
                <w:caps/>
                <w:color w:val="000000"/>
                <w:vertAlign w:val="superscript"/>
              </w:rPr>
              <w:t>2</w:t>
            </w:r>
          </w:p>
        </w:tc>
      </w:tr>
      <w:tr w:rsidR="00A56796" w:rsidRPr="005C0768" w:rsidTr="00A56796">
        <w:trPr>
          <w:trHeight w:val="311"/>
        </w:trPr>
        <w:tc>
          <w:tcPr>
            <w:tcW w:w="9360" w:type="dxa"/>
            <w:gridSpan w:val="4"/>
            <w:tcBorders>
              <w:top w:val="single" w:sz="4" w:space="0" w:color="auto"/>
              <w:left w:val="single" w:sz="4" w:space="0" w:color="auto"/>
              <w:bottom w:val="single" w:sz="4" w:space="0" w:color="auto"/>
              <w:right w:val="single" w:sz="4" w:space="0" w:color="auto"/>
            </w:tcBorders>
            <w:hideMark/>
          </w:tcPr>
          <w:p w:rsidR="00A56796" w:rsidRPr="005C0768" w:rsidRDefault="00A56796" w:rsidP="003A2119">
            <w:pPr>
              <w:autoSpaceDE w:val="0"/>
              <w:autoSpaceDN w:val="0"/>
              <w:adjustRightInd w:val="0"/>
              <w:spacing w:before="20"/>
              <w:ind w:left="342"/>
              <w:rPr>
                <w:color w:val="000000"/>
                <w:sz w:val="16"/>
                <w:szCs w:val="16"/>
              </w:rPr>
            </w:pPr>
          </w:p>
          <w:p w:rsidR="00A56796" w:rsidRPr="005C0768" w:rsidRDefault="00A56796" w:rsidP="00A56796">
            <w:pPr>
              <w:numPr>
                <w:ilvl w:val="0"/>
                <w:numId w:val="16"/>
              </w:numPr>
              <w:tabs>
                <w:tab w:val="clear" w:pos="1080"/>
                <w:tab w:val="num" w:pos="342"/>
              </w:tabs>
              <w:autoSpaceDE w:val="0"/>
              <w:autoSpaceDN w:val="0"/>
              <w:adjustRightInd w:val="0"/>
              <w:ind w:left="342" w:hanging="328"/>
              <w:rPr>
                <w:color w:val="000000"/>
                <w:sz w:val="16"/>
                <w:szCs w:val="16"/>
              </w:rPr>
            </w:pPr>
            <w:r w:rsidRPr="005C0768">
              <w:rPr>
                <w:color w:val="000000"/>
                <w:sz w:val="16"/>
                <w:szCs w:val="16"/>
              </w:rPr>
              <w:t>Ozone (O</w:t>
            </w:r>
            <w:r w:rsidRPr="00D95CA8">
              <w:rPr>
                <w:color w:val="000000"/>
                <w:sz w:val="16"/>
                <w:szCs w:val="16"/>
                <w:vertAlign w:val="subscript"/>
              </w:rPr>
              <w:t>3</w:t>
            </w:r>
            <w:r w:rsidRPr="005C0768">
              <w:rPr>
                <w:color w:val="000000"/>
                <w:sz w:val="16"/>
                <w:szCs w:val="16"/>
              </w:rPr>
              <w:t>) is regulated by its precursors (VOC and NO</w:t>
            </w:r>
            <w:r w:rsidRPr="00A90686">
              <w:rPr>
                <w:color w:val="000000"/>
                <w:sz w:val="16"/>
                <w:szCs w:val="16"/>
                <w:vertAlign w:val="subscript"/>
              </w:rPr>
              <w:t>X</w:t>
            </w:r>
            <w:r w:rsidRPr="005C0768">
              <w:rPr>
                <w:color w:val="000000"/>
                <w:sz w:val="16"/>
                <w:szCs w:val="16"/>
              </w:rPr>
              <w:t>).</w:t>
            </w:r>
            <w:r>
              <w:rPr>
                <w:color w:val="000000"/>
                <w:sz w:val="16"/>
                <w:szCs w:val="16"/>
              </w:rPr>
              <w:t xml:space="preserve">  PSD for PM</w:t>
            </w:r>
            <w:r w:rsidRPr="00FF2B1E">
              <w:rPr>
                <w:color w:val="000000"/>
                <w:sz w:val="16"/>
                <w:szCs w:val="16"/>
                <w:vertAlign w:val="subscript"/>
              </w:rPr>
              <w:t>2.5</w:t>
            </w:r>
            <w:r>
              <w:rPr>
                <w:color w:val="000000"/>
                <w:sz w:val="16"/>
                <w:szCs w:val="16"/>
              </w:rPr>
              <w:t xml:space="preserve"> can be triggered by its precursors (NO</w:t>
            </w:r>
            <w:r w:rsidRPr="00FF2B1E">
              <w:rPr>
                <w:color w:val="000000"/>
                <w:sz w:val="16"/>
                <w:szCs w:val="16"/>
                <w:vertAlign w:val="subscript"/>
              </w:rPr>
              <w:t>X</w:t>
            </w:r>
            <w:r>
              <w:rPr>
                <w:color w:val="000000"/>
                <w:sz w:val="16"/>
                <w:szCs w:val="16"/>
              </w:rPr>
              <w:t xml:space="preserve"> and SO</w:t>
            </w:r>
            <w:r w:rsidRPr="00FF2B1E">
              <w:rPr>
                <w:color w:val="000000"/>
                <w:sz w:val="16"/>
                <w:szCs w:val="16"/>
                <w:vertAlign w:val="subscript"/>
              </w:rPr>
              <w:t>2</w:t>
            </w:r>
            <w:r>
              <w:rPr>
                <w:color w:val="000000"/>
                <w:sz w:val="16"/>
                <w:szCs w:val="16"/>
              </w:rPr>
              <w:t>).</w:t>
            </w:r>
          </w:p>
          <w:p w:rsidR="00A56796" w:rsidRPr="005C0768" w:rsidRDefault="00A56796" w:rsidP="00A56796">
            <w:pPr>
              <w:numPr>
                <w:ilvl w:val="0"/>
                <w:numId w:val="16"/>
              </w:numPr>
              <w:tabs>
                <w:tab w:val="clear" w:pos="1080"/>
                <w:tab w:val="num" w:pos="342"/>
              </w:tabs>
              <w:autoSpaceDE w:val="0"/>
              <w:autoSpaceDN w:val="0"/>
              <w:adjustRightInd w:val="0"/>
              <w:spacing w:after="20"/>
              <w:ind w:left="342" w:hanging="328"/>
              <w:rPr>
                <w:color w:val="000000"/>
                <w:sz w:val="16"/>
                <w:szCs w:val="16"/>
              </w:rPr>
            </w:pPr>
            <w:r>
              <w:rPr>
                <w:color w:val="000000"/>
                <w:sz w:val="16"/>
                <w:szCs w:val="16"/>
              </w:rPr>
              <w:t>F</w:t>
            </w:r>
            <w:r w:rsidRPr="005C0768">
              <w:rPr>
                <w:color w:val="000000"/>
                <w:sz w:val="16"/>
                <w:szCs w:val="16"/>
              </w:rPr>
              <w:t xml:space="preserve">ederal SER of 75,000 TPY for GHG </w:t>
            </w:r>
            <w:r>
              <w:rPr>
                <w:color w:val="000000"/>
                <w:sz w:val="16"/>
                <w:szCs w:val="16"/>
              </w:rPr>
              <w:t>(</w:t>
            </w:r>
            <w:r w:rsidRPr="005C0768">
              <w:rPr>
                <w:color w:val="000000"/>
                <w:sz w:val="16"/>
                <w:szCs w:val="16"/>
              </w:rPr>
              <w:t>as CO</w:t>
            </w:r>
            <w:r w:rsidRPr="00A90686">
              <w:rPr>
                <w:color w:val="000000"/>
                <w:sz w:val="16"/>
                <w:szCs w:val="16"/>
                <w:vertAlign w:val="subscript"/>
              </w:rPr>
              <w:t>2</w:t>
            </w:r>
            <w:r w:rsidRPr="005C0768">
              <w:rPr>
                <w:color w:val="000000"/>
                <w:sz w:val="14"/>
                <w:szCs w:val="16"/>
              </w:rPr>
              <w:t>e</w:t>
            </w:r>
            <w:r>
              <w:rPr>
                <w:color w:val="000000"/>
                <w:sz w:val="16"/>
                <w:szCs w:val="16"/>
              </w:rPr>
              <w:t>) for PSD sources</w:t>
            </w:r>
            <w:r w:rsidRPr="005C0768">
              <w:rPr>
                <w:color w:val="000000"/>
                <w:sz w:val="16"/>
                <w:szCs w:val="16"/>
              </w:rPr>
              <w:t xml:space="preserve"> </w:t>
            </w:r>
            <w:r>
              <w:rPr>
                <w:color w:val="000000"/>
                <w:sz w:val="16"/>
                <w:szCs w:val="16"/>
              </w:rPr>
              <w:t xml:space="preserve">and </w:t>
            </w:r>
            <w:r w:rsidRPr="005C0768">
              <w:rPr>
                <w:color w:val="000000"/>
                <w:sz w:val="16"/>
                <w:szCs w:val="16"/>
              </w:rPr>
              <w:t>ha</w:t>
            </w:r>
            <w:r>
              <w:rPr>
                <w:color w:val="000000"/>
                <w:sz w:val="16"/>
                <w:szCs w:val="16"/>
              </w:rPr>
              <w:t xml:space="preserve">s </w:t>
            </w:r>
            <w:r w:rsidRPr="005C0768">
              <w:rPr>
                <w:color w:val="000000"/>
                <w:sz w:val="16"/>
                <w:szCs w:val="16"/>
              </w:rPr>
              <w:t xml:space="preserve">not been incorporated into Department rules. </w:t>
            </w:r>
          </w:p>
        </w:tc>
      </w:tr>
    </w:tbl>
    <w:p w:rsidR="00ED3873" w:rsidRDefault="00ED3873" w:rsidP="00ED3873">
      <w:pPr>
        <w:widowControl w:val="0"/>
        <w:spacing w:before="120" w:after="120"/>
        <w:rPr>
          <w:rFonts w:eastAsia="Calibri"/>
          <w:sz w:val="22"/>
          <w:szCs w:val="22"/>
        </w:rPr>
      </w:pPr>
      <w:r>
        <w:rPr>
          <w:rFonts w:eastAsia="Calibri"/>
          <w:sz w:val="22"/>
          <w:szCs w:val="22"/>
        </w:rPr>
        <w:t>According to 40 CFR 52.21, six greenhouse gases (</w:t>
      </w:r>
      <w:r w:rsidRPr="00ED735F">
        <w:rPr>
          <w:rFonts w:eastAsia="Calibri"/>
          <w:sz w:val="22"/>
          <w:szCs w:val="22"/>
        </w:rPr>
        <w:t>GHG</w:t>
      </w:r>
      <w:r>
        <w:rPr>
          <w:rFonts w:eastAsia="Calibri"/>
          <w:sz w:val="22"/>
          <w:szCs w:val="22"/>
        </w:rPr>
        <w:t>),</w:t>
      </w:r>
      <w:r w:rsidRPr="00ED735F">
        <w:rPr>
          <w:rFonts w:eastAsia="Calibri"/>
          <w:sz w:val="22"/>
          <w:szCs w:val="22"/>
        </w:rPr>
        <w:t xml:space="preserve"> </w:t>
      </w:r>
      <w:r>
        <w:rPr>
          <w:rFonts w:eastAsia="Calibri"/>
          <w:sz w:val="22"/>
          <w:szCs w:val="22"/>
        </w:rPr>
        <w:t xml:space="preserve">are </w:t>
      </w:r>
      <w:r w:rsidRPr="00ED735F">
        <w:rPr>
          <w:rFonts w:eastAsia="Calibri"/>
          <w:sz w:val="22"/>
          <w:szCs w:val="22"/>
        </w:rPr>
        <w:t>also subject to regulation</w:t>
      </w:r>
      <w:r>
        <w:rPr>
          <w:rFonts w:eastAsia="Calibri"/>
          <w:sz w:val="22"/>
          <w:szCs w:val="22"/>
        </w:rPr>
        <w:t xml:space="preserve"> a</w:t>
      </w:r>
      <w:r w:rsidRPr="00ED735F">
        <w:rPr>
          <w:rFonts w:eastAsia="Calibri"/>
          <w:sz w:val="22"/>
          <w:szCs w:val="22"/>
        </w:rPr>
        <w:t>t new stationary source</w:t>
      </w:r>
      <w:r>
        <w:rPr>
          <w:rFonts w:eastAsia="Calibri"/>
          <w:sz w:val="22"/>
          <w:szCs w:val="22"/>
        </w:rPr>
        <w:t>s</w:t>
      </w:r>
      <w:r w:rsidRPr="00ED735F">
        <w:rPr>
          <w:rFonts w:eastAsia="Calibri"/>
          <w:sz w:val="22"/>
          <w:szCs w:val="22"/>
        </w:rPr>
        <w:t xml:space="preserve"> that will emit or have the potential to emit 100,000 t</w:t>
      </w:r>
      <w:r>
        <w:rPr>
          <w:rFonts w:eastAsia="Calibri"/>
          <w:sz w:val="22"/>
          <w:szCs w:val="22"/>
        </w:rPr>
        <w:t xml:space="preserve">ons/year </w:t>
      </w:r>
      <w:r w:rsidR="00216D1B">
        <w:rPr>
          <w:rFonts w:eastAsia="Calibri"/>
          <w:sz w:val="22"/>
          <w:szCs w:val="22"/>
        </w:rPr>
        <w:t xml:space="preserve">or more, or a modification at a major GHG facility  with a significant Emission Increase (SER) of </w:t>
      </w:r>
      <w:r>
        <w:rPr>
          <w:rFonts w:eastAsia="Calibri"/>
          <w:sz w:val="22"/>
          <w:szCs w:val="22"/>
        </w:rPr>
        <w:t>75,000 tons/year</w:t>
      </w:r>
      <w:r w:rsidR="00216D1B">
        <w:rPr>
          <w:rFonts w:eastAsia="Calibri"/>
          <w:sz w:val="22"/>
          <w:szCs w:val="22"/>
        </w:rPr>
        <w:t xml:space="preserve"> or more</w:t>
      </w:r>
      <w:r>
        <w:rPr>
          <w:rFonts w:eastAsia="Calibri"/>
          <w:sz w:val="22"/>
          <w:szCs w:val="22"/>
        </w:rPr>
        <w:t xml:space="preserve"> expressed as the carbon dioxide equivalent emissions (</w:t>
      </w:r>
      <w:r w:rsidRPr="00ED735F">
        <w:rPr>
          <w:rFonts w:eastAsia="Calibri"/>
          <w:sz w:val="22"/>
          <w:szCs w:val="22"/>
        </w:rPr>
        <w:t>CO</w:t>
      </w:r>
      <w:r w:rsidRPr="00ED735F">
        <w:rPr>
          <w:rFonts w:eastAsia="Calibri"/>
          <w:sz w:val="22"/>
          <w:szCs w:val="22"/>
          <w:vertAlign w:val="subscript"/>
        </w:rPr>
        <w:t>2</w:t>
      </w:r>
      <w:r w:rsidRPr="00ED735F">
        <w:rPr>
          <w:rFonts w:eastAsia="Calibri"/>
          <w:sz w:val="22"/>
          <w:szCs w:val="22"/>
        </w:rPr>
        <w:t>e</w:t>
      </w:r>
      <w:r>
        <w:rPr>
          <w:rFonts w:eastAsia="Calibri"/>
          <w:sz w:val="22"/>
          <w:szCs w:val="22"/>
        </w:rPr>
        <w:t xml:space="preserve">).  This requirement </w:t>
      </w:r>
      <w:r w:rsidRPr="00ED735F">
        <w:rPr>
          <w:rFonts w:eastAsia="Calibri"/>
          <w:sz w:val="22"/>
          <w:szCs w:val="22"/>
        </w:rPr>
        <w:t>has not been incorporated into Department rules</w:t>
      </w:r>
      <w:r>
        <w:rPr>
          <w:rFonts w:eastAsia="Calibri"/>
          <w:sz w:val="22"/>
          <w:szCs w:val="22"/>
        </w:rPr>
        <w:t xml:space="preserve"> but is a separate requirement of the EPA.  </w:t>
      </w:r>
    </w:p>
    <w:p w:rsidR="007266C7" w:rsidRPr="00AB10A9" w:rsidRDefault="00193F10" w:rsidP="00DB52EE">
      <w:pPr>
        <w:pStyle w:val="ListParagraph"/>
        <w:numPr>
          <w:ilvl w:val="1"/>
          <w:numId w:val="13"/>
        </w:numPr>
        <w:spacing w:before="120" w:after="120" w:line="240" w:lineRule="auto"/>
        <w:ind w:left="720" w:hanging="720"/>
        <w:contextualSpacing w:val="0"/>
        <w:rPr>
          <w:rFonts w:ascii="Times New Roman" w:hAnsi="Times New Roman" w:cs="Times New Roman"/>
          <w:b/>
        </w:rPr>
      </w:pPr>
      <w:r w:rsidRPr="00AB10A9">
        <w:rPr>
          <w:rFonts w:ascii="Times New Roman" w:hAnsi="Times New Roman" w:cs="Times New Roman"/>
          <w:b/>
        </w:rPr>
        <w:t>PSD Applicability for Project</w:t>
      </w:r>
    </w:p>
    <w:p w:rsidR="00AB10A9" w:rsidRDefault="004665E5" w:rsidP="004D1D9F">
      <w:pPr>
        <w:widowControl w:val="0"/>
        <w:spacing w:before="120" w:after="120"/>
        <w:rPr>
          <w:sz w:val="22"/>
          <w:szCs w:val="22"/>
        </w:rPr>
      </w:pPr>
      <w:r w:rsidRPr="000D2E5C">
        <w:rPr>
          <w:sz w:val="22"/>
          <w:szCs w:val="22"/>
        </w:rPr>
        <w:t>The project is located in</w:t>
      </w:r>
      <w:r>
        <w:rPr>
          <w:sz w:val="22"/>
          <w:szCs w:val="22"/>
        </w:rPr>
        <w:t xml:space="preserve"> </w:t>
      </w:r>
      <w:r w:rsidR="00A93DE0">
        <w:rPr>
          <w:sz w:val="22"/>
          <w:szCs w:val="22"/>
        </w:rPr>
        <w:t>Duval</w:t>
      </w:r>
      <w:r>
        <w:rPr>
          <w:sz w:val="22"/>
          <w:szCs w:val="22"/>
        </w:rPr>
        <w:t xml:space="preserve"> </w:t>
      </w:r>
      <w:r w:rsidRPr="000D2E5C">
        <w:rPr>
          <w:sz w:val="22"/>
          <w:szCs w:val="22"/>
        </w:rPr>
        <w:t xml:space="preserve">County which is in an area that is currently in attainment with the </w:t>
      </w:r>
      <w:r>
        <w:rPr>
          <w:sz w:val="22"/>
          <w:szCs w:val="22"/>
        </w:rPr>
        <w:t>AAQS</w:t>
      </w:r>
      <w:r w:rsidRPr="000D2E5C">
        <w:rPr>
          <w:sz w:val="22"/>
          <w:szCs w:val="22"/>
        </w:rPr>
        <w:t xml:space="preserve"> </w:t>
      </w:r>
      <w:r>
        <w:rPr>
          <w:sz w:val="22"/>
          <w:szCs w:val="22"/>
        </w:rPr>
        <w:t xml:space="preserve">or is </w:t>
      </w:r>
      <w:r w:rsidRPr="000D2E5C">
        <w:rPr>
          <w:sz w:val="22"/>
          <w:szCs w:val="22"/>
        </w:rPr>
        <w:t xml:space="preserve">otherwise designated as unclassifiable.  </w:t>
      </w:r>
      <w:r w:rsidR="00AB10A9">
        <w:rPr>
          <w:sz w:val="22"/>
          <w:szCs w:val="22"/>
        </w:rPr>
        <w:t>According to the applicant, t</w:t>
      </w:r>
      <w:r>
        <w:rPr>
          <w:sz w:val="22"/>
          <w:szCs w:val="22"/>
        </w:rPr>
        <w:t xml:space="preserve">he proposed project </w:t>
      </w:r>
      <w:r w:rsidR="00A93DE0">
        <w:rPr>
          <w:sz w:val="22"/>
          <w:szCs w:val="22"/>
        </w:rPr>
        <w:t xml:space="preserve">is not expected to increase </w:t>
      </w:r>
      <w:r>
        <w:rPr>
          <w:sz w:val="22"/>
          <w:szCs w:val="22"/>
        </w:rPr>
        <w:t>emissions for any PSD pollutant</w:t>
      </w:r>
      <w:r w:rsidR="00A93DE0">
        <w:rPr>
          <w:sz w:val="22"/>
          <w:szCs w:val="22"/>
        </w:rPr>
        <w:t>. The Department will address PSD preconstruction review below.</w:t>
      </w:r>
    </w:p>
    <w:p w:rsidR="00193F10" w:rsidRPr="00AB10A9" w:rsidRDefault="00617209" w:rsidP="00AB10A9">
      <w:pPr>
        <w:pStyle w:val="ListParagraph"/>
        <w:numPr>
          <w:ilvl w:val="0"/>
          <w:numId w:val="13"/>
        </w:numPr>
        <w:spacing w:after="120"/>
        <w:ind w:left="720" w:hanging="720"/>
        <w:contextualSpacing w:val="0"/>
        <w:rPr>
          <w:rFonts w:ascii="Times New Roman" w:hAnsi="Times New Roman" w:cs="Times New Roman"/>
          <w:b/>
          <w:caps/>
        </w:rPr>
      </w:pPr>
      <w:r w:rsidRPr="00AB10A9">
        <w:rPr>
          <w:rFonts w:ascii="Times New Roman" w:hAnsi="Times New Roman" w:cs="Times New Roman"/>
          <w:b/>
          <w:caps/>
        </w:rPr>
        <w:t>Department review</w:t>
      </w:r>
    </w:p>
    <w:p w:rsidR="00BD7381" w:rsidRPr="00892E5D" w:rsidRDefault="003A2119" w:rsidP="002D07D2">
      <w:pPr>
        <w:pStyle w:val="BodyText"/>
        <w:widowControl w:val="0"/>
        <w:tabs>
          <w:tab w:val="left" w:pos="720"/>
        </w:tabs>
        <w:spacing w:after="60"/>
        <w:rPr>
          <w:color w:val="000000"/>
          <w:sz w:val="22"/>
          <w:szCs w:val="22"/>
        </w:rPr>
      </w:pPr>
      <w:r>
        <w:rPr>
          <w:b/>
          <w:sz w:val="22"/>
        </w:rPr>
        <w:t>3.1</w:t>
      </w:r>
      <w:r w:rsidR="00F97E34" w:rsidRPr="00FD0E33">
        <w:rPr>
          <w:b/>
          <w:sz w:val="22"/>
        </w:rPr>
        <w:t>.</w:t>
      </w:r>
      <w:r w:rsidR="00F97E34">
        <w:rPr>
          <w:sz w:val="22"/>
        </w:rPr>
        <w:t xml:space="preserve"> </w:t>
      </w:r>
      <w:r>
        <w:rPr>
          <w:sz w:val="22"/>
        </w:rPr>
        <w:t xml:space="preserve"> </w:t>
      </w:r>
      <w:r w:rsidR="002D07D2">
        <w:rPr>
          <w:sz w:val="22"/>
        </w:rPr>
        <w:tab/>
      </w:r>
      <w:r w:rsidR="00F97E34" w:rsidRPr="006D3172">
        <w:rPr>
          <w:b/>
          <w:sz w:val="22"/>
        </w:rPr>
        <w:t>No. 4 Glass Melting Furnace:</w:t>
      </w:r>
      <w:r w:rsidR="00A95330">
        <w:rPr>
          <w:sz w:val="22"/>
        </w:rPr>
        <w:t xml:space="preserve"> </w:t>
      </w:r>
      <w:r w:rsidR="00F97E34" w:rsidRPr="00892E5D">
        <w:rPr>
          <w:sz w:val="22"/>
          <w:szCs w:val="22"/>
        </w:rPr>
        <w:t>F</w:t>
      </w:r>
      <w:r w:rsidR="00AB10A9" w:rsidRPr="00892E5D">
        <w:rPr>
          <w:sz w:val="22"/>
          <w:szCs w:val="22"/>
        </w:rPr>
        <w:t xml:space="preserve">inal Air Construction Permit No. </w:t>
      </w:r>
      <w:r w:rsidR="00F97E34" w:rsidRPr="00892E5D">
        <w:rPr>
          <w:sz w:val="22"/>
          <w:szCs w:val="22"/>
        </w:rPr>
        <w:t>0310005-012</w:t>
      </w:r>
      <w:r w:rsidR="00AB10A9" w:rsidRPr="00892E5D">
        <w:rPr>
          <w:sz w:val="22"/>
          <w:szCs w:val="22"/>
        </w:rPr>
        <w:t>-</w:t>
      </w:r>
      <w:r w:rsidR="004318F9" w:rsidRPr="00892E5D">
        <w:rPr>
          <w:sz w:val="22"/>
          <w:szCs w:val="22"/>
        </w:rPr>
        <w:t xml:space="preserve">AC </w:t>
      </w:r>
      <w:r w:rsidR="00AB10A9" w:rsidRPr="00892E5D">
        <w:rPr>
          <w:sz w:val="22"/>
          <w:szCs w:val="22"/>
        </w:rPr>
        <w:t>w</w:t>
      </w:r>
      <w:r w:rsidR="00F97E34" w:rsidRPr="00892E5D">
        <w:rPr>
          <w:sz w:val="22"/>
          <w:szCs w:val="22"/>
        </w:rPr>
        <w:t>as</w:t>
      </w:r>
      <w:r w:rsidR="00A61F6A" w:rsidRPr="00892E5D">
        <w:rPr>
          <w:sz w:val="22"/>
          <w:szCs w:val="22"/>
        </w:rPr>
        <w:t xml:space="preserve"> </w:t>
      </w:r>
      <w:r w:rsidR="00FC3106" w:rsidRPr="00892E5D">
        <w:rPr>
          <w:sz w:val="22"/>
          <w:szCs w:val="22"/>
        </w:rPr>
        <w:t xml:space="preserve">issued on </w:t>
      </w:r>
      <w:r w:rsidR="00F97E34" w:rsidRPr="00892E5D">
        <w:rPr>
          <w:sz w:val="22"/>
          <w:szCs w:val="22"/>
        </w:rPr>
        <w:t xml:space="preserve">August 5, 2011 as an after the fact permit for modifications made to the </w:t>
      </w:r>
      <w:r>
        <w:rPr>
          <w:sz w:val="22"/>
          <w:szCs w:val="22"/>
        </w:rPr>
        <w:t>No. 4 Glass Melting Furnace</w:t>
      </w:r>
      <w:r w:rsidR="00F97E34" w:rsidRPr="00892E5D">
        <w:rPr>
          <w:sz w:val="22"/>
          <w:szCs w:val="22"/>
        </w:rPr>
        <w:t xml:space="preserve"> in 2009. </w:t>
      </w:r>
      <w:r w:rsidR="00F97E34" w:rsidRPr="00892E5D">
        <w:rPr>
          <w:color w:val="000000"/>
          <w:sz w:val="22"/>
          <w:szCs w:val="22"/>
        </w:rPr>
        <w:t xml:space="preserve"> The project included the complete replacement of the furnace glass contact and superstructure refractory bricks; the rearrangement of the furnace regenerator system from 4 passes to 2 passes; the relocation of the furnace binding steel to allow installation of additional insulation; widening of the combustion air ports; and changes in the furnace superstructure to allow future installation of oxy/fuel burners.</w:t>
      </w:r>
      <w:r w:rsidR="00FC3106" w:rsidRPr="00892E5D">
        <w:rPr>
          <w:sz w:val="22"/>
          <w:szCs w:val="22"/>
        </w:rPr>
        <w:t xml:space="preserve">  </w:t>
      </w:r>
      <w:r w:rsidR="00FD0E33" w:rsidRPr="00892E5D">
        <w:rPr>
          <w:color w:val="000000"/>
          <w:sz w:val="22"/>
          <w:szCs w:val="22"/>
        </w:rPr>
        <w:t>Not disclosed to the Permitting Authority, at the time of the application for permit No. 0310005-012-AC and additional information submitted regarding that applicat</w:t>
      </w:r>
      <w:r>
        <w:rPr>
          <w:color w:val="000000"/>
          <w:sz w:val="22"/>
          <w:szCs w:val="22"/>
        </w:rPr>
        <w:t>i</w:t>
      </w:r>
      <w:r w:rsidR="00FD0E33" w:rsidRPr="00892E5D">
        <w:rPr>
          <w:color w:val="000000"/>
          <w:sz w:val="22"/>
          <w:szCs w:val="22"/>
        </w:rPr>
        <w:t xml:space="preserve">on, was that the burner tips configuration were changed from four burner tips (two per side) rated at 21 MMBtu per hour each to six burner tips (three per side) rated at 11 MMBtu per hour each. </w:t>
      </w:r>
    </w:p>
    <w:p w:rsidR="00BD7381" w:rsidRPr="00892E5D" w:rsidRDefault="00BD7381" w:rsidP="00DB52EE">
      <w:pPr>
        <w:pStyle w:val="BodyText"/>
        <w:widowControl w:val="0"/>
        <w:spacing w:after="60"/>
        <w:rPr>
          <w:color w:val="000000"/>
          <w:sz w:val="22"/>
          <w:szCs w:val="22"/>
        </w:rPr>
      </w:pPr>
    </w:p>
    <w:p w:rsidR="00F84BBA" w:rsidRPr="00892E5D" w:rsidRDefault="00BD7381" w:rsidP="00DB52EE">
      <w:pPr>
        <w:pStyle w:val="BodyText"/>
        <w:widowControl w:val="0"/>
        <w:spacing w:after="60"/>
        <w:rPr>
          <w:color w:val="000000"/>
          <w:sz w:val="22"/>
          <w:szCs w:val="22"/>
        </w:rPr>
      </w:pPr>
      <w:r w:rsidRPr="00892E5D">
        <w:rPr>
          <w:color w:val="000000"/>
          <w:sz w:val="22"/>
          <w:szCs w:val="22"/>
        </w:rPr>
        <w:t>The Department has reviewed the information regarding the issuance of permit No. 0310005-012-AC</w:t>
      </w:r>
      <w:r w:rsidR="00FE43AC">
        <w:rPr>
          <w:color w:val="000000"/>
          <w:sz w:val="22"/>
          <w:szCs w:val="22"/>
        </w:rPr>
        <w:t>.</w:t>
      </w:r>
      <w:r w:rsidRPr="00892E5D">
        <w:rPr>
          <w:color w:val="000000"/>
          <w:sz w:val="22"/>
          <w:szCs w:val="22"/>
        </w:rPr>
        <w:t xml:space="preserve"> </w:t>
      </w:r>
      <w:r w:rsidR="00FE43AC">
        <w:rPr>
          <w:color w:val="000000"/>
          <w:sz w:val="22"/>
          <w:szCs w:val="22"/>
        </w:rPr>
        <w:t>N</w:t>
      </w:r>
      <w:r w:rsidRPr="003A2119">
        <w:rPr>
          <w:b/>
          <w:color w:val="000000"/>
          <w:sz w:val="22"/>
          <w:szCs w:val="22"/>
        </w:rPr>
        <w:t>ow also includ</w:t>
      </w:r>
      <w:r w:rsidR="00007C49" w:rsidRPr="003A2119">
        <w:rPr>
          <w:b/>
          <w:color w:val="000000"/>
          <w:sz w:val="22"/>
          <w:szCs w:val="22"/>
        </w:rPr>
        <w:t>ed</w:t>
      </w:r>
      <w:r w:rsidRPr="003A2119">
        <w:rPr>
          <w:b/>
          <w:color w:val="000000"/>
          <w:sz w:val="22"/>
          <w:szCs w:val="22"/>
        </w:rPr>
        <w:t xml:space="preserve"> in the review</w:t>
      </w:r>
      <w:r w:rsidRPr="00892E5D">
        <w:rPr>
          <w:color w:val="000000"/>
          <w:sz w:val="22"/>
          <w:szCs w:val="22"/>
        </w:rPr>
        <w:t xml:space="preserve"> </w:t>
      </w:r>
      <w:r w:rsidR="00FE43AC">
        <w:rPr>
          <w:color w:val="000000"/>
          <w:sz w:val="22"/>
          <w:szCs w:val="22"/>
        </w:rPr>
        <w:t xml:space="preserve">is </w:t>
      </w:r>
      <w:r w:rsidRPr="00892E5D">
        <w:rPr>
          <w:color w:val="000000"/>
          <w:sz w:val="22"/>
          <w:szCs w:val="22"/>
        </w:rPr>
        <w:t>the change of the burner tips configuration. Rule applicability changes including New Source Performance Standards (NSPS), National Emission Standards for Hazardous Air Pollutants (NESHAP), and Prevention of Significant Deterioration (PSD) were again reviewed to determine if a different conclusion would be determined in light of the change in burner tip configuration change. The Department arrived at the same conclusions as the original determinations regarding the above referenced rule applicability (i.e., NSPS and NESHAPS applicability was not determined as applicable by the changes made, and PSD significant emission rates (SER) and significant net emiss</w:t>
      </w:r>
      <w:r w:rsidR="0045745F">
        <w:rPr>
          <w:color w:val="000000"/>
          <w:sz w:val="22"/>
          <w:szCs w:val="22"/>
        </w:rPr>
        <w:t>i</w:t>
      </w:r>
      <w:r w:rsidRPr="00892E5D">
        <w:rPr>
          <w:color w:val="000000"/>
          <w:sz w:val="22"/>
          <w:szCs w:val="22"/>
        </w:rPr>
        <w:t xml:space="preserve">on increases </w:t>
      </w:r>
      <w:r w:rsidR="00086F09" w:rsidRPr="00892E5D">
        <w:rPr>
          <w:color w:val="000000"/>
          <w:sz w:val="22"/>
          <w:szCs w:val="22"/>
        </w:rPr>
        <w:t>threshold</w:t>
      </w:r>
      <w:r w:rsidRPr="00892E5D">
        <w:rPr>
          <w:color w:val="000000"/>
          <w:sz w:val="22"/>
          <w:szCs w:val="22"/>
        </w:rPr>
        <w:t xml:space="preserve"> were not exceeded.</w:t>
      </w:r>
    </w:p>
    <w:p w:rsidR="00F84BBA" w:rsidRPr="00892E5D" w:rsidRDefault="00F84BBA" w:rsidP="00DB52EE">
      <w:pPr>
        <w:pStyle w:val="BodyText"/>
        <w:widowControl w:val="0"/>
        <w:spacing w:after="60"/>
        <w:rPr>
          <w:color w:val="000000"/>
          <w:sz w:val="22"/>
          <w:szCs w:val="22"/>
        </w:rPr>
      </w:pPr>
    </w:p>
    <w:p w:rsidR="00F84BBA" w:rsidRDefault="00F84BBA" w:rsidP="00DB52EE">
      <w:pPr>
        <w:pStyle w:val="BodyText"/>
        <w:widowControl w:val="0"/>
        <w:spacing w:after="60"/>
        <w:rPr>
          <w:color w:val="000000"/>
          <w:szCs w:val="22"/>
        </w:rPr>
      </w:pPr>
      <w:r w:rsidRPr="00892E5D">
        <w:rPr>
          <w:color w:val="000000"/>
          <w:sz w:val="22"/>
          <w:szCs w:val="22"/>
        </w:rPr>
        <w:t>In light of the above review the following changes are required in permit No. 0310005-012-AC:</w:t>
      </w:r>
    </w:p>
    <w:p w:rsidR="00F84BBA" w:rsidRDefault="00F84BBA" w:rsidP="00DB52EE">
      <w:pPr>
        <w:pStyle w:val="BodyText"/>
        <w:widowControl w:val="0"/>
        <w:spacing w:after="60"/>
        <w:rPr>
          <w:color w:val="000000"/>
          <w:szCs w:val="22"/>
        </w:rPr>
      </w:pPr>
    </w:p>
    <w:p w:rsidR="00E40A95" w:rsidRDefault="00F84BBA" w:rsidP="003A2119">
      <w:pPr>
        <w:pStyle w:val="BodyText"/>
        <w:widowControl w:val="0"/>
        <w:tabs>
          <w:tab w:val="left" w:pos="720"/>
        </w:tabs>
        <w:spacing w:after="60"/>
        <w:rPr>
          <w:b/>
          <w:bCs/>
          <w:sz w:val="22"/>
          <w:szCs w:val="22"/>
        </w:rPr>
      </w:pPr>
      <w:r>
        <w:rPr>
          <w:color w:val="000000"/>
          <w:szCs w:val="22"/>
        </w:rPr>
        <w:t xml:space="preserve"> </w:t>
      </w:r>
      <w:r w:rsidR="003A2119">
        <w:rPr>
          <w:color w:val="000000"/>
          <w:szCs w:val="22"/>
        </w:rPr>
        <w:t xml:space="preserve"> </w:t>
      </w:r>
      <w:r w:rsidR="003A2119">
        <w:rPr>
          <w:color w:val="000000"/>
          <w:szCs w:val="22"/>
        </w:rPr>
        <w:tab/>
      </w:r>
      <w:r w:rsidR="00E40A95">
        <w:rPr>
          <w:b/>
          <w:bCs/>
          <w:sz w:val="22"/>
          <w:szCs w:val="22"/>
        </w:rPr>
        <w:t>Subsection A. Project and Facility Description (Paragraph 1)</w:t>
      </w:r>
    </w:p>
    <w:p w:rsidR="00E40A95" w:rsidRDefault="00E40A95" w:rsidP="00DB52EE">
      <w:pPr>
        <w:pStyle w:val="BodyText"/>
        <w:widowControl w:val="0"/>
        <w:spacing w:after="60"/>
        <w:rPr>
          <w:b/>
          <w:bCs/>
          <w:sz w:val="22"/>
          <w:szCs w:val="22"/>
        </w:rPr>
      </w:pPr>
    </w:p>
    <w:p w:rsidR="00E40A95" w:rsidRDefault="00E40A95" w:rsidP="00E40A95">
      <w:pPr>
        <w:pStyle w:val="BodyText"/>
        <w:widowControl w:val="0"/>
        <w:spacing w:after="0"/>
        <w:rPr>
          <w:color w:val="000000"/>
          <w:szCs w:val="22"/>
        </w:rPr>
      </w:pPr>
      <w:r w:rsidRPr="00E40A95">
        <w:rPr>
          <w:b/>
          <w:bCs/>
          <w:sz w:val="22"/>
          <w:szCs w:val="22"/>
        </w:rPr>
        <w:t>From:</w:t>
      </w:r>
      <w:r>
        <w:rPr>
          <w:b/>
          <w:bCs/>
          <w:sz w:val="22"/>
          <w:szCs w:val="22"/>
        </w:rPr>
        <w:t xml:space="preserve"> </w:t>
      </w:r>
      <w:r>
        <w:rPr>
          <w:rFonts w:ascii="TimesNewRomanPSMT" w:hAnsi="TimesNewRomanPSMT" w:cs="TimesNewRomanPSMT"/>
          <w:sz w:val="22"/>
          <w:szCs w:val="22"/>
        </w:rPr>
        <w:t>This permit is for the modification of Glass Melting Furnace No. 4. The project includes the complete replacement of the furnace glass contact and superstructure refractory bricks; the rearrangement of the furnace regenerator system from 4 passes to 2 passes; the relocation of the furnace binding steel to allow installation of additional insulation; widening of the combustion air ports; and changes in the furnace superstructure to allow future installation of oxy/fuel burners.</w:t>
      </w:r>
    </w:p>
    <w:p w:rsidR="00E40A95" w:rsidRDefault="00E40A95" w:rsidP="00E40A95">
      <w:pPr>
        <w:pStyle w:val="BodyText"/>
        <w:widowControl w:val="0"/>
        <w:spacing w:after="0"/>
        <w:rPr>
          <w:color w:val="000000"/>
          <w:szCs w:val="22"/>
        </w:rPr>
      </w:pPr>
    </w:p>
    <w:p w:rsidR="00E40A95" w:rsidRDefault="00E40A95" w:rsidP="00E40A95">
      <w:pPr>
        <w:pStyle w:val="BodyText"/>
        <w:widowControl w:val="0"/>
        <w:spacing w:after="0"/>
        <w:rPr>
          <w:color w:val="000000"/>
          <w:szCs w:val="22"/>
        </w:rPr>
      </w:pPr>
      <w:r w:rsidRPr="00E40A95">
        <w:rPr>
          <w:b/>
          <w:color w:val="000000"/>
          <w:szCs w:val="22"/>
        </w:rPr>
        <w:t xml:space="preserve">To: </w:t>
      </w:r>
      <w:r w:rsidRPr="000A5D10">
        <w:rPr>
          <w:sz w:val="22"/>
          <w:szCs w:val="22"/>
        </w:rPr>
        <w:t>This permit is for the modification of Glass Melting Furnace No. 4. The project includes the complete replacement of the furnace glass contact and superstructure refractory bricks; the rearrangement of the furnace regenerator system from 4 passes to 2 passes</w:t>
      </w:r>
      <w:r w:rsidRPr="001977BF">
        <w:rPr>
          <w:sz w:val="22"/>
          <w:szCs w:val="22"/>
          <w:highlight w:val="yellow"/>
          <w:u w:val="double"/>
        </w:rPr>
        <w:t xml:space="preserve">; the relocation of the furnace binding steel to allow installation of </w:t>
      </w:r>
      <w:r w:rsidRPr="001977BF">
        <w:rPr>
          <w:sz w:val="22"/>
          <w:szCs w:val="22"/>
          <w:highlight w:val="yellow"/>
          <w:u w:val="double"/>
        </w:rPr>
        <w:lastRenderedPageBreak/>
        <w:t xml:space="preserve">additional insulation; widening of the combustion air ports; and changes in the furnace superstructure to allow future installation of oxy/fuel burners, and the reconfiguration of the burner tips from </w:t>
      </w:r>
      <w:r w:rsidRPr="001977BF">
        <w:rPr>
          <w:color w:val="000000"/>
          <w:sz w:val="22"/>
          <w:szCs w:val="22"/>
          <w:highlight w:val="yellow"/>
          <w:u w:val="double"/>
        </w:rPr>
        <w:t>four burner tips (two per side) rated at 21 MMBtu per hour each to six burner tips (three per side) rated at 11 MMBtu per hour each. Either burner configuration may be used depending upon operational needs of the facility.</w:t>
      </w:r>
    </w:p>
    <w:p w:rsidR="00EB72F7" w:rsidRDefault="00EB72F7" w:rsidP="00E40A95">
      <w:pPr>
        <w:pStyle w:val="BodyText"/>
        <w:widowControl w:val="0"/>
        <w:spacing w:after="0"/>
        <w:rPr>
          <w:color w:val="000000"/>
          <w:szCs w:val="22"/>
        </w:rPr>
      </w:pPr>
    </w:p>
    <w:p w:rsidR="00EB72F7" w:rsidRDefault="00EB72F7" w:rsidP="00E40A95">
      <w:pPr>
        <w:pStyle w:val="BodyText"/>
        <w:widowControl w:val="0"/>
        <w:spacing w:after="0"/>
        <w:rPr>
          <w:bCs/>
          <w:sz w:val="22"/>
          <w:szCs w:val="22"/>
        </w:rPr>
      </w:pPr>
      <w:r>
        <w:rPr>
          <w:color w:val="000000"/>
          <w:szCs w:val="22"/>
        </w:rPr>
        <w:t xml:space="preserve">A new condition under </w:t>
      </w:r>
      <w:r>
        <w:rPr>
          <w:b/>
          <w:bCs/>
          <w:sz w:val="22"/>
          <w:szCs w:val="22"/>
        </w:rPr>
        <w:t xml:space="preserve">Record-keeping and </w:t>
      </w:r>
      <w:proofErr w:type="gramStart"/>
      <w:r>
        <w:rPr>
          <w:b/>
          <w:bCs/>
          <w:sz w:val="22"/>
          <w:szCs w:val="22"/>
        </w:rPr>
        <w:t>Reporting</w:t>
      </w:r>
      <w:proofErr w:type="gramEnd"/>
      <w:r>
        <w:rPr>
          <w:b/>
          <w:bCs/>
          <w:sz w:val="22"/>
          <w:szCs w:val="22"/>
        </w:rPr>
        <w:t xml:space="preserve"> Requirements </w:t>
      </w:r>
      <w:r>
        <w:rPr>
          <w:bCs/>
          <w:sz w:val="22"/>
          <w:szCs w:val="22"/>
        </w:rPr>
        <w:t>is required as follows:</w:t>
      </w:r>
    </w:p>
    <w:p w:rsidR="00EB72F7" w:rsidRDefault="00EB72F7" w:rsidP="00E40A95">
      <w:pPr>
        <w:pStyle w:val="BodyText"/>
        <w:widowControl w:val="0"/>
        <w:spacing w:after="0"/>
        <w:rPr>
          <w:bCs/>
          <w:sz w:val="22"/>
          <w:szCs w:val="22"/>
        </w:rPr>
      </w:pPr>
    </w:p>
    <w:p w:rsidR="001977BF" w:rsidRPr="001D759B" w:rsidRDefault="001977BF" w:rsidP="001977BF">
      <w:pPr>
        <w:pStyle w:val="BodyText"/>
        <w:widowControl w:val="0"/>
        <w:spacing w:after="0"/>
        <w:ind w:left="360" w:hanging="360"/>
        <w:rPr>
          <w:color w:val="000000"/>
          <w:sz w:val="22"/>
          <w:szCs w:val="22"/>
          <w:highlight w:val="yellow"/>
          <w:u w:val="double"/>
        </w:rPr>
      </w:pPr>
      <w:r w:rsidRPr="001D759B">
        <w:rPr>
          <w:b/>
          <w:bCs/>
          <w:sz w:val="22"/>
          <w:szCs w:val="22"/>
          <w:highlight w:val="yellow"/>
          <w:u w:val="double"/>
        </w:rPr>
        <w:t>16.</w:t>
      </w:r>
      <w:r w:rsidRPr="001D759B">
        <w:rPr>
          <w:color w:val="000000"/>
          <w:sz w:val="22"/>
          <w:szCs w:val="22"/>
          <w:highlight w:val="yellow"/>
          <w:u w:val="double"/>
        </w:rPr>
        <w:t xml:space="preserve"> Notify the Permitting Authority in writing (or email at </w:t>
      </w:r>
      <w:hyperlink r:id="rId9" w:history="1">
        <w:r w:rsidRPr="001D759B">
          <w:rPr>
            <w:rStyle w:val="Hyperlink"/>
            <w:sz w:val="22"/>
            <w:szCs w:val="22"/>
            <w:highlight w:val="yellow"/>
            <w:u w:val="double"/>
          </w:rPr>
          <w:t>john.d.phillips@dep.state.fl.us</w:t>
        </w:r>
      </w:hyperlink>
      <w:r w:rsidRPr="001D759B">
        <w:rPr>
          <w:color w:val="000000"/>
          <w:sz w:val="22"/>
          <w:szCs w:val="22"/>
          <w:highlight w:val="yellow"/>
          <w:u w:val="double"/>
        </w:rPr>
        <w:t xml:space="preserve">) a minimum of seven days prior to reconfiguration of the burner tips. It is noted that the burner tip reconfiguration may be changed to either configuration described in </w:t>
      </w:r>
      <w:r w:rsidRPr="001D759B">
        <w:rPr>
          <w:b/>
          <w:bCs/>
          <w:sz w:val="22"/>
          <w:szCs w:val="22"/>
          <w:highlight w:val="yellow"/>
          <w:u w:val="double"/>
        </w:rPr>
        <w:t>Subsection A. Project and Facility Description (Paragraph 1).</w:t>
      </w:r>
    </w:p>
    <w:p w:rsidR="00EB72F7" w:rsidRPr="00900D0E" w:rsidRDefault="001977BF" w:rsidP="001977BF">
      <w:pPr>
        <w:pStyle w:val="BodyText"/>
        <w:widowControl w:val="0"/>
        <w:spacing w:after="0"/>
        <w:rPr>
          <w:color w:val="000000"/>
          <w:sz w:val="22"/>
          <w:szCs w:val="22"/>
        </w:rPr>
      </w:pPr>
      <w:r w:rsidRPr="001D759B">
        <w:rPr>
          <w:color w:val="000000"/>
          <w:sz w:val="22"/>
          <w:szCs w:val="22"/>
          <w:highlight w:val="yellow"/>
          <w:u w:val="double"/>
        </w:rPr>
        <w:t>[Rule 62-4.070(3), FAC, and Rule 2.1401, JEPB]</w:t>
      </w:r>
      <w:r w:rsidR="00A22AD8" w:rsidRPr="00900D0E">
        <w:rPr>
          <w:color w:val="000000"/>
          <w:sz w:val="22"/>
          <w:szCs w:val="22"/>
        </w:rPr>
        <w:t xml:space="preserve"> </w:t>
      </w:r>
    </w:p>
    <w:p w:rsidR="00BD7381" w:rsidRPr="00E40A95" w:rsidRDefault="00E40A95" w:rsidP="00E40A95">
      <w:pPr>
        <w:pStyle w:val="BodyText"/>
        <w:widowControl w:val="0"/>
        <w:spacing w:after="0"/>
        <w:rPr>
          <w:b/>
          <w:color w:val="000000"/>
          <w:szCs w:val="22"/>
        </w:rPr>
      </w:pPr>
      <w:r w:rsidRPr="00E40A95">
        <w:rPr>
          <w:b/>
          <w:bCs/>
          <w:sz w:val="22"/>
          <w:szCs w:val="22"/>
        </w:rPr>
        <w:t xml:space="preserve"> </w:t>
      </w:r>
      <w:r w:rsidR="00BD7381" w:rsidRPr="00E40A95">
        <w:rPr>
          <w:b/>
          <w:color w:val="000000"/>
          <w:szCs w:val="22"/>
        </w:rPr>
        <w:t xml:space="preserve">  </w:t>
      </w:r>
    </w:p>
    <w:p w:rsidR="006D3172" w:rsidRDefault="002D07D2" w:rsidP="002D07D2">
      <w:pPr>
        <w:pStyle w:val="BodyText"/>
        <w:widowControl w:val="0"/>
        <w:tabs>
          <w:tab w:val="left" w:pos="720"/>
        </w:tabs>
        <w:spacing w:after="60"/>
        <w:rPr>
          <w:color w:val="000000"/>
          <w:sz w:val="22"/>
          <w:szCs w:val="22"/>
        </w:rPr>
      </w:pPr>
      <w:r>
        <w:rPr>
          <w:b/>
          <w:sz w:val="22"/>
        </w:rPr>
        <w:t>3.2</w:t>
      </w:r>
      <w:r w:rsidR="006D3172" w:rsidRPr="00FD0E33">
        <w:rPr>
          <w:b/>
          <w:sz w:val="22"/>
        </w:rPr>
        <w:t>.</w:t>
      </w:r>
      <w:r w:rsidR="006D3172">
        <w:rPr>
          <w:sz w:val="22"/>
        </w:rPr>
        <w:t xml:space="preserve"> </w:t>
      </w:r>
      <w:r w:rsidRPr="002D07D2">
        <w:rPr>
          <w:b/>
          <w:sz w:val="22"/>
        </w:rPr>
        <w:t>A.</w:t>
      </w:r>
      <w:r>
        <w:rPr>
          <w:sz w:val="22"/>
        </w:rPr>
        <w:tab/>
      </w:r>
      <w:r w:rsidR="006D3172" w:rsidRPr="006D3172">
        <w:rPr>
          <w:b/>
          <w:sz w:val="22"/>
        </w:rPr>
        <w:t xml:space="preserve">No. </w:t>
      </w:r>
      <w:r w:rsidR="006D3172">
        <w:rPr>
          <w:b/>
          <w:sz w:val="22"/>
        </w:rPr>
        <w:t>3</w:t>
      </w:r>
      <w:r w:rsidR="006D3172" w:rsidRPr="006D3172">
        <w:rPr>
          <w:b/>
          <w:sz w:val="22"/>
        </w:rPr>
        <w:t xml:space="preserve"> Glass Melting Furnace:</w:t>
      </w:r>
      <w:r w:rsidR="006D3172">
        <w:rPr>
          <w:b/>
          <w:sz w:val="22"/>
        </w:rPr>
        <w:t xml:space="preserve"> </w:t>
      </w:r>
      <w:r w:rsidR="006D3172" w:rsidRPr="00892E5D">
        <w:rPr>
          <w:color w:val="000000"/>
          <w:sz w:val="22"/>
          <w:szCs w:val="22"/>
        </w:rPr>
        <w:t>After the fact permitting for the No. 3 Glass Melting Furnace at the Jacksonville Facility</w:t>
      </w:r>
      <w:r w:rsidR="00176ACD">
        <w:rPr>
          <w:color w:val="000000"/>
          <w:sz w:val="22"/>
          <w:szCs w:val="22"/>
        </w:rPr>
        <w:t xml:space="preserve"> -- </w:t>
      </w:r>
      <w:r w:rsidR="006D3172" w:rsidRPr="00892E5D">
        <w:rPr>
          <w:color w:val="000000"/>
          <w:sz w:val="22"/>
          <w:szCs w:val="22"/>
        </w:rPr>
        <w:t>Ardagh Glass, Inc. notified the City of Jacksonville (Permitting Authority at the time) in October 2012 of the intention to replace/repair the regenerator crown and forehearth in the No. 3 Glass Melting Furnace in November 2012. This action itself did not require an air construction permit since the air pollutant emissions would not change and the change is considered rebricking which is not considered a modification itself. Not disclosed to the Permitting Authority during the October 2012 notification w</w:t>
      </w:r>
      <w:r w:rsidR="00892E5D">
        <w:rPr>
          <w:color w:val="000000"/>
          <w:sz w:val="22"/>
          <w:szCs w:val="22"/>
        </w:rPr>
        <w:t>ere</w:t>
      </w:r>
      <w:r w:rsidR="006D3172" w:rsidRPr="00892E5D">
        <w:rPr>
          <w:color w:val="000000"/>
          <w:sz w:val="22"/>
          <w:szCs w:val="22"/>
        </w:rPr>
        <w:t xml:space="preserve"> the proposed changes to the burner tip </w:t>
      </w:r>
      <w:r w:rsidR="00086F09" w:rsidRPr="00892E5D">
        <w:rPr>
          <w:color w:val="000000"/>
          <w:sz w:val="22"/>
          <w:szCs w:val="22"/>
        </w:rPr>
        <w:t>configuration</w:t>
      </w:r>
      <w:r w:rsidR="006D3172" w:rsidRPr="00892E5D">
        <w:rPr>
          <w:color w:val="000000"/>
          <w:sz w:val="22"/>
          <w:szCs w:val="22"/>
        </w:rPr>
        <w:t xml:space="preserve"> on the No. 3 Glass Melting Furnace coinciding with the construction activity repairing/replacing the </w:t>
      </w:r>
      <w:r w:rsidR="00086F09" w:rsidRPr="00892E5D">
        <w:rPr>
          <w:color w:val="000000"/>
          <w:sz w:val="22"/>
          <w:szCs w:val="22"/>
        </w:rPr>
        <w:t>regenerator crown</w:t>
      </w:r>
      <w:r w:rsidR="006D3172" w:rsidRPr="00892E5D">
        <w:rPr>
          <w:color w:val="000000"/>
          <w:sz w:val="22"/>
          <w:szCs w:val="22"/>
        </w:rPr>
        <w:t xml:space="preserve"> and the forehearths in the No. 3 Glass Melting Furnace. The replacement of the burner tips </w:t>
      </w:r>
      <w:r w:rsidR="00086F09" w:rsidRPr="00892E5D">
        <w:rPr>
          <w:color w:val="000000"/>
          <w:sz w:val="22"/>
          <w:szCs w:val="22"/>
        </w:rPr>
        <w:t>configuration</w:t>
      </w:r>
      <w:r w:rsidR="006D3172" w:rsidRPr="00892E5D">
        <w:rPr>
          <w:color w:val="000000"/>
          <w:sz w:val="22"/>
          <w:szCs w:val="22"/>
        </w:rPr>
        <w:t xml:space="preserve"> is a physical change which requires an air construction permit.</w:t>
      </w:r>
    </w:p>
    <w:p w:rsidR="00007C49" w:rsidRDefault="00007C49" w:rsidP="00DB52EE">
      <w:pPr>
        <w:pStyle w:val="BodyText"/>
        <w:widowControl w:val="0"/>
        <w:spacing w:after="60"/>
        <w:rPr>
          <w:color w:val="000000"/>
          <w:sz w:val="22"/>
          <w:szCs w:val="22"/>
        </w:rPr>
      </w:pPr>
      <w:r w:rsidRPr="00007C49">
        <w:rPr>
          <w:b/>
          <w:color w:val="000000"/>
          <w:sz w:val="22"/>
          <w:szCs w:val="22"/>
        </w:rPr>
        <w:t>Furnace and Project Description</w:t>
      </w:r>
      <w:r>
        <w:rPr>
          <w:b/>
          <w:color w:val="000000"/>
          <w:sz w:val="22"/>
          <w:szCs w:val="22"/>
        </w:rPr>
        <w:t xml:space="preserve">: </w:t>
      </w:r>
      <w:r w:rsidRPr="00007C49">
        <w:rPr>
          <w:b/>
          <w:color w:val="000000"/>
          <w:sz w:val="22"/>
          <w:szCs w:val="22"/>
        </w:rPr>
        <w:t xml:space="preserve"> </w:t>
      </w:r>
      <w:r>
        <w:rPr>
          <w:color w:val="000000"/>
          <w:sz w:val="22"/>
          <w:szCs w:val="22"/>
        </w:rPr>
        <w:t xml:space="preserve">Glass Melting Furnace No. 3 is an existing </w:t>
      </w:r>
      <w:r>
        <w:rPr>
          <w:sz w:val="22"/>
        </w:rPr>
        <w:t>end port regenerative glass melting furnace fired by natural gas or propane</w:t>
      </w:r>
      <w:r>
        <w:rPr>
          <w:color w:val="000000"/>
          <w:sz w:val="22"/>
          <w:szCs w:val="22"/>
        </w:rPr>
        <w:t xml:space="preserve"> with a currently permitted maximum process weight rate of 14.70 tons per hour (equivalent to </w:t>
      </w:r>
      <w:r>
        <w:rPr>
          <w:sz w:val="22"/>
        </w:rPr>
        <w:t>312.26 tons per day (TPD)</w:t>
      </w:r>
      <w:r>
        <w:rPr>
          <w:color w:val="000000"/>
          <w:sz w:val="22"/>
          <w:szCs w:val="22"/>
        </w:rPr>
        <w:t xml:space="preserve"> of glass production). </w:t>
      </w:r>
    </w:p>
    <w:p w:rsidR="00007C49" w:rsidRDefault="00007C49" w:rsidP="00DB52EE">
      <w:pPr>
        <w:pStyle w:val="BodyText"/>
        <w:widowControl w:val="0"/>
        <w:spacing w:after="60"/>
        <w:rPr>
          <w:color w:val="000000"/>
          <w:sz w:val="22"/>
          <w:szCs w:val="22"/>
        </w:rPr>
      </w:pPr>
      <w:r>
        <w:rPr>
          <w:color w:val="000000"/>
          <w:sz w:val="22"/>
          <w:szCs w:val="22"/>
        </w:rPr>
        <w:t xml:space="preserve">This project involves an after the fact air construction permit for burner tip changes which were made to the furnace in December 2012 without prior notification to the permitting authority and without </w:t>
      </w:r>
      <w:r w:rsidR="00086F09">
        <w:rPr>
          <w:color w:val="000000"/>
          <w:sz w:val="22"/>
          <w:szCs w:val="22"/>
        </w:rPr>
        <w:t>application</w:t>
      </w:r>
      <w:r>
        <w:rPr>
          <w:color w:val="000000"/>
          <w:sz w:val="22"/>
          <w:szCs w:val="22"/>
        </w:rPr>
        <w:t xml:space="preserve"> for an air construction permit. The burner tip configuration prior to the change was four burner tips (two per side) rated at 21 MMBtu per hour each. It is noted that </w:t>
      </w:r>
      <w:r w:rsidR="002D07D2">
        <w:rPr>
          <w:color w:val="000000"/>
          <w:sz w:val="22"/>
          <w:szCs w:val="22"/>
        </w:rPr>
        <w:t>firing alternates periodically from side to side</w:t>
      </w:r>
      <w:r>
        <w:rPr>
          <w:color w:val="000000"/>
          <w:sz w:val="22"/>
          <w:szCs w:val="22"/>
        </w:rPr>
        <w:t xml:space="preserve">. The burner tip configuration was changed to six burner tips (three per side) rated at 15 MMBtu per hour each. It is noted that this is a potential heat capacity increase of three MMBtu per hour </w:t>
      </w:r>
      <w:r w:rsidR="00FC64C4">
        <w:rPr>
          <w:color w:val="000000"/>
          <w:sz w:val="22"/>
          <w:szCs w:val="22"/>
        </w:rPr>
        <w:t xml:space="preserve">(45 MMBtu - 42 MMBtu) </w:t>
      </w:r>
      <w:r>
        <w:rPr>
          <w:color w:val="000000"/>
          <w:sz w:val="22"/>
          <w:szCs w:val="22"/>
        </w:rPr>
        <w:t xml:space="preserve">increase which is approximately 7.1%. </w:t>
      </w:r>
      <w:r w:rsidR="00FC64C4">
        <w:rPr>
          <w:color w:val="000000"/>
          <w:sz w:val="22"/>
          <w:szCs w:val="22"/>
        </w:rPr>
        <w:t>S</w:t>
      </w:r>
      <w:r w:rsidR="00E47F6F">
        <w:rPr>
          <w:color w:val="000000"/>
          <w:sz w:val="22"/>
          <w:szCs w:val="22"/>
        </w:rPr>
        <w:t>ince furnace heat input requirements are dependent on many variables including furnace efficiency, material input quantities, product requirements, etc.</w:t>
      </w:r>
      <w:r w:rsidR="008F18EA">
        <w:rPr>
          <w:color w:val="000000"/>
          <w:sz w:val="22"/>
          <w:szCs w:val="22"/>
        </w:rPr>
        <w:t xml:space="preserve">, and the furnace is already </w:t>
      </w:r>
      <w:r w:rsidR="00086F09">
        <w:rPr>
          <w:color w:val="000000"/>
          <w:sz w:val="22"/>
          <w:szCs w:val="22"/>
        </w:rPr>
        <w:t>permitted</w:t>
      </w:r>
      <w:r w:rsidR="008F18EA">
        <w:rPr>
          <w:color w:val="000000"/>
          <w:sz w:val="22"/>
          <w:szCs w:val="22"/>
        </w:rPr>
        <w:t xml:space="preserve"> at a higher heat input capacity</w:t>
      </w:r>
      <w:r w:rsidR="002D07D2">
        <w:rPr>
          <w:color w:val="000000"/>
          <w:sz w:val="22"/>
          <w:szCs w:val="22"/>
        </w:rPr>
        <w:t xml:space="preserve">, </w:t>
      </w:r>
      <w:r w:rsidR="008F18EA">
        <w:rPr>
          <w:color w:val="000000"/>
          <w:sz w:val="22"/>
          <w:szCs w:val="22"/>
        </w:rPr>
        <w:t>the change in burner tip capacity is not considered significant.</w:t>
      </w:r>
      <w:r w:rsidR="00E47F6F">
        <w:rPr>
          <w:color w:val="000000"/>
          <w:sz w:val="22"/>
          <w:szCs w:val="22"/>
        </w:rPr>
        <w:t xml:space="preserve"> </w:t>
      </w:r>
      <w:r w:rsidR="002D07D2">
        <w:rPr>
          <w:color w:val="000000"/>
          <w:sz w:val="22"/>
          <w:szCs w:val="22"/>
        </w:rPr>
        <w:t xml:space="preserve">This change in burner tip configuration and capacity is not expected to result in additional firing of natural gas, an </w:t>
      </w:r>
      <w:r w:rsidR="00086F09">
        <w:rPr>
          <w:color w:val="000000"/>
          <w:sz w:val="22"/>
          <w:szCs w:val="22"/>
        </w:rPr>
        <w:t>increase</w:t>
      </w:r>
      <w:r w:rsidR="002D07D2">
        <w:rPr>
          <w:color w:val="000000"/>
          <w:sz w:val="22"/>
          <w:szCs w:val="22"/>
        </w:rPr>
        <w:t xml:space="preserve"> in the emission of air pollutants, nor result in an increase in the production rate of the furnace.</w:t>
      </w:r>
      <w:r>
        <w:rPr>
          <w:color w:val="000000"/>
          <w:sz w:val="22"/>
          <w:szCs w:val="22"/>
        </w:rPr>
        <w:t xml:space="preserve">   </w:t>
      </w:r>
    </w:p>
    <w:p w:rsidR="0045745F" w:rsidRDefault="00007C49" w:rsidP="00DB52EE">
      <w:pPr>
        <w:pStyle w:val="BodyText"/>
        <w:widowControl w:val="0"/>
        <w:spacing w:after="60"/>
        <w:rPr>
          <w:color w:val="000000"/>
          <w:sz w:val="22"/>
          <w:szCs w:val="22"/>
        </w:rPr>
      </w:pPr>
      <w:r>
        <w:rPr>
          <w:color w:val="000000"/>
          <w:sz w:val="22"/>
          <w:szCs w:val="22"/>
        </w:rPr>
        <w:t xml:space="preserve">The modified furnace shall </w:t>
      </w:r>
      <w:r>
        <w:rPr>
          <w:b/>
          <w:bCs/>
          <w:color w:val="000000"/>
          <w:sz w:val="22"/>
          <w:szCs w:val="22"/>
        </w:rPr>
        <w:t xml:space="preserve">not </w:t>
      </w:r>
      <w:r>
        <w:rPr>
          <w:color w:val="000000"/>
          <w:sz w:val="22"/>
          <w:szCs w:val="22"/>
        </w:rPr>
        <w:t xml:space="preserve">be subject to 40 CFR 60, Subpart CC, </w:t>
      </w:r>
      <w:r>
        <w:rPr>
          <w:color w:val="000000"/>
          <w:sz w:val="22"/>
          <w:szCs w:val="22"/>
          <w:u w:val="single"/>
        </w:rPr>
        <w:t xml:space="preserve">Standards of Performance for Glass Manufacturing Plants </w:t>
      </w:r>
      <w:r>
        <w:rPr>
          <w:color w:val="000000"/>
          <w:sz w:val="22"/>
          <w:szCs w:val="22"/>
        </w:rPr>
        <w:t xml:space="preserve">and 40 CFR 60, Subpart A, </w:t>
      </w:r>
      <w:r>
        <w:rPr>
          <w:color w:val="000000"/>
          <w:sz w:val="22"/>
          <w:szCs w:val="22"/>
          <w:u w:val="single"/>
        </w:rPr>
        <w:t>General Conditions</w:t>
      </w:r>
      <w:r>
        <w:rPr>
          <w:color w:val="000000"/>
          <w:sz w:val="22"/>
          <w:szCs w:val="22"/>
        </w:rPr>
        <w:t xml:space="preserve">, ((The existing furnace </w:t>
      </w:r>
      <w:r w:rsidR="005F6868">
        <w:rPr>
          <w:color w:val="000000"/>
          <w:sz w:val="22"/>
          <w:szCs w:val="22"/>
        </w:rPr>
        <w:t>N</w:t>
      </w:r>
      <w:r>
        <w:rPr>
          <w:color w:val="000000"/>
          <w:sz w:val="22"/>
          <w:szCs w:val="22"/>
        </w:rPr>
        <w:t xml:space="preserve">o. </w:t>
      </w:r>
      <w:r w:rsidR="00C62428">
        <w:rPr>
          <w:color w:val="000000"/>
          <w:sz w:val="22"/>
          <w:szCs w:val="22"/>
        </w:rPr>
        <w:t>3</w:t>
      </w:r>
      <w:r>
        <w:rPr>
          <w:color w:val="000000"/>
          <w:sz w:val="22"/>
          <w:szCs w:val="22"/>
        </w:rPr>
        <w:t xml:space="preserve"> was constructed before June 15, 1979 and the physical and operational changes did not result in a Particulate Matter (PM) emission rate increase (NSPS Modification, 40 CFR 60.14) or a fixed capital cost that exceeds 50 percent of the fixed capital cost that would be required to construct a comparable entirely new furnace (NSPS Reconstruction, 40 CFR 60.15))</w:t>
      </w:r>
      <w:r w:rsidR="00C62428">
        <w:rPr>
          <w:color w:val="000000"/>
          <w:sz w:val="22"/>
          <w:szCs w:val="22"/>
        </w:rPr>
        <w:t xml:space="preserve">. </w:t>
      </w:r>
      <w:r>
        <w:rPr>
          <w:color w:val="000000"/>
          <w:sz w:val="22"/>
          <w:szCs w:val="22"/>
        </w:rPr>
        <w:t xml:space="preserve"> </w:t>
      </w:r>
      <w:r w:rsidR="005F6868">
        <w:rPr>
          <w:color w:val="000000"/>
          <w:sz w:val="22"/>
          <w:szCs w:val="22"/>
        </w:rPr>
        <w:t>F</w:t>
      </w:r>
      <w:r w:rsidR="00C62428">
        <w:rPr>
          <w:color w:val="000000"/>
          <w:sz w:val="22"/>
          <w:szCs w:val="22"/>
        </w:rPr>
        <w:t xml:space="preserve">urnace </w:t>
      </w:r>
      <w:r w:rsidR="005F6868">
        <w:rPr>
          <w:color w:val="000000"/>
          <w:sz w:val="22"/>
          <w:szCs w:val="22"/>
        </w:rPr>
        <w:t xml:space="preserve">No. 3 </w:t>
      </w:r>
      <w:r w:rsidR="00C62428">
        <w:rPr>
          <w:color w:val="000000"/>
          <w:sz w:val="22"/>
          <w:szCs w:val="22"/>
        </w:rPr>
        <w:t xml:space="preserve">is not subject to </w:t>
      </w:r>
      <w:r>
        <w:rPr>
          <w:color w:val="000000"/>
          <w:sz w:val="22"/>
          <w:szCs w:val="22"/>
        </w:rPr>
        <w:t xml:space="preserve">40 CFR 61, Subpart N, </w:t>
      </w:r>
      <w:r>
        <w:rPr>
          <w:color w:val="000000"/>
          <w:sz w:val="22"/>
          <w:szCs w:val="22"/>
          <w:u w:val="single"/>
        </w:rPr>
        <w:t xml:space="preserve">National Emission Standard for Inorganic Arsenic Emissions from Glass Manufacturing Plants </w:t>
      </w:r>
      <w:r>
        <w:rPr>
          <w:color w:val="000000"/>
          <w:sz w:val="22"/>
          <w:szCs w:val="22"/>
        </w:rPr>
        <w:t xml:space="preserve">(The facility does not use commercial arsenic as a raw material) </w:t>
      </w:r>
      <w:r w:rsidR="00C62428">
        <w:rPr>
          <w:color w:val="000000"/>
          <w:sz w:val="22"/>
          <w:szCs w:val="22"/>
        </w:rPr>
        <w:t xml:space="preserve">nor to </w:t>
      </w:r>
      <w:r>
        <w:rPr>
          <w:color w:val="000000"/>
          <w:sz w:val="22"/>
          <w:szCs w:val="22"/>
        </w:rPr>
        <w:t xml:space="preserve">40 CFR 63 Subpart SSSSSS, </w:t>
      </w:r>
      <w:r>
        <w:rPr>
          <w:color w:val="000000"/>
          <w:sz w:val="22"/>
          <w:szCs w:val="22"/>
          <w:u w:val="single"/>
        </w:rPr>
        <w:t xml:space="preserve">National Emission Standards for Hazardous Air Pollutants for Glass Manufacturing Area Sources </w:t>
      </w:r>
      <w:r>
        <w:rPr>
          <w:color w:val="000000"/>
          <w:sz w:val="22"/>
          <w:szCs w:val="22"/>
        </w:rPr>
        <w:t>(The facility does not use metal HAP compounds as a raw material)</w:t>
      </w:r>
      <w:r w:rsidR="00C62428">
        <w:rPr>
          <w:color w:val="000000"/>
          <w:sz w:val="22"/>
          <w:szCs w:val="22"/>
        </w:rPr>
        <w:t>.</w:t>
      </w:r>
    </w:p>
    <w:p w:rsidR="00B81205" w:rsidRDefault="00B81205" w:rsidP="00DB52EE">
      <w:pPr>
        <w:pStyle w:val="BodyText"/>
        <w:widowControl w:val="0"/>
        <w:spacing w:after="60"/>
        <w:rPr>
          <w:b/>
          <w:color w:val="000000"/>
          <w:sz w:val="22"/>
          <w:szCs w:val="22"/>
        </w:rPr>
      </w:pPr>
    </w:p>
    <w:p w:rsidR="00B81205" w:rsidRDefault="00B81205" w:rsidP="00DB52EE">
      <w:pPr>
        <w:pStyle w:val="BodyText"/>
        <w:widowControl w:val="0"/>
        <w:spacing w:after="60"/>
        <w:rPr>
          <w:b/>
          <w:color w:val="000000"/>
          <w:sz w:val="22"/>
          <w:szCs w:val="22"/>
        </w:rPr>
      </w:pPr>
    </w:p>
    <w:p w:rsidR="00B81205" w:rsidRDefault="00B81205" w:rsidP="00DB52EE">
      <w:pPr>
        <w:pStyle w:val="BodyText"/>
        <w:widowControl w:val="0"/>
        <w:spacing w:after="60"/>
        <w:rPr>
          <w:b/>
          <w:color w:val="000000"/>
          <w:sz w:val="22"/>
          <w:szCs w:val="22"/>
        </w:rPr>
      </w:pPr>
    </w:p>
    <w:p w:rsidR="00B81205" w:rsidRDefault="00B81205" w:rsidP="00DB52EE">
      <w:pPr>
        <w:pStyle w:val="BodyText"/>
        <w:widowControl w:val="0"/>
        <w:spacing w:after="60"/>
        <w:rPr>
          <w:b/>
          <w:color w:val="000000"/>
          <w:sz w:val="22"/>
          <w:szCs w:val="22"/>
        </w:rPr>
      </w:pPr>
    </w:p>
    <w:p w:rsidR="00B81205" w:rsidRDefault="00B81205" w:rsidP="00DB52EE">
      <w:pPr>
        <w:pStyle w:val="BodyText"/>
        <w:widowControl w:val="0"/>
        <w:spacing w:after="60"/>
        <w:rPr>
          <w:b/>
          <w:color w:val="000000"/>
          <w:sz w:val="22"/>
          <w:szCs w:val="22"/>
        </w:rPr>
      </w:pPr>
    </w:p>
    <w:p w:rsidR="00B81205" w:rsidRDefault="00B81205" w:rsidP="00DB52EE">
      <w:pPr>
        <w:pStyle w:val="BodyText"/>
        <w:widowControl w:val="0"/>
        <w:spacing w:after="60"/>
        <w:rPr>
          <w:b/>
          <w:color w:val="000000"/>
          <w:sz w:val="22"/>
          <w:szCs w:val="22"/>
        </w:rPr>
      </w:pPr>
    </w:p>
    <w:p w:rsidR="00B81205" w:rsidRDefault="00B81205" w:rsidP="00DB52EE">
      <w:pPr>
        <w:pStyle w:val="BodyText"/>
        <w:widowControl w:val="0"/>
        <w:spacing w:after="60"/>
        <w:rPr>
          <w:b/>
          <w:color w:val="000000"/>
          <w:sz w:val="22"/>
          <w:szCs w:val="22"/>
        </w:rPr>
      </w:pPr>
    </w:p>
    <w:p w:rsidR="0045745F" w:rsidRDefault="002D07D2" w:rsidP="00DB52EE">
      <w:pPr>
        <w:pStyle w:val="BodyText"/>
        <w:widowControl w:val="0"/>
        <w:spacing w:after="60"/>
        <w:rPr>
          <w:b/>
          <w:bCs/>
          <w:sz w:val="23"/>
          <w:szCs w:val="23"/>
        </w:rPr>
      </w:pPr>
      <w:r>
        <w:rPr>
          <w:b/>
          <w:color w:val="000000"/>
          <w:sz w:val="22"/>
          <w:szCs w:val="22"/>
        </w:rPr>
        <w:t>3.2</w:t>
      </w:r>
      <w:proofErr w:type="gramStart"/>
      <w:r>
        <w:rPr>
          <w:b/>
          <w:color w:val="000000"/>
          <w:sz w:val="22"/>
          <w:szCs w:val="22"/>
        </w:rPr>
        <w:t>.  B</w:t>
      </w:r>
      <w:proofErr w:type="gramEnd"/>
      <w:r>
        <w:rPr>
          <w:b/>
          <w:color w:val="000000"/>
          <w:sz w:val="22"/>
          <w:szCs w:val="22"/>
        </w:rPr>
        <w:t xml:space="preserve">.  </w:t>
      </w:r>
      <w:r w:rsidR="0045745F">
        <w:rPr>
          <w:b/>
          <w:color w:val="000000"/>
          <w:sz w:val="22"/>
          <w:szCs w:val="22"/>
        </w:rPr>
        <w:t xml:space="preserve">Department </w:t>
      </w:r>
      <w:r w:rsidR="0045745F">
        <w:rPr>
          <w:b/>
          <w:bCs/>
          <w:sz w:val="23"/>
          <w:szCs w:val="23"/>
        </w:rPr>
        <w:t>PSD Applicability Review</w:t>
      </w:r>
    </w:p>
    <w:p w:rsidR="00550EA0" w:rsidRDefault="00805485" w:rsidP="00805485">
      <w:pPr>
        <w:pStyle w:val="BodyText"/>
        <w:widowControl w:val="0"/>
        <w:tabs>
          <w:tab w:val="left" w:pos="540"/>
        </w:tabs>
        <w:spacing w:after="60"/>
        <w:rPr>
          <w:b/>
          <w:bCs/>
          <w:sz w:val="23"/>
          <w:szCs w:val="23"/>
        </w:rPr>
      </w:pPr>
      <w:r>
        <w:rPr>
          <w:b/>
          <w:bCs/>
          <w:sz w:val="23"/>
          <w:szCs w:val="23"/>
        </w:rPr>
        <w:t xml:space="preserve">          </w:t>
      </w:r>
      <w:proofErr w:type="gramStart"/>
      <w:r w:rsidR="00550EA0">
        <w:rPr>
          <w:b/>
          <w:bCs/>
          <w:sz w:val="23"/>
          <w:szCs w:val="23"/>
        </w:rPr>
        <w:t>Table 1.</w:t>
      </w:r>
      <w:proofErr w:type="gramEnd"/>
      <w:r w:rsidR="00550EA0">
        <w:rPr>
          <w:b/>
          <w:bCs/>
          <w:sz w:val="23"/>
          <w:szCs w:val="23"/>
        </w:rPr>
        <w:t xml:space="preserve"> Comparison of Baseline Actual Emission to Projected Actual Emissions</w:t>
      </w:r>
    </w:p>
    <w:p w:rsidR="0045745F" w:rsidRDefault="0045745F" w:rsidP="00DB52EE">
      <w:pPr>
        <w:pStyle w:val="BodyText"/>
        <w:widowControl w:val="0"/>
        <w:spacing w:after="60"/>
        <w:rPr>
          <w:bCs/>
          <w:sz w:val="22"/>
          <w:szCs w:val="22"/>
        </w:rPr>
      </w:pPr>
    </w:p>
    <w:tbl>
      <w:tblPr>
        <w:tblW w:w="12364" w:type="dxa"/>
        <w:tblInd w:w="180" w:type="dxa"/>
        <w:tblBorders>
          <w:top w:val="single" w:sz="6" w:space="0" w:color="000000"/>
          <w:left w:val="single" w:sz="6" w:space="0" w:color="000000"/>
          <w:bottom w:val="single" w:sz="6" w:space="0" w:color="000000"/>
          <w:right w:val="single" w:sz="6" w:space="0" w:color="000000"/>
        </w:tblBorders>
        <w:tblLayout w:type="fixed"/>
        <w:tblLook w:val="0000"/>
      </w:tblPr>
      <w:tblGrid>
        <w:gridCol w:w="1008"/>
        <w:gridCol w:w="900"/>
        <w:gridCol w:w="1080"/>
        <w:gridCol w:w="1260"/>
        <w:gridCol w:w="1080"/>
        <w:gridCol w:w="990"/>
        <w:gridCol w:w="990"/>
        <w:gridCol w:w="1530"/>
        <w:gridCol w:w="3526"/>
      </w:tblGrid>
      <w:tr w:rsidR="00550EA0" w:rsidTr="004A3D49">
        <w:trPr>
          <w:gridAfter w:val="1"/>
          <w:wAfter w:w="3526" w:type="dxa"/>
          <w:trHeight w:val="275"/>
        </w:trPr>
        <w:tc>
          <w:tcPr>
            <w:tcW w:w="1008" w:type="dxa"/>
            <w:vMerge w:val="restart"/>
            <w:tcBorders>
              <w:top w:val="single" w:sz="8" w:space="0" w:color="000000"/>
              <w:left w:val="single" w:sz="8" w:space="0" w:color="000000"/>
              <w:bottom w:val="single" w:sz="8" w:space="0" w:color="000000"/>
              <w:right w:val="single" w:sz="8" w:space="0" w:color="000000"/>
            </w:tcBorders>
          </w:tcPr>
          <w:p w:rsidR="00550EA0" w:rsidRDefault="00550EA0" w:rsidP="00550EA0">
            <w:pPr>
              <w:pStyle w:val="Default"/>
              <w:ind w:left="-90"/>
              <w:rPr>
                <w:sz w:val="22"/>
                <w:szCs w:val="22"/>
              </w:rPr>
            </w:pPr>
            <w:r>
              <w:rPr>
                <w:b/>
                <w:bCs/>
                <w:sz w:val="22"/>
                <w:szCs w:val="22"/>
              </w:rPr>
              <w:t xml:space="preserve">Pollutant </w:t>
            </w:r>
          </w:p>
        </w:tc>
        <w:tc>
          <w:tcPr>
            <w:tcW w:w="900" w:type="dxa"/>
            <w:vMerge w:val="restart"/>
            <w:tcBorders>
              <w:top w:val="single" w:sz="8" w:space="0" w:color="000000"/>
              <w:left w:val="single" w:sz="8" w:space="0" w:color="000000"/>
              <w:bottom w:val="single" w:sz="8" w:space="0" w:color="000000"/>
              <w:right w:val="single" w:sz="8" w:space="0" w:color="000000"/>
            </w:tcBorders>
          </w:tcPr>
          <w:p w:rsidR="00550EA0" w:rsidRDefault="00550EA0" w:rsidP="002D07D2">
            <w:pPr>
              <w:pStyle w:val="Default"/>
              <w:ind w:left="-108"/>
              <w:jc w:val="center"/>
              <w:rPr>
                <w:sz w:val="22"/>
                <w:szCs w:val="22"/>
              </w:rPr>
            </w:pPr>
            <w:r>
              <w:rPr>
                <w:b/>
                <w:bCs/>
                <w:sz w:val="22"/>
                <w:szCs w:val="22"/>
              </w:rPr>
              <w:t>Baseline Actual</w:t>
            </w:r>
            <w:r>
              <w:rPr>
                <w:b/>
                <w:bCs/>
                <w:position w:val="8"/>
                <w:sz w:val="22"/>
                <w:szCs w:val="22"/>
                <w:vertAlign w:val="superscript"/>
              </w:rPr>
              <w:t>1</w:t>
            </w:r>
          </w:p>
        </w:tc>
        <w:tc>
          <w:tcPr>
            <w:tcW w:w="1080" w:type="dxa"/>
            <w:vMerge w:val="restart"/>
            <w:tcBorders>
              <w:top w:val="single" w:sz="8" w:space="0" w:color="000000"/>
              <w:left w:val="single" w:sz="8" w:space="0" w:color="000000"/>
              <w:right w:val="single" w:sz="8" w:space="0" w:color="000000"/>
            </w:tcBorders>
          </w:tcPr>
          <w:p w:rsidR="00550EA0" w:rsidRDefault="00550EA0" w:rsidP="002D07D2">
            <w:pPr>
              <w:pStyle w:val="Default"/>
              <w:ind w:left="-108"/>
              <w:jc w:val="center"/>
              <w:rPr>
                <w:b/>
                <w:bCs/>
                <w:sz w:val="22"/>
                <w:szCs w:val="22"/>
              </w:rPr>
            </w:pPr>
            <w:r>
              <w:rPr>
                <w:b/>
                <w:bCs/>
                <w:sz w:val="22"/>
                <w:szCs w:val="22"/>
              </w:rPr>
              <w:t>Future Actual</w:t>
            </w:r>
            <w:r w:rsidR="00AB17C6" w:rsidRPr="00AB17C6">
              <w:rPr>
                <w:b/>
                <w:bCs/>
                <w:sz w:val="22"/>
                <w:szCs w:val="22"/>
                <w:vertAlign w:val="superscript"/>
              </w:rPr>
              <w:t>2</w:t>
            </w:r>
          </w:p>
        </w:tc>
        <w:tc>
          <w:tcPr>
            <w:tcW w:w="1260" w:type="dxa"/>
            <w:tcBorders>
              <w:top w:val="single" w:sz="8" w:space="0" w:color="000000"/>
              <w:left w:val="single" w:sz="8" w:space="0" w:color="000000"/>
              <w:right w:val="single" w:sz="8" w:space="0" w:color="000000"/>
            </w:tcBorders>
          </w:tcPr>
          <w:p w:rsidR="00550EA0" w:rsidRDefault="00550EA0" w:rsidP="002D07D2">
            <w:pPr>
              <w:pStyle w:val="Default"/>
              <w:ind w:left="-108"/>
              <w:jc w:val="center"/>
              <w:rPr>
                <w:b/>
                <w:color w:val="auto"/>
              </w:rPr>
            </w:pPr>
            <w:r w:rsidRPr="00550EA0">
              <w:rPr>
                <w:b/>
                <w:color w:val="auto"/>
              </w:rPr>
              <w:t>Demand Growth</w:t>
            </w:r>
          </w:p>
          <w:p w:rsidR="00550EA0" w:rsidRDefault="00550EA0" w:rsidP="002D07D2">
            <w:pPr>
              <w:pStyle w:val="Default"/>
              <w:ind w:left="-108"/>
              <w:jc w:val="center"/>
              <w:rPr>
                <w:b/>
                <w:bCs/>
                <w:sz w:val="22"/>
                <w:szCs w:val="22"/>
              </w:rPr>
            </w:pPr>
            <w:r w:rsidRPr="00550EA0">
              <w:rPr>
                <w:b/>
                <w:color w:val="auto"/>
              </w:rPr>
              <w:t>Exclusion</w:t>
            </w:r>
            <w:r w:rsidR="00081097" w:rsidRPr="00081097">
              <w:rPr>
                <w:b/>
                <w:color w:val="auto"/>
                <w:vertAlign w:val="superscript"/>
              </w:rPr>
              <w:t>3</w:t>
            </w:r>
          </w:p>
        </w:tc>
        <w:tc>
          <w:tcPr>
            <w:tcW w:w="1080" w:type="dxa"/>
            <w:vMerge w:val="restart"/>
            <w:tcBorders>
              <w:top w:val="single" w:sz="8" w:space="0" w:color="000000"/>
              <w:left w:val="single" w:sz="8" w:space="0" w:color="000000"/>
              <w:bottom w:val="single" w:sz="8" w:space="0" w:color="000000"/>
              <w:right w:val="single" w:sz="8" w:space="0" w:color="000000"/>
            </w:tcBorders>
          </w:tcPr>
          <w:p w:rsidR="00550EA0" w:rsidRDefault="00550EA0" w:rsidP="002D07D2">
            <w:pPr>
              <w:pStyle w:val="Default"/>
              <w:ind w:left="-108"/>
              <w:jc w:val="center"/>
              <w:rPr>
                <w:sz w:val="22"/>
                <w:szCs w:val="22"/>
              </w:rPr>
            </w:pPr>
            <w:r>
              <w:rPr>
                <w:b/>
                <w:bCs/>
                <w:sz w:val="22"/>
                <w:szCs w:val="22"/>
              </w:rPr>
              <w:t>Projected Actual</w:t>
            </w:r>
            <w:r w:rsidR="004A3D49">
              <w:rPr>
                <w:b/>
                <w:bCs/>
                <w:position w:val="8"/>
                <w:sz w:val="22"/>
                <w:szCs w:val="22"/>
                <w:vertAlign w:val="superscript"/>
              </w:rPr>
              <w:t>4</w:t>
            </w:r>
          </w:p>
        </w:tc>
        <w:tc>
          <w:tcPr>
            <w:tcW w:w="990" w:type="dxa"/>
            <w:vMerge w:val="restart"/>
            <w:tcBorders>
              <w:top w:val="single" w:sz="8" w:space="0" w:color="000000"/>
              <w:left w:val="single" w:sz="8" w:space="0" w:color="000000"/>
              <w:bottom w:val="single" w:sz="8" w:space="0" w:color="000000"/>
              <w:right w:val="single" w:sz="8" w:space="0" w:color="000000"/>
            </w:tcBorders>
          </w:tcPr>
          <w:p w:rsidR="00550EA0" w:rsidRDefault="00550EA0" w:rsidP="002D07D2">
            <w:pPr>
              <w:pStyle w:val="Default"/>
              <w:ind w:left="-108"/>
              <w:jc w:val="center"/>
              <w:rPr>
                <w:sz w:val="22"/>
                <w:szCs w:val="22"/>
              </w:rPr>
            </w:pPr>
            <w:r>
              <w:rPr>
                <w:b/>
                <w:bCs/>
                <w:sz w:val="22"/>
                <w:szCs w:val="22"/>
              </w:rPr>
              <w:t>Net Increase</w:t>
            </w:r>
            <w:r w:rsidR="004A3D49" w:rsidRPr="004A3D49">
              <w:rPr>
                <w:b/>
                <w:bCs/>
                <w:sz w:val="22"/>
                <w:szCs w:val="22"/>
                <w:vertAlign w:val="superscript"/>
              </w:rPr>
              <w:t>5</w:t>
            </w:r>
          </w:p>
        </w:tc>
        <w:tc>
          <w:tcPr>
            <w:tcW w:w="990" w:type="dxa"/>
            <w:vMerge w:val="restart"/>
            <w:tcBorders>
              <w:top w:val="single" w:sz="8" w:space="0" w:color="000000"/>
              <w:left w:val="single" w:sz="8" w:space="0" w:color="000000"/>
              <w:bottom w:val="single" w:sz="8" w:space="0" w:color="000000"/>
              <w:right w:val="single" w:sz="8" w:space="0" w:color="000000"/>
            </w:tcBorders>
          </w:tcPr>
          <w:p w:rsidR="00550EA0" w:rsidRDefault="00550EA0" w:rsidP="002D07D2">
            <w:pPr>
              <w:pStyle w:val="Default"/>
              <w:ind w:left="-108"/>
              <w:jc w:val="center"/>
              <w:rPr>
                <w:sz w:val="22"/>
                <w:szCs w:val="22"/>
              </w:rPr>
            </w:pPr>
            <w:r>
              <w:rPr>
                <w:b/>
                <w:bCs/>
                <w:sz w:val="22"/>
                <w:szCs w:val="22"/>
              </w:rPr>
              <w:t>PSD (SER)</w:t>
            </w:r>
          </w:p>
        </w:tc>
        <w:tc>
          <w:tcPr>
            <w:tcW w:w="1530" w:type="dxa"/>
            <w:vMerge w:val="restart"/>
            <w:tcBorders>
              <w:top w:val="single" w:sz="8" w:space="0" w:color="000000"/>
              <w:left w:val="single" w:sz="8" w:space="0" w:color="000000"/>
              <w:bottom w:val="single" w:sz="8" w:space="0" w:color="000000"/>
              <w:right w:val="single" w:sz="8" w:space="0" w:color="000000"/>
            </w:tcBorders>
          </w:tcPr>
          <w:p w:rsidR="00550EA0" w:rsidRDefault="00550EA0" w:rsidP="002D07D2">
            <w:pPr>
              <w:pStyle w:val="Default"/>
              <w:ind w:left="-108"/>
              <w:jc w:val="center"/>
              <w:rPr>
                <w:sz w:val="22"/>
                <w:szCs w:val="22"/>
              </w:rPr>
            </w:pPr>
            <w:r>
              <w:rPr>
                <w:b/>
                <w:bCs/>
                <w:sz w:val="22"/>
                <w:szCs w:val="22"/>
              </w:rPr>
              <w:t>Subject to PSD?</w:t>
            </w:r>
          </w:p>
        </w:tc>
      </w:tr>
      <w:tr w:rsidR="00550EA0" w:rsidTr="004A3D49">
        <w:trPr>
          <w:trHeight w:val="146"/>
        </w:trPr>
        <w:tc>
          <w:tcPr>
            <w:tcW w:w="1008" w:type="dxa"/>
            <w:vMerge/>
            <w:tcBorders>
              <w:top w:val="single" w:sz="8" w:space="0" w:color="000000"/>
              <w:left w:val="single" w:sz="8" w:space="0" w:color="000000"/>
              <w:bottom w:val="single" w:sz="8" w:space="0" w:color="000000"/>
              <w:right w:val="single" w:sz="8" w:space="0" w:color="000000"/>
            </w:tcBorders>
          </w:tcPr>
          <w:p w:rsidR="00550EA0" w:rsidRDefault="00550EA0">
            <w:pPr>
              <w:pStyle w:val="Default"/>
              <w:rPr>
                <w:color w:val="auto"/>
              </w:rPr>
            </w:pPr>
          </w:p>
        </w:tc>
        <w:tc>
          <w:tcPr>
            <w:tcW w:w="900" w:type="dxa"/>
            <w:vMerge/>
            <w:tcBorders>
              <w:top w:val="single" w:sz="8" w:space="0" w:color="000000"/>
              <w:left w:val="single" w:sz="8" w:space="0" w:color="000000"/>
              <w:bottom w:val="single" w:sz="8" w:space="0" w:color="000000"/>
              <w:right w:val="single" w:sz="8" w:space="0" w:color="000000"/>
            </w:tcBorders>
          </w:tcPr>
          <w:p w:rsidR="00550EA0" w:rsidRDefault="00550EA0">
            <w:pPr>
              <w:pStyle w:val="Default"/>
              <w:rPr>
                <w:color w:val="auto"/>
              </w:rPr>
            </w:pPr>
          </w:p>
        </w:tc>
        <w:tc>
          <w:tcPr>
            <w:tcW w:w="1080" w:type="dxa"/>
            <w:vMerge/>
            <w:tcBorders>
              <w:left w:val="single" w:sz="8" w:space="0" w:color="000000"/>
              <w:bottom w:val="single" w:sz="8" w:space="0" w:color="000000"/>
              <w:right w:val="single" w:sz="8" w:space="0" w:color="000000"/>
            </w:tcBorders>
          </w:tcPr>
          <w:p w:rsidR="00550EA0" w:rsidRDefault="00550EA0">
            <w:pPr>
              <w:pStyle w:val="Default"/>
              <w:rPr>
                <w:color w:val="auto"/>
              </w:rPr>
            </w:pPr>
          </w:p>
        </w:tc>
        <w:tc>
          <w:tcPr>
            <w:tcW w:w="1260" w:type="dxa"/>
            <w:tcBorders>
              <w:left w:val="single" w:sz="8" w:space="0" w:color="000000"/>
              <w:bottom w:val="single" w:sz="8" w:space="0" w:color="000000"/>
              <w:right w:val="single" w:sz="8" w:space="0" w:color="000000"/>
            </w:tcBorders>
          </w:tcPr>
          <w:p w:rsidR="00550EA0" w:rsidRPr="00550EA0" w:rsidRDefault="00550EA0">
            <w:pPr>
              <w:pStyle w:val="Default"/>
              <w:rPr>
                <w:b/>
                <w:color w:val="auto"/>
              </w:rPr>
            </w:pPr>
          </w:p>
        </w:tc>
        <w:tc>
          <w:tcPr>
            <w:tcW w:w="1080" w:type="dxa"/>
            <w:vMerge/>
            <w:tcBorders>
              <w:top w:val="single" w:sz="8" w:space="0" w:color="000000"/>
              <w:left w:val="single" w:sz="8" w:space="0" w:color="000000"/>
              <w:bottom w:val="single" w:sz="8" w:space="0" w:color="000000"/>
              <w:right w:val="single" w:sz="8" w:space="0" w:color="000000"/>
            </w:tcBorders>
          </w:tcPr>
          <w:p w:rsidR="00550EA0" w:rsidRDefault="00550EA0">
            <w:pPr>
              <w:pStyle w:val="Default"/>
              <w:rPr>
                <w:color w:val="auto"/>
              </w:rPr>
            </w:pPr>
          </w:p>
        </w:tc>
        <w:tc>
          <w:tcPr>
            <w:tcW w:w="990" w:type="dxa"/>
            <w:vMerge/>
            <w:tcBorders>
              <w:top w:val="single" w:sz="8" w:space="0" w:color="000000"/>
              <w:left w:val="single" w:sz="8" w:space="0" w:color="000000"/>
              <w:bottom w:val="single" w:sz="8" w:space="0" w:color="000000"/>
              <w:right w:val="single" w:sz="8" w:space="0" w:color="000000"/>
            </w:tcBorders>
          </w:tcPr>
          <w:p w:rsidR="00550EA0" w:rsidRDefault="00550EA0">
            <w:pPr>
              <w:pStyle w:val="Default"/>
              <w:rPr>
                <w:color w:val="auto"/>
              </w:rPr>
            </w:pPr>
          </w:p>
        </w:tc>
        <w:tc>
          <w:tcPr>
            <w:tcW w:w="990" w:type="dxa"/>
            <w:vMerge/>
            <w:tcBorders>
              <w:top w:val="single" w:sz="8" w:space="0" w:color="000000"/>
              <w:left w:val="single" w:sz="8" w:space="0" w:color="000000"/>
              <w:bottom w:val="single" w:sz="8" w:space="0" w:color="000000"/>
              <w:right w:val="single" w:sz="8" w:space="0" w:color="000000"/>
            </w:tcBorders>
          </w:tcPr>
          <w:p w:rsidR="00550EA0" w:rsidRDefault="00550EA0">
            <w:pPr>
              <w:pStyle w:val="Default"/>
              <w:rPr>
                <w:color w:val="auto"/>
              </w:rPr>
            </w:pPr>
          </w:p>
        </w:tc>
        <w:tc>
          <w:tcPr>
            <w:tcW w:w="1530" w:type="dxa"/>
            <w:vMerge/>
            <w:tcBorders>
              <w:top w:val="single" w:sz="8" w:space="0" w:color="000000"/>
              <w:left w:val="single" w:sz="8" w:space="0" w:color="000000"/>
              <w:bottom w:val="single" w:sz="8" w:space="0" w:color="000000"/>
              <w:right w:val="single" w:sz="8" w:space="0" w:color="000000"/>
            </w:tcBorders>
          </w:tcPr>
          <w:p w:rsidR="00550EA0" w:rsidRDefault="00550EA0">
            <w:pPr>
              <w:pStyle w:val="Default"/>
              <w:rPr>
                <w:color w:val="auto"/>
              </w:rPr>
            </w:pPr>
          </w:p>
        </w:tc>
        <w:tc>
          <w:tcPr>
            <w:tcW w:w="3526" w:type="dxa"/>
            <w:tcBorders>
              <w:top w:val="nil"/>
              <w:left w:val="single" w:sz="8" w:space="0" w:color="000000"/>
              <w:bottom w:val="nil"/>
              <w:right w:val="nil"/>
            </w:tcBorders>
          </w:tcPr>
          <w:p w:rsidR="00550EA0" w:rsidRDefault="00550EA0">
            <w:pPr>
              <w:pStyle w:val="Default"/>
              <w:jc w:val="center"/>
              <w:rPr>
                <w:sz w:val="22"/>
                <w:szCs w:val="22"/>
              </w:rPr>
            </w:pPr>
          </w:p>
        </w:tc>
      </w:tr>
      <w:tr w:rsidR="00550EA0" w:rsidTr="004A3D49">
        <w:trPr>
          <w:gridAfter w:val="1"/>
          <w:wAfter w:w="3526" w:type="dxa"/>
          <w:trHeight w:val="146"/>
        </w:trPr>
        <w:tc>
          <w:tcPr>
            <w:tcW w:w="1008" w:type="dxa"/>
            <w:tcBorders>
              <w:top w:val="single" w:sz="8" w:space="0" w:color="000000"/>
              <w:left w:val="single" w:sz="8" w:space="0" w:color="000000"/>
              <w:bottom w:val="single" w:sz="8" w:space="0" w:color="000000"/>
              <w:right w:val="single" w:sz="8" w:space="0" w:color="000000"/>
            </w:tcBorders>
          </w:tcPr>
          <w:p w:rsidR="00550EA0" w:rsidRDefault="00550EA0" w:rsidP="0045745F">
            <w:pPr>
              <w:pStyle w:val="Default"/>
              <w:ind w:right="-8208"/>
              <w:rPr>
                <w:b/>
                <w:bCs/>
                <w:sz w:val="22"/>
                <w:szCs w:val="22"/>
              </w:rPr>
            </w:pPr>
            <w:r>
              <w:rPr>
                <w:b/>
                <w:bCs/>
                <w:sz w:val="22"/>
                <w:szCs w:val="22"/>
              </w:rPr>
              <w:t>NOx</w:t>
            </w:r>
          </w:p>
        </w:tc>
        <w:tc>
          <w:tcPr>
            <w:tcW w:w="90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269.1</w:t>
            </w:r>
          </w:p>
        </w:tc>
        <w:tc>
          <w:tcPr>
            <w:tcW w:w="108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225.6</w:t>
            </w:r>
          </w:p>
        </w:tc>
        <w:tc>
          <w:tcPr>
            <w:tcW w:w="126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5.7</w:t>
            </w:r>
          </w:p>
        </w:tc>
        <w:tc>
          <w:tcPr>
            <w:tcW w:w="1080" w:type="dxa"/>
            <w:tcBorders>
              <w:top w:val="single" w:sz="8" w:space="0" w:color="000000"/>
              <w:left w:val="single" w:sz="8" w:space="0" w:color="000000"/>
              <w:bottom w:val="single" w:sz="8" w:space="0" w:color="000000"/>
              <w:right w:val="single" w:sz="8" w:space="0" w:color="000000"/>
            </w:tcBorders>
          </w:tcPr>
          <w:p w:rsidR="00550EA0" w:rsidRDefault="004A3D49">
            <w:pPr>
              <w:pStyle w:val="Default"/>
              <w:jc w:val="center"/>
              <w:rPr>
                <w:sz w:val="22"/>
                <w:szCs w:val="22"/>
              </w:rPr>
            </w:pPr>
            <w:r>
              <w:rPr>
                <w:sz w:val="22"/>
                <w:szCs w:val="22"/>
              </w:rPr>
              <w:t>219.9</w:t>
            </w:r>
          </w:p>
        </w:tc>
        <w:tc>
          <w:tcPr>
            <w:tcW w:w="99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0</w:t>
            </w:r>
          </w:p>
        </w:tc>
        <w:tc>
          <w:tcPr>
            <w:tcW w:w="99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40</w:t>
            </w:r>
          </w:p>
        </w:tc>
        <w:tc>
          <w:tcPr>
            <w:tcW w:w="153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No</w:t>
            </w:r>
          </w:p>
        </w:tc>
      </w:tr>
      <w:tr w:rsidR="00550EA0" w:rsidTr="004A3D49">
        <w:trPr>
          <w:gridAfter w:val="1"/>
          <w:wAfter w:w="3526" w:type="dxa"/>
          <w:trHeight w:val="146"/>
        </w:trPr>
        <w:tc>
          <w:tcPr>
            <w:tcW w:w="1008" w:type="dxa"/>
            <w:tcBorders>
              <w:top w:val="single" w:sz="8" w:space="0" w:color="000000"/>
              <w:left w:val="single" w:sz="8" w:space="0" w:color="000000"/>
              <w:bottom w:val="single" w:sz="8" w:space="0" w:color="000000"/>
              <w:right w:val="single" w:sz="8" w:space="0" w:color="000000"/>
            </w:tcBorders>
          </w:tcPr>
          <w:p w:rsidR="00550EA0" w:rsidRDefault="00550EA0" w:rsidP="0045745F">
            <w:pPr>
              <w:pStyle w:val="Default"/>
              <w:ind w:right="-8208"/>
              <w:rPr>
                <w:sz w:val="22"/>
                <w:szCs w:val="22"/>
              </w:rPr>
            </w:pPr>
            <w:r>
              <w:rPr>
                <w:b/>
                <w:bCs/>
                <w:sz w:val="22"/>
                <w:szCs w:val="22"/>
              </w:rPr>
              <w:t>SO</w:t>
            </w:r>
            <w:r w:rsidRPr="00970BB5">
              <w:rPr>
                <w:b/>
                <w:bCs/>
                <w:sz w:val="22"/>
                <w:szCs w:val="22"/>
                <w:vertAlign w:val="subscript"/>
              </w:rPr>
              <w:t>2</w:t>
            </w:r>
            <w:r>
              <w:rPr>
                <w:b/>
                <w:bCs/>
                <w:sz w:val="22"/>
                <w:szCs w:val="22"/>
              </w:rPr>
              <w:t xml:space="preserve"> </w:t>
            </w:r>
          </w:p>
        </w:tc>
        <w:tc>
          <w:tcPr>
            <w:tcW w:w="90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93.3 </w:t>
            </w:r>
          </w:p>
        </w:tc>
        <w:tc>
          <w:tcPr>
            <w:tcW w:w="108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92.1</w:t>
            </w:r>
          </w:p>
        </w:tc>
        <w:tc>
          <w:tcPr>
            <w:tcW w:w="126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2.3</w:t>
            </w:r>
          </w:p>
        </w:tc>
        <w:tc>
          <w:tcPr>
            <w:tcW w:w="1080" w:type="dxa"/>
            <w:tcBorders>
              <w:top w:val="single" w:sz="8" w:space="0" w:color="000000"/>
              <w:left w:val="single" w:sz="8" w:space="0" w:color="000000"/>
              <w:bottom w:val="single" w:sz="8" w:space="0" w:color="000000"/>
              <w:right w:val="single" w:sz="8" w:space="0" w:color="000000"/>
            </w:tcBorders>
          </w:tcPr>
          <w:p w:rsidR="00550EA0" w:rsidRDefault="004A3D49">
            <w:pPr>
              <w:pStyle w:val="Default"/>
              <w:jc w:val="center"/>
              <w:rPr>
                <w:sz w:val="22"/>
                <w:szCs w:val="22"/>
              </w:rPr>
            </w:pPr>
            <w:r>
              <w:rPr>
                <w:sz w:val="22"/>
                <w:szCs w:val="22"/>
              </w:rPr>
              <w:t>89.8</w:t>
            </w:r>
            <w:r w:rsidR="00550EA0">
              <w:rPr>
                <w:sz w:val="22"/>
                <w:szCs w:val="22"/>
              </w:rPr>
              <w:t xml:space="preserve"> </w:t>
            </w:r>
          </w:p>
        </w:tc>
        <w:tc>
          <w:tcPr>
            <w:tcW w:w="99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0 </w:t>
            </w:r>
          </w:p>
        </w:tc>
        <w:tc>
          <w:tcPr>
            <w:tcW w:w="99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40 </w:t>
            </w:r>
          </w:p>
        </w:tc>
        <w:tc>
          <w:tcPr>
            <w:tcW w:w="153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No </w:t>
            </w:r>
          </w:p>
        </w:tc>
      </w:tr>
      <w:tr w:rsidR="00550EA0" w:rsidTr="004A3D49">
        <w:trPr>
          <w:gridAfter w:val="1"/>
          <w:wAfter w:w="3526" w:type="dxa"/>
          <w:trHeight w:val="146"/>
        </w:trPr>
        <w:tc>
          <w:tcPr>
            <w:tcW w:w="1008" w:type="dxa"/>
            <w:tcBorders>
              <w:top w:val="single" w:sz="8" w:space="0" w:color="000000"/>
              <w:left w:val="single" w:sz="8" w:space="0" w:color="000000"/>
              <w:bottom w:val="single" w:sz="8" w:space="0" w:color="000000"/>
              <w:right w:val="single" w:sz="8" w:space="0" w:color="000000"/>
            </w:tcBorders>
          </w:tcPr>
          <w:p w:rsidR="00550EA0" w:rsidRDefault="00550EA0" w:rsidP="0045745F">
            <w:pPr>
              <w:pStyle w:val="Default"/>
              <w:ind w:right="-8208"/>
              <w:rPr>
                <w:sz w:val="22"/>
                <w:szCs w:val="22"/>
              </w:rPr>
            </w:pPr>
            <w:r>
              <w:rPr>
                <w:b/>
                <w:bCs/>
                <w:sz w:val="22"/>
                <w:szCs w:val="22"/>
              </w:rPr>
              <w:t xml:space="preserve">PM </w:t>
            </w:r>
          </w:p>
        </w:tc>
        <w:tc>
          <w:tcPr>
            <w:tcW w:w="90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42.5 </w:t>
            </w:r>
          </w:p>
        </w:tc>
        <w:tc>
          <w:tcPr>
            <w:tcW w:w="108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53.4</w:t>
            </w:r>
          </w:p>
        </w:tc>
        <w:tc>
          <w:tcPr>
            <w:tcW w:w="126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1.3</w:t>
            </w:r>
          </w:p>
        </w:tc>
        <w:tc>
          <w:tcPr>
            <w:tcW w:w="1080" w:type="dxa"/>
            <w:tcBorders>
              <w:top w:val="single" w:sz="8" w:space="0" w:color="000000"/>
              <w:left w:val="single" w:sz="8" w:space="0" w:color="000000"/>
              <w:bottom w:val="single" w:sz="8" w:space="0" w:color="000000"/>
              <w:right w:val="single" w:sz="8" w:space="0" w:color="000000"/>
            </w:tcBorders>
          </w:tcPr>
          <w:p w:rsidR="00550EA0" w:rsidRDefault="004A3D49">
            <w:pPr>
              <w:pStyle w:val="Default"/>
              <w:jc w:val="center"/>
              <w:rPr>
                <w:sz w:val="22"/>
                <w:szCs w:val="22"/>
              </w:rPr>
            </w:pPr>
            <w:r>
              <w:rPr>
                <w:sz w:val="22"/>
                <w:szCs w:val="22"/>
              </w:rPr>
              <w:t>52.1</w:t>
            </w:r>
            <w:r w:rsidR="00550EA0">
              <w:rPr>
                <w:sz w:val="22"/>
                <w:szCs w:val="22"/>
              </w:rPr>
              <w:t xml:space="preserve"> </w:t>
            </w:r>
          </w:p>
        </w:tc>
        <w:tc>
          <w:tcPr>
            <w:tcW w:w="990" w:type="dxa"/>
            <w:tcBorders>
              <w:top w:val="single" w:sz="8" w:space="0" w:color="000000"/>
              <w:left w:val="single" w:sz="8" w:space="0" w:color="000000"/>
              <w:bottom w:val="single" w:sz="8" w:space="0" w:color="000000"/>
              <w:right w:val="single" w:sz="8" w:space="0" w:color="000000"/>
            </w:tcBorders>
          </w:tcPr>
          <w:p w:rsidR="00550EA0" w:rsidRDefault="004A3D49">
            <w:pPr>
              <w:pStyle w:val="Default"/>
              <w:jc w:val="center"/>
              <w:rPr>
                <w:sz w:val="22"/>
                <w:szCs w:val="22"/>
              </w:rPr>
            </w:pPr>
            <w:r>
              <w:rPr>
                <w:sz w:val="22"/>
                <w:szCs w:val="22"/>
              </w:rPr>
              <w:t>9.6</w:t>
            </w:r>
          </w:p>
        </w:tc>
        <w:tc>
          <w:tcPr>
            <w:tcW w:w="99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25 </w:t>
            </w:r>
          </w:p>
        </w:tc>
        <w:tc>
          <w:tcPr>
            <w:tcW w:w="153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No </w:t>
            </w:r>
          </w:p>
        </w:tc>
      </w:tr>
      <w:tr w:rsidR="00550EA0" w:rsidTr="004A3D49">
        <w:trPr>
          <w:gridAfter w:val="1"/>
          <w:wAfter w:w="3526" w:type="dxa"/>
          <w:trHeight w:val="146"/>
        </w:trPr>
        <w:tc>
          <w:tcPr>
            <w:tcW w:w="1008" w:type="dxa"/>
            <w:tcBorders>
              <w:top w:val="single" w:sz="8" w:space="0" w:color="000000"/>
              <w:left w:val="single" w:sz="8" w:space="0" w:color="000000"/>
              <w:bottom w:val="single" w:sz="8" w:space="0" w:color="000000"/>
              <w:right w:val="single" w:sz="8" w:space="0" w:color="000000"/>
            </w:tcBorders>
          </w:tcPr>
          <w:p w:rsidR="00550EA0" w:rsidRDefault="00550EA0" w:rsidP="0045745F">
            <w:pPr>
              <w:pStyle w:val="Default"/>
              <w:ind w:right="-8208"/>
              <w:rPr>
                <w:sz w:val="22"/>
                <w:szCs w:val="22"/>
              </w:rPr>
            </w:pPr>
            <w:r>
              <w:rPr>
                <w:b/>
                <w:bCs/>
                <w:sz w:val="22"/>
                <w:szCs w:val="22"/>
              </w:rPr>
              <w:t>PM</w:t>
            </w:r>
            <w:r w:rsidRPr="00970BB5">
              <w:rPr>
                <w:b/>
                <w:bCs/>
                <w:sz w:val="22"/>
                <w:szCs w:val="22"/>
                <w:vertAlign w:val="subscript"/>
              </w:rPr>
              <w:t>10</w:t>
            </w:r>
            <w:r>
              <w:rPr>
                <w:b/>
                <w:bCs/>
                <w:sz w:val="22"/>
                <w:szCs w:val="22"/>
              </w:rPr>
              <w:t xml:space="preserve"> </w:t>
            </w:r>
          </w:p>
        </w:tc>
        <w:tc>
          <w:tcPr>
            <w:tcW w:w="900" w:type="dxa"/>
            <w:tcBorders>
              <w:top w:val="single" w:sz="8" w:space="0" w:color="000000"/>
              <w:left w:val="single" w:sz="8" w:space="0" w:color="000000"/>
              <w:bottom w:val="single" w:sz="8" w:space="0" w:color="000000"/>
              <w:right w:val="single" w:sz="8" w:space="0" w:color="000000"/>
            </w:tcBorders>
          </w:tcPr>
          <w:p w:rsidR="00550EA0" w:rsidRDefault="00550EA0" w:rsidP="00550EA0">
            <w:pPr>
              <w:pStyle w:val="Default"/>
              <w:jc w:val="center"/>
              <w:rPr>
                <w:sz w:val="22"/>
                <w:szCs w:val="22"/>
              </w:rPr>
            </w:pPr>
            <w:r>
              <w:rPr>
                <w:sz w:val="22"/>
                <w:szCs w:val="22"/>
              </w:rPr>
              <w:t xml:space="preserve">42.5 </w:t>
            </w:r>
          </w:p>
        </w:tc>
        <w:tc>
          <w:tcPr>
            <w:tcW w:w="108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53.4</w:t>
            </w:r>
          </w:p>
        </w:tc>
        <w:tc>
          <w:tcPr>
            <w:tcW w:w="126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1.3</w:t>
            </w:r>
          </w:p>
        </w:tc>
        <w:tc>
          <w:tcPr>
            <w:tcW w:w="1080" w:type="dxa"/>
            <w:tcBorders>
              <w:top w:val="single" w:sz="8" w:space="0" w:color="000000"/>
              <w:left w:val="single" w:sz="8" w:space="0" w:color="000000"/>
              <w:bottom w:val="single" w:sz="8" w:space="0" w:color="000000"/>
              <w:right w:val="single" w:sz="8" w:space="0" w:color="000000"/>
            </w:tcBorders>
          </w:tcPr>
          <w:p w:rsidR="00550EA0" w:rsidRDefault="004A3D49">
            <w:pPr>
              <w:pStyle w:val="Default"/>
              <w:jc w:val="center"/>
              <w:rPr>
                <w:sz w:val="22"/>
                <w:szCs w:val="22"/>
              </w:rPr>
            </w:pPr>
            <w:r>
              <w:rPr>
                <w:sz w:val="22"/>
                <w:szCs w:val="22"/>
              </w:rPr>
              <w:t>52.1</w:t>
            </w:r>
            <w:r w:rsidR="00550EA0">
              <w:rPr>
                <w:sz w:val="22"/>
                <w:szCs w:val="22"/>
              </w:rPr>
              <w:t xml:space="preserve"> </w:t>
            </w:r>
          </w:p>
        </w:tc>
        <w:tc>
          <w:tcPr>
            <w:tcW w:w="990" w:type="dxa"/>
            <w:tcBorders>
              <w:top w:val="single" w:sz="8" w:space="0" w:color="000000"/>
              <w:left w:val="single" w:sz="8" w:space="0" w:color="000000"/>
              <w:bottom w:val="single" w:sz="8" w:space="0" w:color="000000"/>
              <w:right w:val="single" w:sz="8" w:space="0" w:color="000000"/>
            </w:tcBorders>
          </w:tcPr>
          <w:p w:rsidR="00550EA0" w:rsidRDefault="004A3D49">
            <w:pPr>
              <w:pStyle w:val="Default"/>
              <w:jc w:val="center"/>
              <w:rPr>
                <w:sz w:val="22"/>
                <w:szCs w:val="22"/>
              </w:rPr>
            </w:pPr>
            <w:r>
              <w:rPr>
                <w:sz w:val="22"/>
                <w:szCs w:val="22"/>
              </w:rPr>
              <w:t>9.6</w:t>
            </w:r>
            <w:r w:rsidR="00550EA0">
              <w:rPr>
                <w:sz w:val="22"/>
                <w:szCs w:val="22"/>
              </w:rPr>
              <w:t xml:space="preserve"> </w:t>
            </w:r>
          </w:p>
        </w:tc>
        <w:tc>
          <w:tcPr>
            <w:tcW w:w="99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15 </w:t>
            </w:r>
          </w:p>
        </w:tc>
        <w:tc>
          <w:tcPr>
            <w:tcW w:w="153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No </w:t>
            </w:r>
          </w:p>
        </w:tc>
      </w:tr>
      <w:tr w:rsidR="00550EA0" w:rsidTr="004A3D49">
        <w:trPr>
          <w:gridAfter w:val="1"/>
          <w:wAfter w:w="3526" w:type="dxa"/>
          <w:trHeight w:val="146"/>
        </w:trPr>
        <w:tc>
          <w:tcPr>
            <w:tcW w:w="1008" w:type="dxa"/>
            <w:tcBorders>
              <w:top w:val="single" w:sz="8" w:space="0" w:color="000000"/>
              <w:left w:val="single" w:sz="8" w:space="0" w:color="000000"/>
              <w:bottom w:val="single" w:sz="8" w:space="0" w:color="000000"/>
              <w:right w:val="single" w:sz="8" w:space="0" w:color="000000"/>
            </w:tcBorders>
          </w:tcPr>
          <w:p w:rsidR="00550EA0" w:rsidRDefault="00550EA0" w:rsidP="00550EA0">
            <w:pPr>
              <w:pStyle w:val="Default"/>
              <w:ind w:right="-8208"/>
              <w:rPr>
                <w:b/>
                <w:bCs/>
                <w:sz w:val="22"/>
                <w:szCs w:val="22"/>
              </w:rPr>
            </w:pPr>
            <w:r>
              <w:rPr>
                <w:b/>
                <w:bCs/>
                <w:sz w:val="22"/>
                <w:szCs w:val="22"/>
              </w:rPr>
              <w:t>PM</w:t>
            </w:r>
            <w:r>
              <w:rPr>
                <w:b/>
                <w:bCs/>
                <w:sz w:val="22"/>
                <w:szCs w:val="22"/>
                <w:vertAlign w:val="subscript"/>
              </w:rPr>
              <w:t>2.5</w:t>
            </w:r>
          </w:p>
        </w:tc>
        <w:tc>
          <w:tcPr>
            <w:tcW w:w="90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42.5</w:t>
            </w:r>
          </w:p>
        </w:tc>
        <w:tc>
          <w:tcPr>
            <w:tcW w:w="108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53.4</w:t>
            </w:r>
          </w:p>
        </w:tc>
        <w:tc>
          <w:tcPr>
            <w:tcW w:w="126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1.3</w:t>
            </w:r>
          </w:p>
        </w:tc>
        <w:tc>
          <w:tcPr>
            <w:tcW w:w="1080" w:type="dxa"/>
            <w:tcBorders>
              <w:top w:val="single" w:sz="8" w:space="0" w:color="000000"/>
              <w:left w:val="single" w:sz="8" w:space="0" w:color="000000"/>
              <w:bottom w:val="single" w:sz="8" w:space="0" w:color="000000"/>
              <w:right w:val="single" w:sz="8" w:space="0" w:color="000000"/>
            </w:tcBorders>
          </w:tcPr>
          <w:p w:rsidR="00550EA0" w:rsidRDefault="004A3D49">
            <w:pPr>
              <w:pStyle w:val="Default"/>
              <w:jc w:val="center"/>
              <w:rPr>
                <w:sz w:val="22"/>
                <w:szCs w:val="22"/>
              </w:rPr>
            </w:pPr>
            <w:r>
              <w:rPr>
                <w:sz w:val="22"/>
                <w:szCs w:val="22"/>
              </w:rPr>
              <w:t>52.1</w:t>
            </w:r>
          </w:p>
        </w:tc>
        <w:tc>
          <w:tcPr>
            <w:tcW w:w="990" w:type="dxa"/>
            <w:tcBorders>
              <w:top w:val="single" w:sz="8" w:space="0" w:color="000000"/>
              <w:left w:val="single" w:sz="8" w:space="0" w:color="000000"/>
              <w:bottom w:val="single" w:sz="8" w:space="0" w:color="000000"/>
              <w:right w:val="single" w:sz="8" w:space="0" w:color="000000"/>
            </w:tcBorders>
          </w:tcPr>
          <w:p w:rsidR="00550EA0" w:rsidRDefault="004A3D49">
            <w:pPr>
              <w:pStyle w:val="Default"/>
              <w:jc w:val="center"/>
              <w:rPr>
                <w:sz w:val="22"/>
                <w:szCs w:val="22"/>
              </w:rPr>
            </w:pPr>
            <w:r>
              <w:rPr>
                <w:sz w:val="22"/>
                <w:szCs w:val="22"/>
              </w:rPr>
              <w:t>9.6</w:t>
            </w:r>
          </w:p>
        </w:tc>
        <w:tc>
          <w:tcPr>
            <w:tcW w:w="990" w:type="dxa"/>
            <w:tcBorders>
              <w:top w:val="single" w:sz="8" w:space="0" w:color="000000"/>
              <w:left w:val="single" w:sz="8" w:space="0" w:color="000000"/>
              <w:bottom w:val="single" w:sz="8" w:space="0" w:color="000000"/>
              <w:right w:val="single" w:sz="8" w:space="0" w:color="000000"/>
            </w:tcBorders>
          </w:tcPr>
          <w:p w:rsidR="00550EA0" w:rsidRDefault="005967A0">
            <w:pPr>
              <w:pStyle w:val="Default"/>
              <w:jc w:val="center"/>
              <w:rPr>
                <w:sz w:val="22"/>
                <w:szCs w:val="22"/>
              </w:rPr>
            </w:pPr>
            <w:r>
              <w:rPr>
                <w:sz w:val="22"/>
                <w:szCs w:val="22"/>
              </w:rPr>
              <w:t>10</w:t>
            </w:r>
          </w:p>
        </w:tc>
        <w:tc>
          <w:tcPr>
            <w:tcW w:w="1530" w:type="dxa"/>
            <w:tcBorders>
              <w:top w:val="single" w:sz="8" w:space="0" w:color="000000"/>
              <w:left w:val="single" w:sz="8" w:space="0" w:color="000000"/>
              <w:bottom w:val="single" w:sz="8" w:space="0" w:color="000000"/>
              <w:right w:val="single" w:sz="8" w:space="0" w:color="000000"/>
            </w:tcBorders>
          </w:tcPr>
          <w:p w:rsidR="00550EA0" w:rsidRDefault="00347BA5">
            <w:pPr>
              <w:pStyle w:val="Default"/>
              <w:jc w:val="center"/>
              <w:rPr>
                <w:sz w:val="22"/>
                <w:szCs w:val="22"/>
              </w:rPr>
            </w:pPr>
            <w:r>
              <w:rPr>
                <w:sz w:val="22"/>
                <w:szCs w:val="22"/>
              </w:rPr>
              <w:t>No</w:t>
            </w:r>
          </w:p>
        </w:tc>
      </w:tr>
      <w:tr w:rsidR="00550EA0" w:rsidTr="004A3D49">
        <w:trPr>
          <w:gridAfter w:val="1"/>
          <w:wAfter w:w="3526" w:type="dxa"/>
          <w:trHeight w:val="146"/>
        </w:trPr>
        <w:tc>
          <w:tcPr>
            <w:tcW w:w="1008" w:type="dxa"/>
            <w:tcBorders>
              <w:top w:val="single" w:sz="8" w:space="0" w:color="000000"/>
              <w:left w:val="single" w:sz="8" w:space="0" w:color="000000"/>
              <w:bottom w:val="single" w:sz="8" w:space="0" w:color="000000"/>
              <w:right w:val="single" w:sz="8" w:space="0" w:color="000000"/>
            </w:tcBorders>
          </w:tcPr>
          <w:p w:rsidR="00550EA0" w:rsidRDefault="00550EA0" w:rsidP="0045745F">
            <w:pPr>
              <w:pStyle w:val="Default"/>
              <w:ind w:right="-8208"/>
              <w:rPr>
                <w:sz w:val="22"/>
                <w:szCs w:val="22"/>
              </w:rPr>
            </w:pPr>
            <w:r>
              <w:rPr>
                <w:b/>
                <w:bCs/>
                <w:sz w:val="22"/>
                <w:szCs w:val="22"/>
              </w:rPr>
              <w:t xml:space="preserve">CO </w:t>
            </w:r>
          </w:p>
        </w:tc>
        <w:tc>
          <w:tcPr>
            <w:tcW w:w="90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10.4 </w:t>
            </w:r>
          </w:p>
        </w:tc>
        <w:tc>
          <w:tcPr>
            <w:tcW w:w="1080" w:type="dxa"/>
            <w:tcBorders>
              <w:top w:val="single" w:sz="8" w:space="0" w:color="000000"/>
              <w:left w:val="single" w:sz="8" w:space="0" w:color="000000"/>
              <w:bottom w:val="single" w:sz="8" w:space="0" w:color="000000"/>
              <w:right w:val="single" w:sz="8" w:space="0" w:color="000000"/>
            </w:tcBorders>
          </w:tcPr>
          <w:p w:rsidR="00550EA0" w:rsidRDefault="00550EA0" w:rsidP="00550EA0">
            <w:pPr>
              <w:pStyle w:val="Default"/>
              <w:jc w:val="center"/>
              <w:rPr>
                <w:sz w:val="22"/>
                <w:szCs w:val="22"/>
              </w:rPr>
            </w:pPr>
            <w:r>
              <w:rPr>
                <w:sz w:val="22"/>
                <w:szCs w:val="22"/>
              </w:rPr>
              <w:t>10.9</w:t>
            </w:r>
          </w:p>
        </w:tc>
        <w:tc>
          <w:tcPr>
            <w:tcW w:w="126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0.3</w:t>
            </w:r>
          </w:p>
        </w:tc>
        <w:tc>
          <w:tcPr>
            <w:tcW w:w="1080" w:type="dxa"/>
            <w:tcBorders>
              <w:top w:val="single" w:sz="8" w:space="0" w:color="000000"/>
              <w:left w:val="single" w:sz="8" w:space="0" w:color="000000"/>
              <w:bottom w:val="single" w:sz="8" w:space="0" w:color="000000"/>
              <w:right w:val="single" w:sz="8" w:space="0" w:color="000000"/>
            </w:tcBorders>
          </w:tcPr>
          <w:p w:rsidR="00550EA0" w:rsidRDefault="00550EA0" w:rsidP="004A3D49">
            <w:pPr>
              <w:pStyle w:val="Default"/>
              <w:jc w:val="center"/>
              <w:rPr>
                <w:sz w:val="22"/>
                <w:szCs w:val="22"/>
              </w:rPr>
            </w:pPr>
            <w:r>
              <w:rPr>
                <w:sz w:val="22"/>
                <w:szCs w:val="22"/>
              </w:rPr>
              <w:t>10.</w:t>
            </w:r>
            <w:r w:rsidR="004A3D49">
              <w:rPr>
                <w:sz w:val="22"/>
                <w:szCs w:val="22"/>
              </w:rPr>
              <w:t>6</w:t>
            </w:r>
            <w:r>
              <w:rPr>
                <w:sz w:val="22"/>
                <w:szCs w:val="22"/>
              </w:rPr>
              <w:t xml:space="preserve"> </w:t>
            </w:r>
          </w:p>
        </w:tc>
        <w:tc>
          <w:tcPr>
            <w:tcW w:w="990" w:type="dxa"/>
            <w:tcBorders>
              <w:top w:val="single" w:sz="8" w:space="0" w:color="000000"/>
              <w:left w:val="single" w:sz="8" w:space="0" w:color="000000"/>
              <w:bottom w:val="single" w:sz="8" w:space="0" w:color="000000"/>
              <w:right w:val="single" w:sz="8" w:space="0" w:color="000000"/>
            </w:tcBorders>
          </w:tcPr>
          <w:p w:rsidR="00550EA0" w:rsidRDefault="00550EA0" w:rsidP="004A3D49">
            <w:pPr>
              <w:pStyle w:val="Default"/>
              <w:jc w:val="center"/>
              <w:rPr>
                <w:sz w:val="22"/>
                <w:szCs w:val="22"/>
              </w:rPr>
            </w:pPr>
            <w:r>
              <w:rPr>
                <w:sz w:val="22"/>
                <w:szCs w:val="22"/>
              </w:rPr>
              <w:t xml:space="preserve">0.2 </w:t>
            </w:r>
          </w:p>
        </w:tc>
        <w:tc>
          <w:tcPr>
            <w:tcW w:w="99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100 </w:t>
            </w:r>
          </w:p>
        </w:tc>
        <w:tc>
          <w:tcPr>
            <w:tcW w:w="153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No </w:t>
            </w:r>
          </w:p>
        </w:tc>
      </w:tr>
      <w:tr w:rsidR="00550EA0" w:rsidTr="004A3D49">
        <w:trPr>
          <w:gridAfter w:val="1"/>
          <w:wAfter w:w="3526" w:type="dxa"/>
          <w:trHeight w:val="146"/>
        </w:trPr>
        <w:tc>
          <w:tcPr>
            <w:tcW w:w="1008" w:type="dxa"/>
            <w:tcBorders>
              <w:top w:val="single" w:sz="8" w:space="0" w:color="000000"/>
              <w:left w:val="single" w:sz="8" w:space="0" w:color="000000"/>
              <w:bottom w:val="single" w:sz="8" w:space="0" w:color="000000"/>
              <w:right w:val="single" w:sz="8" w:space="0" w:color="000000"/>
            </w:tcBorders>
          </w:tcPr>
          <w:p w:rsidR="00550EA0" w:rsidRDefault="00550EA0" w:rsidP="0045745F">
            <w:pPr>
              <w:pStyle w:val="Default"/>
              <w:ind w:right="-8208"/>
              <w:rPr>
                <w:sz w:val="22"/>
                <w:szCs w:val="22"/>
              </w:rPr>
            </w:pPr>
            <w:r>
              <w:rPr>
                <w:b/>
                <w:bCs/>
                <w:sz w:val="22"/>
                <w:szCs w:val="22"/>
              </w:rPr>
              <w:t xml:space="preserve">VOC </w:t>
            </w:r>
          </w:p>
        </w:tc>
        <w:tc>
          <w:tcPr>
            <w:tcW w:w="90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10.4 </w:t>
            </w:r>
          </w:p>
        </w:tc>
        <w:tc>
          <w:tcPr>
            <w:tcW w:w="1080" w:type="dxa"/>
            <w:tcBorders>
              <w:top w:val="single" w:sz="8" w:space="0" w:color="000000"/>
              <w:left w:val="single" w:sz="8" w:space="0" w:color="000000"/>
              <w:bottom w:val="single" w:sz="8" w:space="0" w:color="000000"/>
              <w:right w:val="single" w:sz="8" w:space="0" w:color="000000"/>
            </w:tcBorders>
          </w:tcPr>
          <w:p w:rsidR="00550EA0" w:rsidRDefault="00550EA0" w:rsidP="00550EA0">
            <w:pPr>
              <w:pStyle w:val="Default"/>
              <w:jc w:val="center"/>
              <w:rPr>
                <w:sz w:val="22"/>
                <w:szCs w:val="22"/>
              </w:rPr>
            </w:pPr>
            <w:r>
              <w:rPr>
                <w:sz w:val="22"/>
                <w:szCs w:val="22"/>
              </w:rPr>
              <w:t>10.9</w:t>
            </w:r>
          </w:p>
        </w:tc>
        <w:tc>
          <w:tcPr>
            <w:tcW w:w="126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0.3</w:t>
            </w:r>
          </w:p>
        </w:tc>
        <w:tc>
          <w:tcPr>
            <w:tcW w:w="1080" w:type="dxa"/>
            <w:tcBorders>
              <w:top w:val="single" w:sz="8" w:space="0" w:color="000000"/>
              <w:left w:val="single" w:sz="8" w:space="0" w:color="000000"/>
              <w:bottom w:val="single" w:sz="8" w:space="0" w:color="000000"/>
              <w:right w:val="single" w:sz="8" w:space="0" w:color="000000"/>
            </w:tcBorders>
          </w:tcPr>
          <w:p w:rsidR="00550EA0" w:rsidRDefault="00550EA0" w:rsidP="004A3D49">
            <w:pPr>
              <w:pStyle w:val="Default"/>
              <w:jc w:val="center"/>
              <w:rPr>
                <w:sz w:val="22"/>
                <w:szCs w:val="22"/>
              </w:rPr>
            </w:pPr>
            <w:r>
              <w:rPr>
                <w:sz w:val="22"/>
                <w:szCs w:val="22"/>
              </w:rPr>
              <w:t>10.</w:t>
            </w:r>
            <w:r w:rsidR="004A3D49">
              <w:rPr>
                <w:sz w:val="22"/>
                <w:szCs w:val="22"/>
              </w:rPr>
              <w:t>6</w:t>
            </w:r>
            <w:r>
              <w:rPr>
                <w:sz w:val="22"/>
                <w:szCs w:val="22"/>
              </w:rPr>
              <w:t xml:space="preserve"> </w:t>
            </w:r>
          </w:p>
        </w:tc>
        <w:tc>
          <w:tcPr>
            <w:tcW w:w="990" w:type="dxa"/>
            <w:tcBorders>
              <w:top w:val="single" w:sz="8" w:space="0" w:color="000000"/>
              <w:left w:val="single" w:sz="8" w:space="0" w:color="000000"/>
              <w:bottom w:val="single" w:sz="8" w:space="0" w:color="000000"/>
              <w:right w:val="single" w:sz="8" w:space="0" w:color="000000"/>
            </w:tcBorders>
          </w:tcPr>
          <w:p w:rsidR="00550EA0" w:rsidRDefault="00550EA0" w:rsidP="004A3D49">
            <w:pPr>
              <w:pStyle w:val="Default"/>
              <w:jc w:val="center"/>
              <w:rPr>
                <w:sz w:val="22"/>
                <w:szCs w:val="22"/>
              </w:rPr>
            </w:pPr>
            <w:r>
              <w:rPr>
                <w:sz w:val="22"/>
                <w:szCs w:val="22"/>
              </w:rPr>
              <w:t xml:space="preserve">0.2 </w:t>
            </w:r>
          </w:p>
        </w:tc>
        <w:tc>
          <w:tcPr>
            <w:tcW w:w="99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40 </w:t>
            </w:r>
          </w:p>
        </w:tc>
        <w:tc>
          <w:tcPr>
            <w:tcW w:w="1530" w:type="dxa"/>
            <w:tcBorders>
              <w:top w:val="single" w:sz="8" w:space="0" w:color="000000"/>
              <w:left w:val="single" w:sz="8" w:space="0" w:color="000000"/>
              <w:bottom w:val="single" w:sz="8" w:space="0" w:color="000000"/>
              <w:right w:val="single" w:sz="8" w:space="0" w:color="000000"/>
            </w:tcBorders>
          </w:tcPr>
          <w:p w:rsidR="00550EA0" w:rsidRDefault="00550EA0">
            <w:pPr>
              <w:pStyle w:val="Default"/>
              <w:jc w:val="center"/>
              <w:rPr>
                <w:sz w:val="22"/>
                <w:szCs w:val="22"/>
              </w:rPr>
            </w:pPr>
            <w:r>
              <w:rPr>
                <w:sz w:val="22"/>
                <w:szCs w:val="22"/>
              </w:rPr>
              <w:t xml:space="preserve">No </w:t>
            </w:r>
          </w:p>
        </w:tc>
      </w:tr>
    </w:tbl>
    <w:p w:rsidR="0045745F" w:rsidRPr="0045745F" w:rsidRDefault="0045745F" w:rsidP="00DB52EE">
      <w:pPr>
        <w:pStyle w:val="BodyText"/>
        <w:widowControl w:val="0"/>
        <w:spacing w:after="60"/>
        <w:rPr>
          <w:bCs/>
          <w:sz w:val="22"/>
          <w:szCs w:val="22"/>
        </w:rPr>
      </w:pPr>
    </w:p>
    <w:p w:rsidR="00970BB5" w:rsidRPr="005967A0" w:rsidRDefault="0045745F" w:rsidP="00176ACD">
      <w:pPr>
        <w:pStyle w:val="BodyText"/>
        <w:widowControl w:val="0"/>
        <w:spacing w:after="60"/>
        <w:rPr>
          <w:color w:val="000000"/>
        </w:rPr>
      </w:pPr>
      <w:r>
        <w:rPr>
          <w:b/>
          <w:bCs/>
          <w:sz w:val="23"/>
          <w:szCs w:val="23"/>
        </w:rPr>
        <w:t xml:space="preserve"> </w:t>
      </w:r>
      <w:r w:rsidR="00970BB5" w:rsidRPr="005967A0">
        <w:rPr>
          <w:color w:val="000000"/>
        </w:rPr>
        <w:t xml:space="preserve">Notes: </w:t>
      </w:r>
    </w:p>
    <w:p w:rsidR="00970BB5" w:rsidRPr="005967A0" w:rsidRDefault="00970BB5" w:rsidP="004A3D49">
      <w:pPr>
        <w:tabs>
          <w:tab w:val="left" w:pos="720"/>
        </w:tabs>
        <w:autoSpaceDE w:val="0"/>
        <w:autoSpaceDN w:val="0"/>
        <w:adjustRightInd w:val="0"/>
        <w:spacing w:after="120"/>
        <w:ind w:left="360" w:hanging="360"/>
        <w:rPr>
          <w:color w:val="000000"/>
        </w:rPr>
      </w:pPr>
      <w:r w:rsidRPr="005967A0">
        <w:rPr>
          <w:color w:val="000000"/>
        </w:rPr>
        <w:tab/>
        <w:t xml:space="preserve">1. </w:t>
      </w:r>
      <w:r w:rsidR="004A3D49" w:rsidRPr="005967A0">
        <w:rPr>
          <w:color w:val="000000"/>
        </w:rPr>
        <w:tab/>
      </w:r>
      <w:r w:rsidRPr="005967A0">
        <w:rPr>
          <w:color w:val="000000"/>
        </w:rPr>
        <w:t>The baseline actual emissions were calculated using a consecutive 24-month period within the last 10</w:t>
      </w:r>
      <w:r w:rsidR="005967A0">
        <w:rPr>
          <w:color w:val="000000"/>
        </w:rPr>
        <w:t xml:space="preserve"> </w:t>
      </w:r>
      <w:r w:rsidRPr="005967A0">
        <w:rPr>
          <w:color w:val="000000"/>
        </w:rPr>
        <w:t>years</w:t>
      </w:r>
      <w:r w:rsidR="00AB17C6" w:rsidRPr="005967A0">
        <w:rPr>
          <w:color w:val="000000"/>
        </w:rPr>
        <w:t xml:space="preserve"> (i.e., </w:t>
      </w:r>
      <w:r w:rsidR="005967A0">
        <w:rPr>
          <w:color w:val="000000"/>
        </w:rPr>
        <w:tab/>
      </w:r>
      <w:r w:rsidR="00AB17C6" w:rsidRPr="005967A0">
        <w:rPr>
          <w:color w:val="000000"/>
        </w:rPr>
        <w:t>avg. of 2010/2011 CY)</w:t>
      </w:r>
      <w:r w:rsidRPr="005967A0">
        <w:rPr>
          <w:color w:val="000000"/>
        </w:rPr>
        <w:t xml:space="preserve">. </w:t>
      </w:r>
    </w:p>
    <w:p w:rsidR="004A3D49" w:rsidRPr="005967A0" w:rsidRDefault="00AB17C6" w:rsidP="004A3D49">
      <w:pPr>
        <w:tabs>
          <w:tab w:val="left" w:pos="720"/>
        </w:tabs>
        <w:autoSpaceDE w:val="0"/>
        <w:autoSpaceDN w:val="0"/>
        <w:adjustRightInd w:val="0"/>
        <w:spacing w:after="120"/>
        <w:ind w:left="360" w:hanging="360"/>
        <w:rPr>
          <w:color w:val="000000"/>
        </w:rPr>
      </w:pPr>
      <w:r w:rsidRPr="005967A0">
        <w:rPr>
          <w:color w:val="000000"/>
        </w:rPr>
        <w:tab/>
        <w:t xml:space="preserve">2. </w:t>
      </w:r>
      <w:r w:rsidR="004A3D49" w:rsidRPr="005967A0">
        <w:rPr>
          <w:color w:val="000000"/>
        </w:rPr>
        <w:tab/>
      </w:r>
      <w:r w:rsidRPr="005967A0">
        <w:rPr>
          <w:color w:val="000000"/>
        </w:rPr>
        <w:t xml:space="preserve">The future actual emissions </w:t>
      </w:r>
      <w:r w:rsidR="00081097" w:rsidRPr="005967A0">
        <w:rPr>
          <w:color w:val="000000"/>
        </w:rPr>
        <w:t xml:space="preserve">are the maximum estimated </w:t>
      </w:r>
      <w:r w:rsidR="00086F09" w:rsidRPr="005967A0">
        <w:rPr>
          <w:color w:val="000000"/>
        </w:rPr>
        <w:t>emission</w:t>
      </w:r>
      <w:r w:rsidR="00081097" w:rsidRPr="005967A0">
        <w:rPr>
          <w:color w:val="000000"/>
        </w:rPr>
        <w:t xml:space="preserve"> rate expected based upon emission factors and the </w:t>
      </w:r>
      <w:r w:rsidR="005967A0">
        <w:rPr>
          <w:color w:val="000000"/>
        </w:rPr>
        <w:tab/>
      </w:r>
      <w:r w:rsidR="00081097" w:rsidRPr="005967A0">
        <w:rPr>
          <w:color w:val="000000"/>
        </w:rPr>
        <w:t>maximum expected production rate within the next five years which is 109,000 tons of glass pulled.</w:t>
      </w:r>
    </w:p>
    <w:p w:rsidR="00AB17C6" w:rsidRPr="005967A0" w:rsidRDefault="00970BB5" w:rsidP="004A3D49">
      <w:pPr>
        <w:tabs>
          <w:tab w:val="left" w:pos="720"/>
        </w:tabs>
        <w:autoSpaceDE w:val="0"/>
        <w:autoSpaceDN w:val="0"/>
        <w:adjustRightInd w:val="0"/>
        <w:spacing w:after="120"/>
        <w:ind w:left="360" w:hanging="360"/>
        <w:rPr>
          <w:color w:val="000000"/>
        </w:rPr>
      </w:pPr>
      <w:r w:rsidRPr="005967A0">
        <w:rPr>
          <w:color w:val="000000"/>
        </w:rPr>
        <w:tab/>
      </w:r>
      <w:r w:rsidR="00081097" w:rsidRPr="005967A0">
        <w:rPr>
          <w:color w:val="000000"/>
        </w:rPr>
        <w:t xml:space="preserve">3. </w:t>
      </w:r>
      <w:r w:rsidR="004A3D49" w:rsidRPr="005967A0">
        <w:rPr>
          <w:color w:val="000000"/>
        </w:rPr>
        <w:tab/>
      </w:r>
      <w:r w:rsidR="00D1342E" w:rsidRPr="005967A0">
        <w:rPr>
          <w:color w:val="000000"/>
        </w:rPr>
        <w:t xml:space="preserve">The demand growth exclusion/capable of </w:t>
      </w:r>
      <w:r w:rsidR="00086F09" w:rsidRPr="005967A0">
        <w:rPr>
          <w:color w:val="000000"/>
        </w:rPr>
        <w:t>accommodating</w:t>
      </w:r>
      <w:r w:rsidR="00D1342E" w:rsidRPr="005967A0">
        <w:rPr>
          <w:color w:val="000000"/>
        </w:rPr>
        <w:t xml:space="preserve"> emissions are based upon the prior reasonable </w:t>
      </w:r>
      <w:r w:rsidR="00D1342E" w:rsidRPr="005967A0">
        <w:rPr>
          <w:color w:val="000000"/>
        </w:rPr>
        <w:tab/>
        <w:t xml:space="preserve">unrealized capacity of the emissions unit prior to the project and unrelated to the project. This capacity was </w:t>
      </w:r>
      <w:r w:rsidR="00176ACD">
        <w:rPr>
          <w:color w:val="000000"/>
        </w:rPr>
        <w:tab/>
      </w:r>
      <w:r w:rsidR="00D1342E" w:rsidRPr="005967A0">
        <w:rPr>
          <w:color w:val="000000"/>
        </w:rPr>
        <w:t>determined to be 106,4</w:t>
      </w:r>
      <w:r w:rsidR="004118FA">
        <w:rPr>
          <w:color w:val="000000"/>
        </w:rPr>
        <w:t>64</w:t>
      </w:r>
      <w:r w:rsidR="00D1342E" w:rsidRPr="005967A0">
        <w:rPr>
          <w:color w:val="000000"/>
        </w:rPr>
        <w:t xml:space="preserve"> TPY of glass pulled. It is based upon the highest monthly output of glass which occurred </w:t>
      </w:r>
      <w:r w:rsidR="00176ACD">
        <w:rPr>
          <w:color w:val="000000"/>
        </w:rPr>
        <w:tab/>
      </w:r>
      <w:r w:rsidR="00D1342E" w:rsidRPr="005967A0">
        <w:rPr>
          <w:color w:val="000000"/>
        </w:rPr>
        <w:t>during the baseline averaging period which was 8872 tons</w:t>
      </w:r>
      <w:r w:rsidR="004118FA">
        <w:rPr>
          <w:color w:val="000000"/>
        </w:rPr>
        <w:t xml:space="preserve">, </w:t>
      </w:r>
      <w:r w:rsidR="004118FA" w:rsidRPr="004118FA">
        <w:t>that has been annualized (8872 tpm x 12 m</w:t>
      </w:r>
      <w:r w:rsidR="004118FA">
        <w:t>onths</w:t>
      </w:r>
      <w:r w:rsidR="004118FA" w:rsidRPr="004118FA">
        <w:t xml:space="preserve"> = </w:t>
      </w:r>
      <w:r w:rsidR="004118FA">
        <w:tab/>
      </w:r>
      <w:r w:rsidR="004118FA" w:rsidRPr="004118FA">
        <w:t xml:space="preserve">106,464 </w:t>
      </w:r>
      <w:r w:rsidR="004118FA" w:rsidRPr="004118FA">
        <w:tab/>
        <w:t>tpy).</w:t>
      </w:r>
      <w:r w:rsidR="00D1342E" w:rsidRPr="004118FA">
        <w:t xml:space="preserve"> </w:t>
      </w:r>
      <w:r w:rsidR="00D1342E" w:rsidRPr="005967A0">
        <w:rPr>
          <w:color w:val="000000"/>
        </w:rPr>
        <w:t xml:space="preserve">  </w:t>
      </w:r>
    </w:p>
    <w:p w:rsidR="00970BB5" w:rsidRPr="005967A0" w:rsidRDefault="004A3D49" w:rsidP="004A3D49">
      <w:pPr>
        <w:autoSpaceDE w:val="0"/>
        <w:autoSpaceDN w:val="0"/>
        <w:adjustRightInd w:val="0"/>
        <w:spacing w:after="120"/>
        <w:ind w:left="360" w:hanging="360"/>
        <w:jc w:val="both"/>
        <w:rPr>
          <w:color w:val="000000"/>
        </w:rPr>
      </w:pPr>
      <w:r w:rsidRPr="005967A0">
        <w:rPr>
          <w:color w:val="000000"/>
        </w:rPr>
        <w:tab/>
        <w:t>4</w:t>
      </w:r>
      <w:r w:rsidR="00970BB5" w:rsidRPr="005967A0">
        <w:rPr>
          <w:color w:val="000000"/>
        </w:rPr>
        <w:t xml:space="preserve">. </w:t>
      </w:r>
      <w:r w:rsidRPr="005967A0">
        <w:rPr>
          <w:color w:val="000000"/>
        </w:rPr>
        <w:tab/>
      </w:r>
      <w:r w:rsidR="00970BB5" w:rsidRPr="005967A0">
        <w:rPr>
          <w:color w:val="000000"/>
        </w:rPr>
        <w:t xml:space="preserve">The projected actual emissions are based on the maximum </w:t>
      </w:r>
      <w:r w:rsidR="00550EA0" w:rsidRPr="005967A0">
        <w:rPr>
          <w:color w:val="000000"/>
        </w:rPr>
        <w:t>projected</w:t>
      </w:r>
      <w:r w:rsidR="00970BB5" w:rsidRPr="005967A0">
        <w:rPr>
          <w:color w:val="000000"/>
        </w:rPr>
        <w:t xml:space="preserve"> glass pull rate (production rate) of </w:t>
      </w:r>
      <w:r w:rsidR="00970BB5" w:rsidRPr="005967A0">
        <w:rPr>
          <w:color w:val="000000"/>
        </w:rPr>
        <w:tab/>
      </w:r>
      <w:r w:rsidRPr="005967A0">
        <w:rPr>
          <w:color w:val="000000"/>
        </w:rPr>
        <w:tab/>
      </w:r>
      <w:r w:rsidR="00970BB5" w:rsidRPr="005967A0">
        <w:rPr>
          <w:color w:val="000000"/>
        </w:rPr>
        <w:t>10</w:t>
      </w:r>
      <w:r w:rsidR="00550EA0" w:rsidRPr="005967A0">
        <w:rPr>
          <w:color w:val="000000"/>
        </w:rPr>
        <w:t>9</w:t>
      </w:r>
      <w:r w:rsidR="00970BB5" w:rsidRPr="005967A0">
        <w:rPr>
          <w:color w:val="000000"/>
        </w:rPr>
        <w:t>,</w:t>
      </w:r>
      <w:r w:rsidR="00550EA0" w:rsidRPr="005967A0">
        <w:rPr>
          <w:color w:val="000000"/>
        </w:rPr>
        <w:t>0</w:t>
      </w:r>
      <w:r w:rsidR="00970BB5" w:rsidRPr="005967A0">
        <w:rPr>
          <w:color w:val="000000"/>
        </w:rPr>
        <w:t>00 tons</w:t>
      </w:r>
      <w:r w:rsidRPr="005967A0">
        <w:rPr>
          <w:color w:val="000000"/>
        </w:rPr>
        <w:t>,</w:t>
      </w:r>
      <w:r w:rsidR="00970BB5" w:rsidRPr="005967A0">
        <w:rPr>
          <w:color w:val="000000"/>
        </w:rPr>
        <w:t xml:space="preserve"> emission factors</w:t>
      </w:r>
      <w:r w:rsidRPr="005967A0">
        <w:rPr>
          <w:color w:val="000000"/>
        </w:rPr>
        <w:t xml:space="preserve">, and includes demand growth exclusion/capable of </w:t>
      </w:r>
      <w:r w:rsidR="00086F09" w:rsidRPr="005967A0">
        <w:rPr>
          <w:color w:val="000000"/>
        </w:rPr>
        <w:t>accommodating</w:t>
      </w:r>
      <w:r w:rsidRPr="005967A0">
        <w:rPr>
          <w:color w:val="000000"/>
        </w:rPr>
        <w:t xml:space="preserve"> </w:t>
      </w:r>
      <w:r w:rsidRPr="005967A0">
        <w:rPr>
          <w:color w:val="000000"/>
        </w:rPr>
        <w:tab/>
      </w:r>
      <w:r w:rsidRPr="005967A0">
        <w:rPr>
          <w:color w:val="000000"/>
        </w:rPr>
        <w:tab/>
      </w:r>
      <w:r w:rsidRPr="005967A0">
        <w:rPr>
          <w:color w:val="000000"/>
        </w:rPr>
        <w:tab/>
      </w:r>
      <w:r w:rsidRPr="005967A0">
        <w:rPr>
          <w:color w:val="000000"/>
        </w:rPr>
        <w:tab/>
        <w:t>emissions</w:t>
      </w:r>
      <w:r w:rsidR="00970BB5" w:rsidRPr="005967A0">
        <w:rPr>
          <w:color w:val="000000"/>
        </w:rPr>
        <w:t xml:space="preserve">. </w:t>
      </w:r>
    </w:p>
    <w:p w:rsidR="00550EA0" w:rsidRDefault="00970BB5" w:rsidP="004A3D49">
      <w:pPr>
        <w:pStyle w:val="BodyText"/>
        <w:widowControl w:val="0"/>
        <w:tabs>
          <w:tab w:val="left" w:pos="720"/>
        </w:tabs>
        <w:ind w:left="360" w:hanging="360"/>
        <w:rPr>
          <w:color w:val="000000"/>
          <w:sz w:val="22"/>
          <w:szCs w:val="22"/>
        </w:rPr>
      </w:pPr>
      <w:r w:rsidRPr="005967A0">
        <w:rPr>
          <w:color w:val="000000"/>
          <w:sz w:val="20"/>
        </w:rPr>
        <w:tab/>
      </w:r>
      <w:r w:rsidR="004A3D49" w:rsidRPr="005967A0">
        <w:rPr>
          <w:color w:val="000000"/>
          <w:sz w:val="20"/>
        </w:rPr>
        <w:t xml:space="preserve">5. </w:t>
      </w:r>
      <w:r w:rsidR="004A3D49" w:rsidRPr="005967A0">
        <w:rPr>
          <w:color w:val="000000"/>
          <w:sz w:val="20"/>
        </w:rPr>
        <w:tab/>
      </w:r>
      <w:r w:rsidR="00C604B5" w:rsidRPr="00C604B5">
        <w:rPr>
          <w:sz w:val="20"/>
        </w:rPr>
        <w:t xml:space="preserve">Net Increase is the Projected Actual – Baseline Actual.  If the net </w:t>
      </w:r>
      <w:proofErr w:type="gramStart"/>
      <w:r w:rsidR="00C604B5" w:rsidRPr="00C604B5">
        <w:rPr>
          <w:sz w:val="20"/>
        </w:rPr>
        <w:t>increase</w:t>
      </w:r>
      <w:r w:rsidR="00C604B5" w:rsidRPr="00C604B5">
        <w:rPr>
          <w:strike/>
          <w:sz w:val="20"/>
        </w:rPr>
        <w:t>s</w:t>
      </w:r>
      <w:r w:rsidR="00C604B5" w:rsidRPr="00C604B5">
        <w:rPr>
          <w:sz w:val="20"/>
        </w:rPr>
        <w:t xml:space="preserve"> is</w:t>
      </w:r>
      <w:proofErr w:type="gramEnd"/>
      <w:r w:rsidR="00C604B5" w:rsidRPr="00C604B5">
        <w:rPr>
          <w:sz w:val="20"/>
        </w:rPr>
        <w:t xml:space="preserve"> projected to be a negative value, zero </w:t>
      </w:r>
      <w:r w:rsidR="00C604B5">
        <w:rPr>
          <w:sz w:val="20"/>
        </w:rPr>
        <w:tab/>
      </w:r>
      <w:r w:rsidR="00C604B5" w:rsidRPr="00C604B5">
        <w:rPr>
          <w:sz w:val="20"/>
        </w:rPr>
        <w:t>is reported.</w:t>
      </w:r>
    </w:p>
    <w:p w:rsidR="00007C49" w:rsidRDefault="00550EA0" w:rsidP="00970BB5">
      <w:pPr>
        <w:pStyle w:val="BodyText"/>
        <w:widowControl w:val="0"/>
        <w:spacing w:after="60"/>
        <w:rPr>
          <w:color w:val="000000"/>
          <w:sz w:val="22"/>
          <w:szCs w:val="22"/>
        </w:rPr>
      </w:pPr>
      <w:r>
        <w:rPr>
          <w:color w:val="000000"/>
          <w:sz w:val="22"/>
          <w:szCs w:val="22"/>
        </w:rPr>
        <w:tab/>
      </w:r>
      <w:r w:rsidR="00970BB5" w:rsidRPr="00970BB5">
        <w:rPr>
          <w:color w:val="000000"/>
          <w:sz w:val="22"/>
          <w:szCs w:val="22"/>
        </w:rPr>
        <w:t xml:space="preserve">When comparing the net increase (decrease) from the project to the significant net emissions increase levels </w:t>
      </w:r>
      <w:r w:rsidR="00970BB5">
        <w:rPr>
          <w:color w:val="000000"/>
          <w:sz w:val="22"/>
          <w:szCs w:val="22"/>
        </w:rPr>
        <w:tab/>
      </w:r>
      <w:r w:rsidR="00970BB5" w:rsidRPr="00970BB5">
        <w:rPr>
          <w:color w:val="000000"/>
          <w:sz w:val="22"/>
          <w:szCs w:val="22"/>
        </w:rPr>
        <w:t>listed in 40 CFR 52.21(b</w:t>
      </w:r>
      <w:proofErr w:type="gramStart"/>
      <w:r w:rsidR="00970BB5" w:rsidRPr="00970BB5">
        <w:rPr>
          <w:color w:val="000000"/>
          <w:sz w:val="22"/>
          <w:szCs w:val="22"/>
        </w:rPr>
        <w:t>)(</w:t>
      </w:r>
      <w:proofErr w:type="gramEnd"/>
      <w:r w:rsidR="00970BB5" w:rsidRPr="00970BB5">
        <w:rPr>
          <w:color w:val="000000"/>
          <w:sz w:val="22"/>
          <w:szCs w:val="22"/>
        </w:rPr>
        <w:t xml:space="preserve">23)(i), Rule 62-204.800, </w:t>
      </w:r>
      <w:r w:rsidR="00086F09" w:rsidRPr="00970BB5">
        <w:rPr>
          <w:color w:val="000000"/>
          <w:sz w:val="22"/>
          <w:szCs w:val="22"/>
        </w:rPr>
        <w:t>F.A.C.</w:t>
      </w:r>
      <w:r w:rsidR="00970BB5" w:rsidRPr="00970BB5">
        <w:rPr>
          <w:color w:val="000000"/>
          <w:sz w:val="22"/>
          <w:szCs w:val="22"/>
        </w:rPr>
        <w:t xml:space="preserve"> and Rule 2.201, JEPB, it is determined that no </w:t>
      </w:r>
      <w:r w:rsidR="00970BB5">
        <w:rPr>
          <w:color w:val="000000"/>
          <w:sz w:val="22"/>
          <w:szCs w:val="22"/>
        </w:rPr>
        <w:tab/>
      </w:r>
      <w:r w:rsidR="00970BB5" w:rsidRPr="00970BB5">
        <w:rPr>
          <w:color w:val="000000"/>
          <w:sz w:val="22"/>
          <w:szCs w:val="22"/>
        </w:rPr>
        <w:t xml:space="preserve">significant net increase was triggered. Therefore, this construction project is not subject to the applicable PSD </w:t>
      </w:r>
      <w:r w:rsidR="00970BB5">
        <w:rPr>
          <w:color w:val="000000"/>
          <w:sz w:val="22"/>
          <w:szCs w:val="22"/>
        </w:rPr>
        <w:tab/>
      </w:r>
      <w:r w:rsidR="00970BB5" w:rsidRPr="00970BB5">
        <w:rPr>
          <w:color w:val="000000"/>
          <w:sz w:val="22"/>
          <w:szCs w:val="22"/>
        </w:rPr>
        <w:t xml:space="preserve">preconstruction review requirements of Rule 62-212.400, </w:t>
      </w:r>
      <w:r w:rsidR="00086F09" w:rsidRPr="00970BB5">
        <w:rPr>
          <w:color w:val="000000"/>
          <w:sz w:val="22"/>
          <w:szCs w:val="22"/>
        </w:rPr>
        <w:t>F.A.C.</w:t>
      </w:r>
      <w:r w:rsidR="00970BB5" w:rsidRPr="00970BB5">
        <w:rPr>
          <w:color w:val="000000"/>
          <w:sz w:val="22"/>
          <w:szCs w:val="22"/>
        </w:rPr>
        <w:t xml:space="preserve"> for the Prevention of Significant </w:t>
      </w:r>
      <w:r w:rsidR="00176ACD">
        <w:rPr>
          <w:color w:val="000000"/>
          <w:sz w:val="22"/>
          <w:szCs w:val="22"/>
        </w:rPr>
        <w:tab/>
      </w:r>
      <w:r w:rsidR="00970BB5" w:rsidRPr="00970BB5">
        <w:rPr>
          <w:color w:val="000000"/>
          <w:sz w:val="22"/>
          <w:szCs w:val="22"/>
        </w:rPr>
        <w:t xml:space="preserve">Deterioration of Air Quality. </w:t>
      </w:r>
    </w:p>
    <w:p w:rsidR="002D07D2" w:rsidRPr="002D07D2" w:rsidRDefault="002D07D2" w:rsidP="00970BB5">
      <w:pPr>
        <w:pStyle w:val="BodyText"/>
        <w:widowControl w:val="0"/>
        <w:spacing w:after="60"/>
        <w:rPr>
          <w:color w:val="000000"/>
          <w:sz w:val="22"/>
          <w:szCs w:val="22"/>
        </w:rPr>
      </w:pPr>
      <w:r>
        <w:rPr>
          <w:color w:val="000000"/>
          <w:sz w:val="22"/>
          <w:szCs w:val="22"/>
        </w:rPr>
        <w:tab/>
      </w:r>
      <w:r w:rsidRPr="002D07D2">
        <w:rPr>
          <w:sz w:val="22"/>
          <w:szCs w:val="22"/>
        </w:rPr>
        <w:t xml:space="preserve">Pursuant to Rule 62-212.300(1)(e), F.A.C., </w:t>
      </w:r>
      <w:r>
        <w:rPr>
          <w:sz w:val="22"/>
          <w:szCs w:val="22"/>
        </w:rPr>
        <w:t xml:space="preserve">and Rule 2.401, JEPB </w:t>
      </w:r>
      <w:r w:rsidRPr="002D07D2">
        <w:rPr>
          <w:sz w:val="22"/>
          <w:szCs w:val="22"/>
        </w:rPr>
        <w:t xml:space="preserve">the applicant shall provide reports in </w:t>
      </w:r>
      <w:r>
        <w:rPr>
          <w:sz w:val="22"/>
          <w:szCs w:val="22"/>
        </w:rPr>
        <w:tab/>
      </w:r>
      <w:r w:rsidRPr="002D07D2">
        <w:rPr>
          <w:sz w:val="22"/>
          <w:szCs w:val="22"/>
        </w:rPr>
        <w:t xml:space="preserve">summarizing actual </w:t>
      </w:r>
      <w:r>
        <w:rPr>
          <w:sz w:val="22"/>
          <w:szCs w:val="22"/>
        </w:rPr>
        <w:tab/>
      </w:r>
      <w:r w:rsidRPr="002D07D2">
        <w:rPr>
          <w:sz w:val="22"/>
          <w:szCs w:val="22"/>
        </w:rPr>
        <w:t xml:space="preserve">emissions of all pollutants listed in Table </w:t>
      </w:r>
      <w:r w:rsidR="00805485">
        <w:rPr>
          <w:sz w:val="22"/>
          <w:szCs w:val="22"/>
        </w:rPr>
        <w:t>1</w:t>
      </w:r>
      <w:r w:rsidRPr="002D07D2">
        <w:rPr>
          <w:sz w:val="22"/>
          <w:szCs w:val="22"/>
        </w:rPr>
        <w:t xml:space="preserve"> above computed in accordance with the </w:t>
      </w:r>
      <w:r>
        <w:rPr>
          <w:sz w:val="22"/>
          <w:szCs w:val="22"/>
        </w:rPr>
        <w:tab/>
      </w:r>
      <w:r w:rsidRPr="002D07D2">
        <w:rPr>
          <w:sz w:val="22"/>
          <w:szCs w:val="22"/>
        </w:rPr>
        <w:t>requirements of Rule 62-210.370, F.A.C.</w:t>
      </w:r>
      <w:r>
        <w:rPr>
          <w:sz w:val="22"/>
          <w:szCs w:val="22"/>
        </w:rPr>
        <w:t>, and Rule 2.301, JEPB</w:t>
      </w:r>
      <w:r w:rsidRPr="002D07D2">
        <w:rPr>
          <w:sz w:val="22"/>
          <w:szCs w:val="22"/>
        </w:rPr>
        <w:t xml:space="preserve"> for each year during the 5-year period </w:t>
      </w:r>
      <w:r>
        <w:rPr>
          <w:sz w:val="22"/>
          <w:szCs w:val="22"/>
        </w:rPr>
        <w:tab/>
      </w:r>
      <w:r w:rsidRPr="002D07D2">
        <w:rPr>
          <w:sz w:val="22"/>
          <w:szCs w:val="22"/>
        </w:rPr>
        <w:t>following completion of the project.</w:t>
      </w:r>
    </w:p>
    <w:p w:rsidR="00B7612C" w:rsidRDefault="00243A64" w:rsidP="007E0CED">
      <w:pPr>
        <w:pStyle w:val="BodyText"/>
        <w:widowControl w:val="0"/>
        <w:rPr>
          <w:sz w:val="22"/>
          <w:szCs w:val="22"/>
        </w:rPr>
      </w:pPr>
      <w:r>
        <w:rPr>
          <w:sz w:val="22"/>
          <w:szCs w:val="22"/>
        </w:rPr>
        <w:t xml:space="preserve"> </w:t>
      </w:r>
    </w:p>
    <w:p w:rsidR="00193F10" w:rsidRPr="00987C82" w:rsidRDefault="00193F10" w:rsidP="00987C82">
      <w:pPr>
        <w:pStyle w:val="ListParagraph"/>
        <w:numPr>
          <w:ilvl w:val="0"/>
          <w:numId w:val="13"/>
        </w:numPr>
        <w:spacing w:after="120"/>
        <w:ind w:left="720" w:hanging="720"/>
        <w:contextualSpacing w:val="0"/>
        <w:rPr>
          <w:rFonts w:ascii="Times New Roman" w:hAnsi="Times New Roman" w:cs="Times New Roman"/>
          <w:b/>
          <w:caps/>
        </w:rPr>
      </w:pPr>
      <w:r w:rsidRPr="00987C82">
        <w:rPr>
          <w:rFonts w:ascii="Times New Roman" w:hAnsi="Times New Roman" w:cs="Times New Roman"/>
          <w:b/>
          <w:caps/>
        </w:rPr>
        <w:t>Preliminary Determination</w:t>
      </w:r>
    </w:p>
    <w:p w:rsidR="00193F10" w:rsidRPr="00744B89" w:rsidRDefault="00193F10" w:rsidP="00767228">
      <w:pPr>
        <w:widowControl w:val="0"/>
        <w:spacing w:after="120"/>
        <w:rPr>
          <w:sz w:val="22"/>
        </w:rPr>
      </w:pPr>
      <w:r>
        <w:rPr>
          <w:sz w:val="22"/>
        </w:rPr>
        <w:t xml:space="preserve">The Department makes a preliminary determination that the proposed project will comply with all applicable </w:t>
      </w:r>
      <w:r w:rsidR="002D07D2">
        <w:rPr>
          <w:sz w:val="22"/>
        </w:rPr>
        <w:t xml:space="preserve">local, </w:t>
      </w:r>
      <w:r>
        <w:rPr>
          <w:sz w:val="22"/>
        </w:rPr>
        <w:t>state</w:t>
      </w:r>
      <w:r w:rsidR="002D07D2">
        <w:rPr>
          <w:sz w:val="22"/>
        </w:rPr>
        <w:t>,</w:t>
      </w:r>
      <w:r>
        <w:rPr>
          <w:sz w:val="22"/>
        </w:rPr>
        <w:t xml:space="preserve"> and federal air pollution regulations as conditioned by the draft permit.  </w:t>
      </w:r>
      <w:r w:rsidR="002D07D2">
        <w:rPr>
          <w:sz w:val="22"/>
        </w:rPr>
        <w:t>J</w:t>
      </w:r>
      <w:r w:rsidR="003D3DDF">
        <w:rPr>
          <w:sz w:val="22"/>
        </w:rPr>
        <w:t>erry Woosley</w:t>
      </w:r>
      <w:r>
        <w:rPr>
          <w:sz w:val="22"/>
        </w:rPr>
        <w:t xml:space="preserve"> is the project </w:t>
      </w:r>
      <w:r w:rsidR="003D3DDF">
        <w:rPr>
          <w:sz w:val="22"/>
        </w:rPr>
        <w:t>specialist</w:t>
      </w:r>
      <w:r>
        <w:rPr>
          <w:sz w:val="22"/>
        </w:rPr>
        <w:t xml:space="preserve"> responsible for reviewing the application and drafting the permit.  Additional details of this analysis may be obtained by contacting </w:t>
      </w:r>
      <w:r w:rsidR="003D3DDF">
        <w:rPr>
          <w:sz w:val="22"/>
        </w:rPr>
        <w:t>him</w:t>
      </w:r>
      <w:r w:rsidR="00767228">
        <w:rPr>
          <w:sz w:val="22"/>
        </w:rPr>
        <w:t xml:space="preserve"> at </w:t>
      </w:r>
      <w:r w:rsidR="003D3DDF">
        <w:rPr>
          <w:sz w:val="22"/>
        </w:rPr>
        <w:t>904</w:t>
      </w:r>
      <w:r w:rsidR="00767228">
        <w:rPr>
          <w:sz w:val="22"/>
        </w:rPr>
        <w:t>-</w:t>
      </w:r>
      <w:r w:rsidR="003D3DDF">
        <w:rPr>
          <w:sz w:val="22"/>
        </w:rPr>
        <w:t>256</w:t>
      </w:r>
      <w:r w:rsidR="00767228">
        <w:rPr>
          <w:sz w:val="22"/>
        </w:rPr>
        <w:t>-</w:t>
      </w:r>
      <w:r w:rsidR="003D3DDF">
        <w:rPr>
          <w:sz w:val="22"/>
        </w:rPr>
        <w:t>1700</w:t>
      </w:r>
      <w:r w:rsidR="00673025">
        <w:rPr>
          <w:sz w:val="22"/>
        </w:rPr>
        <w:t>, by email at</w:t>
      </w:r>
      <w:r w:rsidR="00767228">
        <w:rPr>
          <w:sz w:val="22"/>
        </w:rPr>
        <w:t xml:space="preserve"> </w:t>
      </w:r>
      <w:hyperlink r:id="rId10" w:history="1">
        <w:r w:rsidR="003D3DDF" w:rsidRPr="003A2F5A">
          <w:rPr>
            <w:rStyle w:val="Hyperlink"/>
            <w:sz w:val="22"/>
          </w:rPr>
          <w:t>jerry.woosley@dep.state.fl.us</w:t>
        </w:r>
      </w:hyperlink>
      <w:r w:rsidR="00673025">
        <w:t xml:space="preserve"> </w:t>
      </w:r>
      <w:r w:rsidR="00767228">
        <w:rPr>
          <w:sz w:val="22"/>
        </w:rPr>
        <w:t xml:space="preserve">or </w:t>
      </w:r>
      <w:r w:rsidR="00673025">
        <w:rPr>
          <w:sz w:val="22"/>
        </w:rPr>
        <w:t xml:space="preserve">by mail </w:t>
      </w:r>
      <w:r>
        <w:rPr>
          <w:sz w:val="22"/>
        </w:rPr>
        <w:t xml:space="preserve">at the Department’s </w:t>
      </w:r>
      <w:r w:rsidR="00086F09">
        <w:rPr>
          <w:sz w:val="22"/>
        </w:rPr>
        <w:t>Northeast</w:t>
      </w:r>
      <w:r w:rsidR="003D3DDF">
        <w:rPr>
          <w:sz w:val="22"/>
        </w:rPr>
        <w:t xml:space="preserve"> </w:t>
      </w:r>
      <w:r w:rsidR="00C9344F">
        <w:rPr>
          <w:sz w:val="22"/>
        </w:rPr>
        <w:t>D</w:t>
      </w:r>
      <w:r w:rsidR="003D3DDF">
        <w:rPr>
          <w:sz w:val="22"/>
        </w:rPr>
        <w:t>istrict Office, Waste and Air Resource Management program, 8800 Baymeadows Way West, Suite 100, Jacksonville, FL 32256</w:t>
      </w:r>
      <w:r>
        <w:rPr>
          <w:sz w:val="22"/>
        </w:rPr>
        <w:t>.</w:t>
      </w:r>
    </w:p>
    <w:sectPr w:rsidR="00193F10" w:rsidRPr="00744B89" w:rsidSect="00DB52EE">
      <w:headerReference w:type="default" r:id="rId11"/>
      <w:footerReference w:type="default" r:id="rId12"/>
      <w:headerReference w:type="first" r:id="rId13"/>
      <w:footerReference w:type="first" r:id="rId14"/>
      <w:pgSz w:w="12240" w:h="15840" w:code="1"/>
      <w:pgMar w:top="900" w:right="1080" w:bottom="720" w:left="1080" w:header="432" w:footer="290" w:gutter="0"/>
      <w:paperSrc w:first="15" w:other="15"/>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17C6" w:rsidRDefault="00AB17C6">
      <w:r>
        <w:separator/>
      </w:r>
    </w:p>
  </w:endnote>
  <w:endnote w:type="continuationSeparator" w:id="0">
    <w:p w:rsidR="00AB17C6" w:rsidRDefault="00AB17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New Roman Bold">
    <w:panose1 w:val="02020803070505020304"/>
    <w:charset w:val="00"/>
    <w:family w:val="roman"/>
    <w:notTrueType/>
    <w:pitch w:val="default"/>
    <w:sig w:usb0="00000000" w:usb1="00000000" w:usb2="00000000" w:usb3="00000000" w:csb0="00000000"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C6" w:rsidRPr="00C02BEB" w:rsidRDefault="00AB17C6" w:rsidP="00767228">
    <w:pPr>
      <w:pBdr>
        <w:top w:val="single" w:sz="6" w:space="1" w:color="auto"/>
      </w:pBdr>
      <w:tabs>
        <w:tab w:val="right" w:pos="10080"/>
      </w:tabs>
      <w:spacing w:before="240"/>
      <w:rPr>
        <w:rStyle w:val="PageNumber"/>
        <w:highlight w:val="yellow"/>
      </w:rPr>
    </w:pPr>
    <w:r>
      <w:t>Ardagh Glass, Inc.</w:t>
    </w:r>
    <w:r w:rsidRPr="00C02BEB">
      <w:rPr>
        <w:rStyle w:val="PageNumber"/>
      </w:rPr>
      <w:tab/>
    </w:r>
    <w:r w:rsidRPr="00256144">
      <w:rPr>
        <w:rStyle w:val="PageNumber"/>
      </w:rPr>
      <w:t>Air Permit No.</w:t>
    </w:r>
    <w:r w:rsidRPr="00B92D6B">
      <w:rPr>
        <w:rStyle w:val="PageNumber"/>
      </w:rPr>
      <w:t xml:space="preserve"> </w:t>
    </w:r>
    <w:r>
      <w:rPr>
        <w:rStyle w:val="PageNumber"/>
      </w:rPr>
      <w:t>0310005-015-AC</w:t>
    </w:r>
  </w:p>
  <w:p w:rsidR="00AB17C6" w:rsidRPr="00C02BEB" w:rsidRDefault="00AB17C6" w:rsidP="00772A4D">
    <w:pPr>
      <w:pBdr>
        <w:top w:val="single" w:sz="6" w:space="1" w:color="auto"/>
      </w:pBdr>
      <w:tabs>
        <w:tab w:val="right" w:pos="10080"/>
      </w:tabs>
      <w:rPr>
        <w:rStyle w:val="PageNumber"/>
      </w:rPr>
    </w:pPr>
    <w:r>
      <w:rPr>
        <w:rStyle w:val="PageNumber"/>
      </w:rPr>
      <w:t>Jacksonville Facility</w:t>
    </w:r>
    <w:r w:rsidRPr="00C02BEB">
      <w:rPr>
        <w:rStyle w:val="PageNumber"/>
      </w:rPr>
      <w:tab/>
    </w:r>
    <w:r>
      <w:rPr>
        <w:rStyle w:val="PageNumber"/>
      </w:rPr>
      <w:t>No. 3 and No. 4 Glass Furnaces</w:t>
    </w:r>
  </w:p>
  <w:p w:rsidR="00AB17C6" w:rsidRDefault="00AB17C6">
    <w:pPr>
      <w:pStyle w:val="Footer"/>
      <w:tabs>
        <w:tab w:val="clear" w:pos="4320"/>
        <w:tab w:val="clear" w:pos="8640"/>
      </w:tabs>
      <w:jc w:val="center"/>
    </w:pPr>
    <w:r>
      <w:rPr>
        <w:rStyle w:val="PageNumber"/>
      </w:rPr>
      <w:t xml:space="preserve">Page </w:t>
    </w:r>
    <w:r w:rsidR="001D2C19">
      <w:rPr>
        <w:rStyle w:val="PageNumber"/>
      </w:rPr>
      <w:fldChar w:fldCharType="begin"/>
    </w:r>
    <w:r>
      <w:rPr>
        <w:rStyle w:val="PageNumber"/>
      </w:rPr>
      <w:instrText xml:space="preserve"> PAGE </w:instrText>
    </w:r>
    <w:r w:rsidR="001D2C19">
      <w:rPr>
        <w:rStyle w:val="PageNumber"/>
      </w:rPr>
      <w:fldChar w:fldCharType="separate"/>
    </w:r>
    <w:r w:rsidR="007564E6">
      <w:rPr>
        <w:rStyle w:val="PageNumber"/>
        <w:noProof/>
      </w:rPr>
      <w:t>2</w:t>
    </w:r>
    <w:r w:rsidR="001D2C19">
      <w:rPr>
        <w:rStyle w:val="PageNumber"/>
      </w:rPr>
      <w:fldChar w:fldCharType="end"/>
    </w:r>
    <w:r>
      <w:rPr>
        <w:rStyle w:val="PageNumber"/>
      </w:rPr>
      <w:t xml:space="preserve"> of </w:t>
    </w:r>
    <w:r w:rsidR="001D2C19">
      <w:rPr>
        <w:rStyle w:val="PageNumber"/>
      </w:rPr>
      <w:fldChar w:fldCharType="begin"/>
    </w:r>
    <w:r>
      <w:rPr>
        <w:rStyle w:val="PageNumber"/>
      </w:rPr>
      <w:instrText xml:space="preserve"> NUMPAGES </w:instrText>
    </w:r>
    <w:r w:rsidR="001D2C19">
      <w:rPr>
        <w:rStyle w:val="PageNumber"/>
      </w:rPr>
      <w:fldChar w:fldCharType="separate"/>
    </w:r>
    <w:r w:rsidR="007564E6">
      <w:rPr>
        <w:rStyle w:val="PageNumber"/>
        <w:noProof/>
      </w:rPr>
      <w:t>6</w:t>
    </w:r>
    <w:r w:rsidR="001D2C19">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C6" w:rsidRDefault="00AB17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17C6" w:rsidRDefault="00AB17C6">
      <w:r>
        <w:separator/>
      </w:r>
    </w:p>
  </w:footnote>
  <w:footnote w:type="continuationSeparator" w:id="0">
    <w:p w:rsidR="00AB17C6" w:rsidRDefault="00AB17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C6" w:rsidRDefault="00AB17C6">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7C6" w:rsidRDefault="00AB17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42E5BB4"/>
    <w:multiLevelType w:val="hybridMultilevel"/>
    <w:tmpl w:val="A3CE8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552B6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F345501"/>
    <w:multiLevelType w:val="hybridMultilevel"/>
    <w:tmpl w:val="7F6A6550"/>
    <w:lvl w:ilvl="0" w:tplc="221E5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388440B"/>
    <w:multiLevelType w:val="hybridMultilevel"/>
    <w:tmpl w:val="203A9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6560D7"/>
    <w:multiLevelType w:val="hybridMultilevel"/>
    <w:tmpl w:val="D026D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38A6E78"/>
    <w:multiLevelType w:val="hybridMultilevel"/>
    <w:tmpl w:val="F1ACF006"/>
    <w:lvl w:ilvl="0" w:tplc="B226F4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68275E13"/>
    <w:multiLevelType w:val="hybridMultilevel"/>
    <w:tmpl w:val="2D0CAA48"/>
    <w:lvl w:ilvl="0" w:tplc="3A8692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90B5C8F"/>
    <w:multiLevelType w:val="hybridMultilevel"/>
    <w:tmpl w:val="53901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8B6857"/>
    <w:multiLevelType w:val="hybridMultilevel"/>
    <w:tmpl w:val="36DE5312"/>
    <w:lvl w:ilvl="0" w:tplc="61BE3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7F0A21"/>
    <w:multiLevelType w:val="hybridMultilevel"/>
    <w:tmpl w:val="9C02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DC1319C"/>
    <w:multiLevelType w:val="hybridMultilevel"/>
    <w:tmpl w:val="06A41748"/>
    <w:lvl w:ilvl="0" w:tplc="801C2268">
      <w:start w:val="1"/>
      <w:numFmt w:val="decimal"/>
      <w:lvlText w:val="%1."/>
      <w:lvlJc w:val="left"/>
      <w:pPr>
        <w:tabs>
          <w:tab w:val="num" w:pos="1080"/>
        </w:tabs>
        <w:ind w:left="1080" w:hanging="360"/>
      </w:pPr>
      <w:rPr>
        <w:sz w:val="16"/>
        <w:szCs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FC57859"/>
    <w:multiLevelType w:val="hybridMultilevel"/>
    <w:tmpl w:val="897AA1EC"/>
    <w:lvl w:ilvl="0" w:tplc="0409000F">
      <w:start w:val="1"/>
      <w:numFmt w:val="decimal"/>
      <w:lvlText w:val="%1."/>
      <w:lvlJc w:val="left"/>
      <w:pPr>
        <w:ind w:left="804" w:hanging="360"/>
      </w:p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abstractNumId w:val="4"/>
  </w:num>
  <w:num w:numId="2">
    <w:abstractNumId w:val="13"/>
  </w:num>
  <w:num w:numId="3">
    <w:abstractNumId w:val="0"/>
  </w:num>
  <w:num w:numId="4">
    <w:abstractNumId w:val="3"/>
  </w:num>
  <w:num w:numId="5">
    <w:abstractNumId w:val="5"/>
  </w:num>
  <w:num w:numId="6">
    <w:abstractNumId w:val="8"/>
  </w:num>
  <w:num w:numId="7">
    <w:abstractNumId w:val="6"/>
  </w:num>
  <w:num w:numId="8">
    <w:abstractNumId w:val="10"/>
  </w:num>
  <w:num w:numId="9">
    <w:abstractNumId w:val="1"/>
  </w:num>
  <w:num w:numId="10">
    <w:abstractNumId w:val="12"/>
  </w:num>
  <w:num w:numId="11">
    <w:abstractNumId w:val="7"/>
  </w:num>
  <w:num w:numId="12">
    <w:abstractNumId w:val="16"/>
  </w:num>
  <w:num w:numId="13">
    <w:abstractNumId w:val="2"/>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grammar="clean"/>
  <w:stylePaneFormatFilter w:val="3F01"/>
  <w:defaultTabStop w:val="360"/>
  <w:drawingGridHorizontalSpacing w:val="100"/>
  <w:displayHorizontalDrawingGridEvery w:val="0"/>
  <w:displayVerticalDrawingGridEvery w:val="0"/>
  <w:noPunctuationKerning/>
  <w:characterSpacingControl w:val="doNotCompress"/>
  <w:hdrShapeDefaults>
    <o:shapedefaults v:ext="edit" spidmax="44033"/>
  </w:hdrShapeDefaults>
  <w:footnotePr>
    <w:footnote w:id="-1"/>
    <w:footnote w:id="0"/>
  </w:footnotePr>
  <w:endnotePr>
    <w:endnote w:id="-1"/>
    <w:endnote w:id="0"/>
  </w:endnotePr>
  <w:compat/>
  <w:rsids>
    <w:rsidRoot w:val="00193F10"/>
    <w:rsid w:val="000079C7"/>
    <w:rsid w:val="00007C49"/>
    <w:rsid w:val="00021F25"/>
    <w:rsid w:val="0002422A"/>
    <w:rsid w:val="00032C93"/>
    <w:rsid w:val="00044695"/>
    <w:rsid w:val="000539F9"/>
    <w:rsid w:val="00057114"/>
    <w:rsid w:val="000633FE"/>
    <w:rsid w:val="000723A0"/>
    <w:rsid w:val="00081097"/>
    <w:rsid w:val="000818EE"/>
    <w:rsid w:val="00086350"/>
    <w:rsid w:val="00086F09"/>
    <w:rsid w:val="000915FF"/>
    <w:rsid w:val="000943D4"/>
    <w:rsid w:val="000A029D"/>
    <w:rsid w:val="000A102B"/>
    <w:rsid w:val="000A5D10"/>
    <w:rsid w:val="000B3208"/>
    <w:rsid w:val="000B3948"/>
    <w:rsid w:val="000B4B28"/>
    <w:rsid w:val="000B52C7"/>
    <w:rsid w:val="000B75B0"/>
    <w:rsid w:val="000C5143"/>
    <w:rsid w:val="000D01C6"/>
    <w:rsid w:val="000D1923"/>
    <w:rsid w:val="000D4FE4"/>
    <w:rsid w:val="000D57C7"/>
    <w:rsid w:val="000E42D3"/>
    <w:rsid w:val="000F162F"/>
    <w:rsid w:val="001051E7"/>
    <w:rsid w:val="00111453"/>
    <w:rsid w:val="00113AF8"/>
    <w:rsid w:val="0011452C"/>
    <w:rsid w:val="00114864"/>
    <w:rsid w:val="00114ACE"/>
    <w:rsid w:val="00123499"/>
    <w:rsid w:val="001273DE"/>
    <w:rsid w:val="001329FA"/>
    <w:rsid w:val="00135ADF"/>
    <w:rsid w:val="00137DBD"/>
    <w:rsid w:val="00140CD4"/>
    <w:rsid w:val="00143813"/>
    <w:rsid w:val="0014515A"/>
    <w:rsid w:val="00145B1B"/>
    <w:rsid w:val="00157BE0"/>
    <w:rsid w:val="001622A0"/>
    <w:rsid w:val="00162E21"/>
    <w:rsid w:val="001654FF"/>
    <w:rsid w:val="00176ACD"/>
    <w:rsid w:val="001771DC"/>
    <w:rsid w:val="00181DBE"/>
    <w:rsid w:val="001859B0"/>
    <w:rsid w:val="00193F10"/>
    <w:rsid w:val="00194034"/>
    <w:rsid w:val="00194AA6"/>
    <w:rsid w:val="00195175"/>
    <w:rsid w:val="001977BF"/>
    <w:rsid w:val="001A09F7"/>
    <w:rsid w:val="001A19D8"/>
    <w:rsid w:val="001B1F49"/>
    <w:rsid w:val="001B2A76"/>
    <w:rsid w:val="001B47B4"/>
    <w:rsid w:val="001B7B44"/>
    <w:rsid w:val="001C23AC"/>
    <w:rsid w:val="001C4E37"/>
    <w:rsid w:val="001C61CF"/>
    <w:rsid w:val="001C6B98"/>
    <w:rsid w:val="001C7A36"/>
    <w:rsid w:val="001D1649"/>
    <w:rsid w:val="001D1DE3"/>
    <w:rsid w:val="001D2C19"/>
    <w:rsid w:val="001D487F"/>
    <w:rsid w:val="001E2CD6"/>
    <w:rsid w:val="001F369F"/>
    <w:rsid w:val="001F5B7F"/>
    <w:rsid w:val="00201860"/>
    <w:rsid w:val="00203615"/>
    <w:rsid w:val="00204192"/>
    <w:rsid w:val="00207715"/>
    <w:rsid w:val="00211C1F"/>
    <w:rsid w:val="00212194"/>
    <w:rsid w:val="002123D3"/>
    <w:rsid w:val="00216D1B"/>
    <w:rsid w:val="002204C3"/>
    <w:rsid w:val="002224D8"/>
    <w:rsid w:val="002225DD"/>
    <w:rsid w:val="002262E8"/>
    <w:rsid w:val="00241BE6"/>
    <w:rsid w:val="00242F8B"/>
    <w:rsid w:val="00243A64"/>
    <w:rsid w:val="0024738C"/>
    <w:rsid w:val="00247B71"/>
    <w:rsid w:val="002544C4"/>
    <w:rsid w:val="00257BD8"/>
    <w:rsid w:val="00271953"/>
    <w:rsid w:val="002746D9"/>
    <w:rsid w:val="00275A77"/>
    <w:rsid w:val="00280AC9"/>
    <w:rsid w:val="00280E4D"/>
    <w:rsid w:val="0028202E"/>
    <w:rsid w:val="002A28C2"/>
    <w:rsid w:val="002A5096"/>
    <w:rsid w:val="002D07D2"/>
    <w:rsid w:val="002E3659"/>
    <w:rsid w:val="002E51C8"/>
    <w:rsid w:val="002F0E6E"/>
    <w:rsid w:val="00302267"/>
    <w:rsid w:val="00307A86"/>
    <w:rsid w:val="00307EBE"/>
    <w:rsid w:val="003215A9"/>
    <w:rsid w:val="00325492"/>
    <w:rsid w:val="00330E51"/>
    <w:rsid w:val="0033363A"/>
    <w:rsid w:val="00346552"/>
    <w:rsid w:val="00347BA5"/>
    <w:rsid w:val="00352DE9"/>
    <w:rsid w:val="00362639"/>
    <w:rsid w:val="00362B27"/>
    <w:rsid w:val="003802DC"/>
    <w:rsid w:val="00383433"/>
    <w:rsid w:val="00383531"/>
    <w:rsid w:val="00384ED1"/>
    <w:rsid w:val="003856BD"/>
    <w:rsid w:val="003858DE"/>
    <w:rsid w:val="00392795"/>
    <w:rsid w:val="0039482F"/>
    <w:rsid w:val="003A1144"/>
    <w:rsid w:val="003A2119"/>
    <w:rsid w:val="003A3C29"/>
    <w:rsid w:val="003A6F59"/>
    <w:rsid w:val="003B1E0A"/>
    <w:rsid w:val="003C0968"/>
    <w:rsid w:val="003D3DDF"/>
    <w:rsid w:val="003D5D3E"/>
    <w:rsid w:val="003D7007"/>
    <w:rsid w:val="003E546F"/>
    <w:rsid w:val="003E683A"/>
    <w:rsid w:val="003F1AFB"/>
    <w:rsid w:val="003F267E"/>
    <w:rsid w:val="00400C47"/>
    <w:rsid w:val="0040283C"/>
    <w:rsid w:val="004118FA"/>
    <w:rsid w:val="0043123B"/>
    <w:rsid w:val="004318F9"/>
    <w:rsid w:val="004414F2"/>
    <w:rsid w:val="004453A5"/>
    <w:rsid w:val="004462B8"/>
    <w:rsid w:val="00446FE7"/>
    <w:rsid w:val="00454AC9"/>
    <w:rsid w:val="0045505C"/>
    <w:rsid w:val="0045745F"/>
    <w:rsid w:val="00462565"/>
    <w:rsid w:val="00463474"/>
    <w:rsid w:val="004665E5"/>
    <w:rsid w:val="00466A3B"/>
    <w:rsid w:val="00474834"/>
    <w:rsid w:val="004760B8"/>
    <w:rsid w:val="004834B5"/>
    <w:rsid w:val="00487B36"/>
    <w:rsid w:val="004912D6"/>
    <w:rsid w:val="004914E7"/>
    <w:rsid w:val="0049164A"/>
    <w:rsid w:val="004A0306"/>
    <w:rsid w:val="004A0601"/>
    <w:rsid w:val="004A3D49"/>
    <w:rsid w:val="004A7A4B"/>
    <w:rsid w:val="004B5185"/>
    <w:rsid w:val="004B57A0"/>
    <w:rsid w:val="004B681F"/>
    <w:rsid w:val="004C0984"/>
    <w:rsid w:val="004C342F"/>
    <w:rsid w:val="004D1D9F"/>
    <w:rsid w:val="004D49CB"/>
    <w:rsid w:val="004E460D"/>
    <w:rsid w:val="004E48C8"/>
    <w:rsid w:val="004E6565"/>
    <w:rsid w:val="004F15ED"/>
    <w:rsid w:val="004F293C"/>
    <w:rsid w:val="004F3ABD"/>
    <w:rsid w:val="00503E84"/>
    <w:rsid w:val="005079C5"/>
    <w:rsid w:val="00531713"/>
    <w:rsid w:val="00537DF6"/>
    <w:rsid w:val="005419F4"/>
    <w:rsid w:val="005479D5"/>
    <w:rsid w:val="00547D76"/>
    <w:rsid w:val="00550EA0"/>
    <w:rsid w:val="00550FD1"/>
    <w:rsid w:val="00553544"/>
    <w:rsid w:val="00554A52"/>
    <w:rsid w:val="005564B6"/>
    <w:rsid w:val="00565A8A"/>
    <w:rsid w:val="0057636F"/>
    <w:rsid w:val="00592ADA"/>
    <w:rsid w:val="005967A0"/>
    <w:rsid w:val="005B476F"/>
    <w:rsid w:val="005B7296"/>
    <w:rsid w:val="005D7021"/>
    <w:rsid w:val="005E0084"/>
    <w:rsid w:val="005E36E4"/>
    <w:rsid w:val="005E3CB0"/>
    <w:rsid w:val="005F05B0"/>
    <w:rsid w:val="005F0937"/>
    <w:rsid w:val="005F1FE3"/>
    <w:rsid w:val="005F457F"/>
    <w:rsid w:val="005F6868"/>
    <w:rsid w:val="005F72B6"/>
    <w:rsid w:val="0060016B"/>
    <w:rsid w:val="0060062E"/>
    <w:rsid w:val="0061317B"/>
    <w:rsid w:val="00617209"/>
    <w:rsid w:val="0061784A"/>
    <w:rsid w:val="0063728F"/>
    <w:rsid w:val="00641B6E"/>
    <w:rsid w:val="00643DD1"/>
    <w:rsid w:val="00646A80"/>
    <w:rsid w:val="0065214A"/>
    <w:rsid w:val="00670D7C"/>
    <w:rsid w:val="00673025"/>
    <w:rsid w:val="00684184"/>
    <w:rsid w:val="00686486"/>
    <w:rsid w:val="006875A9"/>
    <w:rsid w:val="00690E13"/>
    <w:rsid w:val="006A2057"/>
    <w:rsid w:val="006A2A4B"/>
    <w:rsid w:val="006A2A7E"/>
    <w:rsid w:val="006A5467"/>
    <w:rsid w:val="006A7991"/>
    <w:rsid w:val="006B6EFE"/>
    <w:rsid w:val="006C64AF"/>
    <w:rsid w:val="006D139D"/>
    <w:rsid w:val="006D3172"/>
    <w:rsid w:val="006E37E9"/>
    <w:rsid w:val="006F74B1"/>
    <w:rsid w:val="00700134"/>
    <w:rsid w:val="00701FEF"/>
    <w:rsid w:val="00720749"/>
    <w:rsid w:val="00721479"/>
    <w:rsid w:val="007217EC"/>
    <w:rsid w:val="007266C7"/>
    <w:rsid w:val="00730EB8"/>
    <w:rsid w:val="007344B4"/>
    <w:rsid w:val="007404C9"/>
    <w:rsid w:val="00741F1A"/>
    <w:rsid w:val="00744B89"/>
    <w:rsid w:val="007564E6"/>
    <w:rsid w:val="00762E18"/>
    <w:rsid w:val="00767228"/>
    <w:rsid w:val="00772A4D"/>
    <w:rsid w:val="007747AA"/>
    <w:rsid w:val="00777065"/>
    <w:rsid w:val="00780DA9"/>
    <w:rsid w:val="00782ABD"/>
    <w:rsid w:val="00786837"/>
    <w:rsid w:val="007935BB"/>
    <w:rsid w:val="0079635E"/>
    <w:rsid w:val="007A2E65"/>
    <w:rsid w:val="007A34E1"/>
    <w:rsid w:val="007A4E96"/>
    <w:rsid w:val="007A59B9"/>
    <w:rsid w:val="007A77F5"/>
    <w:rsid w:val="007B1041"/>
    <w:rsid w:val="007B268B"/>
    <w:rsid w:val="007B29DB"/>
    <w:rsid w:val="007C61D5"/>
    <w:rsid w:val="007D2433"/>
    <w:rsid w:val="007E0CED"/>
    <w:rsid w:val="007E5CA3"/>
    <w:rsid w:val="007E6887"/>
    <w:rsid w:val="007E6A52"/>
    <w:rsid w:val="007F7B7E"/>
    <w:rsid w:val="00800BDF"/>
    <w:rsid w:val="00803B5E"/>
    <w:rsid w:val="00805485"/>
    <w:rsid w:val="00824D0D"/>
    <w:rsid w:val="00826AB2"/>
    <w:rsid w:val="008305FE"/>
    <w:rsid w:val="00831C01"/>
    <w:rsid w:val="00835018"/>
    <w:rsid w:val="008540BA"/>
    <w:rsid w:val="0086010B"/>
    <w:rsid w:val="008603FF"/>
    <w:rsid w:val="00862F76"/>
    <w:rsid w:val="0086524C"/>
    <w:rsid w:val="008673D3"/>
    <w:rsid w:val="0086780C"/>
    <w:rsid w:val="00872E9C"/>
    <w:rsid w:val="00876649"/>
    <w:rsid w:val="008814CC"/>
    <w:rsid w:val="00885885"/>
    <w:rsid w:val="00892E5D"/>
    <w:rsid w:val="0089301D"/>
    <w:rsid w:val="008A5224"/>
    <w:rsid w:val="008A6BD6"/>
    <w:rsid w:val="008B4EE0"/>
    <w:rsid w:val="008C02F5"/>
    <w:rsid w:val="008C2789"/>
    <w:rsid w:val="008D2BBC"/>
    <w:rsid w:val="008D2EB6"/>
    <w:rsid w:val="008D5EA4"/>
    <w:rsid w:val="008D7959"/>
    <w:rsid w:val="008F05BE"/>
    <w:rsid w:val="008F0B96"/>
    <w:rsid w:val="008F18EA"/>
    <w:rsid w:val="00900D0E"/>
    <w:rsid w:val="0090240C"/>
    <w:rsid w:val="00902F10"/>
    <w:rsid w:val="009066C7"/>
    <w:rsid w:val="009071F3"/>
    <w:rsid w:val="009128EF"/>
    <w:rsid w:val="0091367C"/>
    <w:rsid w:val="00915F63"/>
    <w:rsid w:val="00920EBE"/>
    <w:rsid w:val="0093238E"/>
    <w:rsid w:val="00937E74"/>
    <w:rsid w:val="00940F63"/>
    <w:rsid w:val="00941447"/>
    <w:rsid w:val="00942B8B"/>
    <w:rsid w:val="00952090"/>
    <w:rsid w:val="00952F3D"/>
    <w:rsid w:val="009530BB"/>
    <w:rsid w:val="0095489A"/>
    <w:rsid w:val="00955781"/>
    <w:rsid w:val="00966A4B"/>
    <w:rsid w:val="00970BB5"/>
    <w:rsid w:val="009872EA"/>
    <w:rsid w:val="00987C82"/>
    <w:rsid w:val="00992D43"/>
    <w:rsid w:val="009B32D2"/>
    <w:rsid w:val="009B3D29"/>
    <w:rsid w:val="009B42C8"/>
    <w:rsid w:val="009E3D68"/>
    <w:rsid w:val="009E7F68"/>
    <w:rsid w:val="009F1818"/>
    <w:rsid w:val="009F1E48"/>
    <w:rsid w:val="00A0506A"/>
    <w:rsid w:val="00A10EA2"/>
    <w:rsid w:val="00A12A0C"/>
    <w:rsid w:val="00A21E29"/>
    <w:rsid w:val="00A22AD8"/>
    <w:rsid w:val="00A22EEB"/>
    <w:rsid w:val="00A24586"/>
    <w:rsid w:val="00A3725B"/>
    <w:rsid w:val="00A4222A"/>
    <w:rsid w:val="00A4524C"/>
    <w:rsid w:val="00A56796"/>
    <w:rsid w:val="00A56B16"/>
    <w:rsid w:val="00A61F6A"/>
    <w:rsid w:val="00A64143"/>
    <w:rsid w:val="00A65EE7"/>
    <w:rsid w:val="00A663DD"/>
    <w:rsid w:val="00A73023"/>
    <w:rsid w:val="00A75BC8"/>
    <w:rsid w:val="00A8016D"/>
    <w:rsid w:val="00A8409C"/>
    <w:rsid w:val="00A938D5"/>
    <w:rsid w:val="00A93DE0"/>
    <w:rsid w:val="00A948F3"/>
    <w:rsid w:val="00A9515E"/>
    <w:rsid w:val="00A95330"/>
    <w:rsid w:val="00AA0240"/>
    <w:rsid w:val="00AA508A"/>
    <w:rsid w:val="00AB10A9"/>
    <w:rsid w:val="00AB17C6"/>
    <w:rsid w:val="00AB5734"/>
    <w:rsid w:val="00AC0A40"/>
    <w:rsid w:val="00AD48EE"/>
    <w:rsid w:val="00AE3E43"/>
    <w:rsid w:val="00AE5AD9"/>
    <w:rsid w:val="00AF4A25"/>
    <w:rsid w:val="00AF5E55"/>
    <w:rsid w:val="00AF7720"/>
    <w:rsid w:val="00B00A60"/>
    <w:rsid w:val="00B00F12"/>
    <w:rsid w:val="00B103DE"/>
    <w:rsid w:val="00B26156"/>
    <w:rsid w:val="00B30284"/>
    <w:rsid w:val="00B31E74"/>
    <w:rsid w:val="00B34F24"/>
    <w:rsid w:val="00B433A5"/>
    <w:rsid w:val="00B46BE1"/>
    <w:rsid w:val="00B478C9"/>
    <w:rsid w:val="00B5313A"/>
    <w:rsid w:val="00B608FE"/>
    <w:rsid w:val="00B66341"/>
    <w:rsid w:val="00B756BB"/>
    <w:rsid w:val="00B7612C"/>
    <w:rsid w:val="00B80226"/>
    <w:rsid w:val="00B81205"/>
    <w:rsid w:val="00B92D6B"/>
    <w:rsid w:val="00BA5914"/>
    <w:rsid w:val="00BB1087"/>
    <w:rsid w:val="00BC5729"/>
    <w:rsid w:val="00BD5758"/>
    <w:rsid w:val="00BD7381"/>
    <w:rsid w:val="00BE00BC"/>
    <w:rsid w:val="00BE0F0E"/>
    <w:rsid w:val="00BF20E9"/>
    <w:rsid w:val="00BF3C7D"/>
    <w:rsid w:val="00BF5110"/>
    <w:rsid w:val="00BF65BF"/>
    <w:rsid w:val="00C00ED3"/>
    <w:rsid w:val="00C02BEB"/>
    <w:rsid w:val="00C04FD1"/>
    <w:rsid w:val="00C06C6D"/>
    <w:rsid w:val="00C1144E"/>
    <w:rsid w:val="00C12852"/>
    <w:rsid w:val="00C14738"/>
    <w:rsid w:val="00C14D8B"/>
    <w:rsid w:val="00C20981"/>
    <w:rsid w:val="00C24A0D"/>
    <w:rsid w:val="00C274DB"/>
    <w:rsid w:val="00C27695"/>
    <w:rsid w:val="00C3293D"/>
    <w:rsid w:val="00C32DAE"/>
    <w:rsid w:val="00C343EB"/>
    <w:rsid w:val="00C40EAF"/>
    <w:rsid w:val="00C502D1"/>
    <w:rsid w:val="00C531BE"/>
    <w:rsid w:val="00C57242"/>
    <w:rsid w:val="00C60108"/>
    <w:rsid w:val="00C604B5"/>
    <w:rsid w:val="00C62428"/>
    <w:rsid w:val="00C65C9A"/>
    <w:rsid w:val="00C65E0F"/>
    <w:rsid w:val="00C66E7D"/>
    <w:rsid w:val="00C67108"/>
    <w:rsid w:val="00C71E27"/>
    <w:rsid w:val="00C74305"/>
    <w:rsid w:val="00C7510F"/>
    <w:rsid w:val="00C7582E"/>
    <w:rsid w:val="00C90000"/>
    <w:rsid w:val="00C9344F"/>
    <w:rsid w:val="00C95882"/>
    <w:rsid w:val="00CA3932"/>
    <w:rsid w:val="00CB483E"/>
    <w:rsid w:val="00CB4EA1"/>
    <w:rsid w:val="00CC517A"/>
    <w:rsid w:val="00CD4115"/>
    <w:rsid w:val="00CE4ADB"/>
    <w:rsid w:val="00CF4DCC"/>
    <w:rsid w:val="00D07B72"/>
    <w:rsid w:val="00D10EEF"/>
    <w:rsid w:val="00D1342E"/>
    <w:rsid w:val="00D14415"/>
    <w:rsid w:val="00D150C9"/>
    <w:rsid w:val="00D1773B"/>
    <w:rsid w:val="00D208EA"/>
    <w:rsid w:val="00D2326C"/>
    <w:rsid w:val="00D24F36"/>
    <w:rsid w:val="00D262B1"/>
    <w:rsid w:val="00D274DD"/>
    <w:rsid w:val="00D302B8"/>
    <w:rsid w:val="00D32F7E"/>
    <w:rsid w:val="00D33CE6"/>
    <w:rsid w:val="00D40588"/>
    <w:rsid w:val="00D4398E"/>
    <w:rsid w:val="00D43E3A"/>
    <w:rsid w:val="00D462F8"/>
    <w:rsid w:val="00D50F3F"/>
    <w:rsid w:val="00D51D78"/>
    <w:rsid w:val="00D56AEB"/>
    <w:rsid w:val="00D6219F"/>
    <w:rsid w:val="00D64ABE"/>
    <w:rsid w:val="00D679C8"/>
    <w:rsid w:val="00D70254"/>
    <w:rsid w:val="00D7245E"/>
    <w:rsid w:val="00D727AB"/>
    <w:rsid w:val="00D75F45"/>
    <w:rsid w:val="00D85A7E"/>
    <w:rsid w:val="00DA4D8D"/>
    <w:rsid w:val="00DA64DD"/>
    <w:rsid w:val="00DB4E11"/>
    <w:rsid w:val="00DB52EE"/>
    <w:rsid w:val="00DC4EBB"/>
    <w:rsid w:val="00DD67DA"/>
    <w:rsid w:val="00DD7739"/>
    <w:rsid w:val="00DE3381"/>
    <w:rsid w:val="00DE33F2"/>
    <w:rsid w:val="00E01293"/>
    <w:rsid w:val="00E01DD7"/>
    <w:rsid w:val="00E133AD"/>
    <w:rsid w:val="00E20C53"/>
    <w:rsid w:val="00E375AA"/>
    <w:rsid w:val="00E40A95"/>
    <w:rsid w:val="00E40BF0"/>
    <w:rsid w:val="00E42819"/>
    <w:rsid w:val="00E429C3"/>
    <w:rsid w:val="00E43FFA"/>
    <w:rsid w:val="00E45D04"/>
    <w:rsid w:val="00E47F6F"/>
    <w:rsid w:val="00E50051"/>
    <w:rsid w:val="00E54AEF"/>
    <w:rsid w:val="00E607EE"/>
    <w:rsid w:val="00E718C1"/>
    <w:rsid w:val="00E75AC1"/>
    <w:rsid w:val="00E805DB"/>
    <w:rsid w:val="00E84B3B"/>
    <w:rsid w:val="00E87927"/>
    <w:rsid w:val="00E967EC"/>
    <w:rsid w:val="00EB0238"/>
    <w:rsid w:val="00EB50AB"/>
    <w:rsid w:val="00EB72F7"/>
    <w:rsid w:val="00EC344E"/>
    <w:rsid w:val="00ED1880"/>
    <w:rsid w:val="00ED3873"/>
    <w:rsid w:val="00ED61CC"/>
    <w:rsid w:val="00ED7E2D"/>
    <w:rsid w:val="00EE0F59"/>
    <w:rsid w:val="00EE371F"/>
    <w:rsid w:val="00EE6112"/>
    <w:rsid w:val="00EE7BDC"/>
    <w:rsid w:val="00EE7D94"/>
    <w:rsid w:val="00F03871"/>
    <w:rsid w:val="00F03C83"/>
    <w:rsid w:val="00F1158E"/>
    <w:rsid w:val="00F11BBD"/>
    <w:rsid w:val="00F12726"/>
    <w:rsid w:val="00F1683F"/>
    <w:rsid w:val="00F17CC5"/>
    <w:rsid w:val="00F26697"/>
    <w:rsid w:val="00F27AB7"/>
    <w:rsid w:val="00F36BA6"/>
    <w:rsid w:val="00F40D0E"/>
    <w:rsid w:val="00F463E6"/>
    <w:rsid w:val="00F50150"/>
    <w:rsid w:val="00F5729A"/>
    <w:rsid w:val="00F57B5B"/>
    <w:rsid w:val="00F67B7D"/>
    <w:rsid w:val="00F70BE6"/>
    <w:rsid w:val="00F71458"/>
    <w:rsid w:val="00F72559"/>
    <w:rsid w:val="00F72A97"/>
    <w:rsid w:val="00F73D6F"/>
    <w:rsid w:val="00F748D2"/>
    <w:rsid w:val="00F77D22"/>
    <w:rsid w:val="00F84BBA"/>
    <w:rsid w:val="00F95AEB"/>
    <w:rsid w:val="00F97E34"/>
    <w:rsid w:val="00FA4733"/>
    <w:rsid w:val="00FB4368"/>
    <w:rsid w:val="00FC1211"/>
    <w:rsid w:val="00FC3106"/>
    <w:rsid w:val="00FC64C4"/>
    <w:rsid w:val="00FD03DD"/>
    <w:rsid w:val="00FD0E33"/>
    <w:rsid w:val="00FD47C5"/>
    <w:rsid w:val="00FE43AC"/>
    <w:rsid w:val="00FF771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73DE"/>
  </w:style>
  <w:style w:type="paragraph" w:styleId="Heading1">
    <w:name w:val="heading 1"/>
    <w:basedOn w:val="Normal"/>
    <w:next w:val="Normal"/>
    <w:qFormat/>
    <w:rsid w:val="001273DE"/>
    <w:pPr>
      <w:keepNext/>
      <w:spacing w:after="120"/>
      <w:ind w:left="634"/>
      <w:outlineLvl w:val="0"/>
    </w:pPr>
    <w:rPr>
      <w:sz w:val="28"/>
    </w:rPr>
  </w:style>
  <w:style w:type="paragraph" w:styleId="Heading2">
    <w:name w:val="heading 2"/>
    <w:basedOn w:val="Normal"/>
    <w:next w:val="Normal"/>
    <w:qFormat/>
    <w:rsid w:val="001273DE"/>
    <w:pPr>
      <w:keepNext/>
      <w:ind w:left="630"/>
      <w:outlineLvl w:val="1"/>
    </w:pPr>
    <w:rPr>
      <w:i/>
      <w:sz w:val="23"/>
    </w:rPr>
  </w:style>
  <w:style w:type="paragraph" w:styleId="Heading3">
    <w:name w:val="heading 3"/>
    <w:basedOn w:val="Normal"/>
    <w:next w:val="Normal"/>
    <w:qFormat/>
    <w:rsid w:val="001273DE"/>
    <w:pPr>
      <w:keepNext/>
      <w:jc w:val="center"/>
      <w:outlineLvl w:val="2"/>
    </w:pPr>
    <w:rPr>
      <w:sz w:val="28"/>
    </w:rPr>
  </w:style>
  <w:style w:type="paragraph" w:styleId="Heading4">
    <w:name w:val="heading 4"/>
    <w:basedOn w:val="Normal"/>
    <w:next w:val="Normal"/>
    <w:qFormat/>
    <w:rsid w:val="001273DE"/>
    <w:pPr>
      <w:keepNext/>
      <w:jc w:val="center"/>
      <w:outlineLvl w:val="3"/>
    </w:pPr>
    <w:rPr>
      <w:b/>
      <w:sz w:val="22"/>
    </w:rPr>
  </w:style>
  <w:style w:type="paragraph" w:styleId="Heading5">
    <w:name w:val="heading 5"/>
    <w:basedOn w:val="Normal"/>
    <w:next w:val="Normal"/>
    <w:qFormat/>
    <w:rsid w:val="001273DE"/>
    <w:pPr>
      <w:keepNext/>
      <w:spacing w:after="120"/>
      <w:ind w:left="720"/>
      <w:outlineLvl w:val="4"/>
    </w:pPr>
    <w:rPr>
      <w:b/>
      <w:sz w:val="22"/>
    </w:rPr>
  </w:style>
  <w:style w:type="paragraph" w:styleId="Heading6">
    <w:name w:val="heading 6"/>
    <w:basedOn w:val="Normal"/>
    <w:next w:val="Normal"/>
    <w:qFormat/>
    <w:rsid w:val="001273DE"/>
    <w:pPr>
      <w:keepNext/>
      <w:jc w:val="center"/>
      <w:outlineLvl w:val="5"/>
    </w:pPr>
    <w:rPr>
      <w:b/>
      <w:sz w:val="24"/>
    </w:rPr>
  </w:style>
  <w:style w:type="paragraph" w:styleId="Heading7">
    <w:name w:val="heading 7"/>
    <w:basedOn w:val="Normal"/>
    <w:next w:val="Normal"/>
    <w:qFormat/>
    <w:rsid w:val="001273DE"/>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1273DE"/>
    <w:pPr>
      <w:keepNext/>
      <w:spacing w:after="120"/>
      <w:outlineLvl w:val="7"/>
    </w:pPr>
    <w:rPr>
      <w:b/>
      <w:caps/>
      <w:sz w:val="22"/>
    </w:rPr>
  </w:style>
  <w:style w:type="paragraph" w:styleId="Heading9">
    <w:name w:val="heading 9"/>
    <w:basedOn w:val="Normal"/>
    <w:next w:val="Normal"/>
    <w:qFormat/>
    <w:rsid w:val="001273DE"/>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273DE"/>
    <w:rPr>
      <w:vertAlign w:val="superscript"/>
    </w:rPr>
  </w:style>
  <w:style w:type="paragraph" w:styleId="Header">
    <w:name w:val="header"/>
    <w:basedOn w:val="Normal"/>
    <w:rsid w:val="001273DE"/>
    <w:pPr>
      <w:tabs>
        <w:tab w:val="center" w:pos="4320"/>
        <w:tab w:val="right" w:pos="8640"/>
      </w:tabs>
    </w:pPr>
  </w:style>
  <w:style w:type="character" w:styleId="PageNumber">
    <w:name w:val="page number"/>
    <w:basedOn w:val="DefaultParagraphFont"/>
    <w:rsid w:val="001273DE"/>
  </w:style>
  <w:style w:type="paragraph" w:styleId="Footer">
    <w:name w:val="footer"/>
    <w:basedOn w:val="Normal"/>
    <w:rsid w:val="001273DE"/>
    <w:pPr>
      <w:tabs>
        <w:tab w:val="center" w:pos="4320"/>
        <w:tab w:val="right" w:pos="8640"/>
      </w:tabs>
    </w:pPr>
  </w:style>
  <w:style w:type="paragraph" w:styleId="BodyTextIndent">
    <w:name w:val="Body Text Indent"/>
    <w:basedOn w:val="Normal"/>
    <w:rsid w:val="001273DE"/>
    <w:pPr>
      <w:spacing w:after="120"/>
      <w:ind w:left="634"/>
    </w:pPr>
    <w:rPr>
      <w:sz w:val="24"/>
    </w:rPr>
  </w:style>
  <w:style w:type="paragraph" w:styleId="BodyTextIndent2">
    <w:name w:val="Body Text Indent 2"/>
    <w:basedOn w:val="Normal"/>
    <w:rsid w:val="001273DE"/>
    <w:pPr>
      <w:tabs>
        <w:tab w:val="left" w:pos="630"/>
      </w:tabs>
      <w:spacing w:after="120"/>
      <w:ind w:left="630"/>
    </w:pPr>
    <w:rPr>
      <w:sz w:val="24"/>
    </w:rPr>
  </w:style>
  <w:style w:type="paragraph" w:styleId="BodyTextIndent3">
    <w:name w:val="Body Text Indent 3"/>
    <w:basedOn w:val="Normal"/>
    <w:rsid w:val="001273DE"/>
    <w:pPr>
      <w:spacing w:before="240" w:after="120"/>
      <w:ind w:left="634"/>
      <w:jc w:val="center"/>
    </w:pPr>
    <w:rPr>
      <w:caps/>
      <w:sz w:val="24"/>
    </w:rPr>
  </w:style>
  <w:style w:type="paragraph" w:styleId="BodyText2">
    <w:name w:val="Body Text 2"/>
    <w:basedOn w:val="Normal"/>
    <w:rsid w:val="001273DE"/>
    <w:pPr>
      <w:numPr>
        <w:ilvl w:val="12"/>
      </w:numPr>
      <w:spacing w:after="120"/>
      <w:jc w:val="both"/>
    </w:pPr>
    <w:rPr>
      <w:sz w:val="22"/>
    </w:rPr>
  </w:style>
  <w:style w:type="paragraph" w:styleId="Title">
    <w:name w:val="Title"/>
    <w:basedOn w:val="Normal"/>
    <w:qFormat/>
    <w:rsid w:val="001273DE"/>
    <w:pPr>
      <w:jc w:val="center"/>
    </w:pPr>
    <w:rPr>
      <w:b/>
      <w:sz w:val="24"/>
    </w:rPr>
  </w:style>
  <w:style w:type="paragraph" w:styleId="BodyText">
    <w:name w:val="Body Text"/>
    <w:aliases w:val="SCA Body Text,SCA Body Text1,SCA Body Text2,SCA Body Text11,BodyText-JEA,BT-JEA"/>
    <w:basedOn w:val="Normal"/>
    <w:link w:val="BodyTextChar"/>
    <w:rsid w:val="001273DE"/>
    <w:pPr>
      <w:spacing w:after="120"/>
    </w:pPr>
    <w:rPr>
      <w:sz w:val="24"/>
    </w:rPr>
  </w:style>
  <w:style w:type="paragraph" w:styleId="BodyText3">
    <w:name w:val="Body Text 3"/>
    <w:basedOn w:val="Normal"/>
    <w:rsid w:val="001273DE"/>
    <w:pPr>
      <w:spacing w:before="120" w:after="120"/>
    </w:pPr>
    <w:rPr>
      <w:sz w:val="22"/>
    </w:rPr>
  </w:style>
  <w:style w:type="paragraph" w:customStyle="1" w:styleId="Style4">
    <w:name w:val="Style4"/>
    <w:next w:val="Normal"/>
    <w:rsid w:val="001273DE"/>
    <w:rPr>
      <w:noProof/>
      <w:sz w:val="24"/>
    </w:rPr>
  </w:style>
  <w:style w:type="paragraph" w:styleId="BlockText">
    <w:name w:val="Block Text"/>
    <w:basedOn w:val="Normal"/>
    <w:rsid w:val="001273DE"/>
    <w:pPr>
      <w:spacing w:after="120"/>
      <w:ind w:left="720" w:right="43"/>
      <w:jc w:val="both"/>
    </w:pPr>
    <w:rPr>
      <w:sz w:val="22"/>
    </w:rPr>
  </w:style>
  <w:style w:type="character" w:styleId="Hyperlink">
    <w:name w:val="Hyperlink"/>
    <w:basedOn w:val="DefaultParagraphFont"/>
    <w:rsid w:val="001273DE"/>
    <w:rPr>
      <w:color w:val="0000FF"/>
      <w:u w:val="single"/>
    </w:rPr>
  </w:style>
  <w:style w:type="paragraph" w:customStyle="1" w:styleId="SCATableHeading">
    <w:name w:val="SCA Table Heading"/>
    <w:basedOn w:val="Normal"/>
    <w:rsid w:val="001273DE"/>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table" w:styleId="TableGrid">
    <w:name w:val="Table Grid"/>
    <w:basedOn w:val="TableNormal"/>
    <w:rsid w:val="0047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4E6565"/>
    <w:rPr>
      <w:rFonts w:ascii="Tahoma" w:hAnsi="Tahoma" w:cs="Tahoma"/>
      <w:sz w:val="16"/>
      <w:szCs w:val="16"/>
    </w:rPr>
  </w:style>
  <w:style w:type="character" w:customStyle="1" w:styleId="BalloonTextChar">
    <w:name w:val="Balloon Text Char"/>
    <w:basedOn w:val="DefaultParagraphFont"/>
    <w:link w:val="BalloonText"/>
    <w:rsid w:val="004E6565"/>
    <w:rPr>
      <w:rFonts w:ascii="Tahoma" w:hAnsi="Tahoma" w:cs="Tahoma"/>
      <w:sz w:val="16"/>
      <w:szCs w:val="16"/>
    </w:rPr>
  </w:style>
  <w:style w:type="paragraph" w:styleId="ListParagraph">
    <w:name w:val="List Paragraph"/>
    <w:basedOn w:val="Normal"/>
    <w:uiPriority w:val="34"/>
    <w:qFormat/>
    <w:rsid w:val="00D302B8"/>
    <w:pPr>
      <w:spacing w:after="200" w:line="276" w:lineRule="auto"/>
      <w:ind w:left="720"/>
      <w:contextualSpacing/>
    </w:pPr>
    <w:rPr>
      <w:rFonts w:asciiTheme="minorHAnsi" w:eastAsiaTheme="minorHAnsi" w:hAnsiTheme="minorHAnsi" w:cstheme="minorBidi"/>
      <w:sz w:val="22"/>
      <w:szCs w:val="22"/>
    </w:rPr>
  </w:style>
  <w:style w:type="character" w:customStyle="1" w:styleId="BodyTextChar">
    <w:name w:val="Body Text Char"/>
    <w:aliases w:val="SCA Body Text Char,SCA Body Text1 Char,SCA Body Text2 Char,SCA Body Text11 Char,BodyText-JEA Char,BT-JEA Char"/>
    <w:link w:val="BodyText"/>
    <w:rsid w:val="00A56796"/>
    <w:rPr>
      <w:sz w:val="24"/>
    </w:rPr>
  </w:style>
  <w:style w:type="paragraph" w:styleId="Caption">
    <w:name w:val="caption"/>
    <w:basedOn w:val="Normal"/>
    <w:next w:val="Normal"/>
    <w:qFormat/>
    <w:rsid w:val="00A56796"/>
    <w:pPr>
      <w:spacing w:before="360" w:after="120"/>
    </w:pPr>
    <w:rPr>
      <w:b/>
      <w:caps/>
      <w:sz w:val="22"/>
    </w:rPr>
  </w:style>
</w:styles>
</file>

<file path=word/webSettings.xml><?xml version="1.0" encoding="utf-8"?>
<w:webSettings xmlns:r="http://schemas.openxmlformats.org/officeDocument/2006/relationships" xmlns:w="http://schemas.openxmlformats.org/wordprocessingml/2006/main">
  <w:divs>
    <w:div w:id="47537572">
      <w:bodyDiv w:val="1"/>
      <w:marLeft w:val="0"/>
      <w:marRight w:val="0"/>
      <w:marTop w:val="0"/>
      <w:marBottom w:val="0"/>
      <w:divBdr>
        <w:top w:val="none" w:sz="0" w:space="0" w:color="auto"/>
        <w:left w:val="none" w:sz="0" w:space="0" w:color="auto"/>
        <w:bottom w:val="none" w:sz="0" w:space="0" w:color="auto"/>
        <w:right w:val="none" w:sz="0" w:space="0" w:color="auto"/>
      </w:divBdr>
    </w:div>
    <w:div w:id="409934640">
      <w:bodyDiv w:val="1"/>
      <w:marLeft w:val="0"/>
      <w:marRight w:val="0"/>
      <w:marTop w:val="0"/>
      <w:marBottom w:val="0"/>
      <w:divBdr>
        <w:top w:val="none" w:sz="0" w:space="0" w:color="auto"/>
        <w:left w:val="none" w:sz="0" w:space="0" w:color="auto"/>
        <w:bottom w:val="none" w:sz="0" w:space="0" w:color="auto"/>
        <w:right w:val="none" w:sz="0" w:space="0" w:color="auto"/>
      </w:divBdr>
    </w:div>
    <w:div w:id="2087220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erry.woosley@dep.state.fl.us" TargetMode="External"/><Relationship Id="rId4" Type="http://schemas.openxmlformats.org/officeDocument/2006/relationships/settings" Target="settings.xml"/><Relationship Id="rId9" Type="http://schemas.openxmlformats.org/officeDocument/2006/relationships/hyperlink" Target="mailto:john.d.phillips@dep.state.fl.u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B0AE8-9DC9-42BD-A1E7-936AF52B3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3099</Words>
  <Characters>17319</Characters>
  <Application>Microsoft Office Word</Application>
  <DocSecurity>0</DocSecurity>
  <Lines>144</Lines>
  <Paragraphs>40</Paragraphs>
  <ScaleCrop>false</ScaleCrop>
  <Manager/>
  <Company/>
  <LinksUpToDate>false</LinksUpToDate>
  <CharactersWithSpaces>20378</CharactersWithSpaces>
  <SharedDoc>false</SharedDoc>
  <HLinks>
    <vt:vector size="6" baseType="variant">
      <vt:variant>
        <vt:i4>5963819</vt:i4>
      </vt:variant>
      <vt:variant>
        <vt:i4>0</vt:i4>
      </vt:variant>
      <vt:variant>
        <vt:i4>0</vt:i4>
      </vt:variant>
      <vt:variant>
        <vt:i4>5</vt:i4>
      </vt:variant>
      <vt:variant>
        <vt:lpwstr>mailto:marilyn.koletzke@dep.state.fl.us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2013-11-22T17:06:00Z</dcterms:created>
  <dcterms:modified xsi:type="dcterms:W3CDTF">2013-11-22T20:56:00Z</dcterms:modified>
</cp:coreProperties>
</file>