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746205" w:rsidRPr="00746205" w:rsidRDefault="00927CE6" w:rsidP="00764F7A">
      <w:pPr>
        <w:pStyle w:val="Heading3"/>
        <w:keepNext w:val="0"/>
        <w:widowControl w:val="0"/>
        <w:spacing w:after="240"/>
        <w:rPr>
          <w:sz w:val="22"/>
          <w:szCs w:val="22"/>
        </w:rPr>
      </w:pPr>
      <w:r w:rsidRPr="00746205">
        <w:rPr>
          <w:noProof/>
          <w:sz w:val="22"/>
          <w:szCs w:val="22"/>
        </w:rPr>
        <w:drawing>
          <wp:inline distT="0" distB="0" distL="0" distR="0">
            <wp:extent cx="1847850" cy="1212850"/>
            <wp:effectExtent l="0" t="0" r="0" b="0"/>
            <wp:docPr id="1" name="Picture 1" descr="dep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pcolo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47850" cy="1212850"/>
                    </a:xfrm>
                    <a:prstGeom prst="rect">
                      <a:avLst/>
                    </a:prstGeom>
                    <a:noFill/>
                    <a:ln>
                      <a:noFill/>
                    </a:ln>
                  </pic:spPr>
                </pic:pic>
              </a:graphicData>
            </a:graphic>
          </wp:inline>
        </w:drawing>
      </w:r>
    </w:p>
    <w:p w:rsidR="00193F10" w:rsidRPr="00764F7A" w:rsidRDefault="00193F10" w:rsidP="005325B9">
      <w:pPr>
        <w:pStyle w:val="Heading3"/>
        <w:keepNext w:val="0"/>
        <w:widowControl w:val="0"/>
        <w:spacing w:after="120"/>
        <w:rPr>
          <w:b/>
          <w:szCs w:val="28"/>
        </w:rPr>
      </w:pPr>
      <w:r w:rsidRPr="00764F7A">
        <w:rPr>
          <w:b/>
          <w:szCs w:val="28"/>
        </w:rPr>
        <w:t>TECHNICAL EVALUATION</w:t>
      </w:r>
    </w:p>
    <w:p w:rsidR="00193F10" w:rsidRPr="00764F7A" w:rsidRDefault="00193F10" w:rsidP="005325B9">
      <w:pPr>
        <w:widowControl w:val="0"/>
        <w:spacing w:after="120"/>
        <w:jc w:val="center"/>
        <w:rPr>
          <w:b/>
          <w:sz w:val="28"/>
          <w:szCs w:val="28"/>
        </w:rPr>
      </w:pPr>
      <w:r w:rsidRPr="00764F7A">
        <w:rPr>
          <w:b/>
          <w:sz w:val="28"/>
          <w:szCs w:val="28"/>
        </w:rPr>
        <w:t>&amp;</w:t>
      </w:r>
    </w:p>
    <w:p w:rsidR="00193F10" w:rsidRPr="00764F7A" w:rsidRDefault="00193F10" w:rsidP="00764F7A">
      <w:pPr>
        <w:widowControl w:val="0"/>
        <w:spacing w:after="600"/>
        <w:jc w:val="center"/>
        <w:rPr>
          <w:b/>
          <w:sz w:val="28"/>
          <w:szCs w:val="28"/>
        </w:rPr>
      </w:pPr>
      <w:r w:rsidRPr="00764F7A">
        <w:rPr>
          <w:b/>
          <w:sz w:val="28"/>
          <w:szCs w:val="28"/>
        </w:rPr>
        <w:t>PRELIMINARY DETERMINATION</w:t>
      </w:r>
    </w:p>
    <w:p w:rsidR="00746205" w:rsidRPr="00764F7A" w:rsidRDefault="00746205" w:rsidP="005325B9">
      <w:pPr>
        <w:pStyle w:val="Heading4"/>
        <w:keepNext w:val="0"/>
        <w:widowControl w:val="0"/>
        <w:spacing w:after="120"/>
        <w:rPr>
          <w:bCs/>
          <w:szCs w:val="22"/>
        </w:rPr>
      </w:pPr>
      <w:r w:rsidRPr="00764F7A">
        <w:rPr>
          <w:bCs/>
          <w:szCs w:val="22"/>
        </w:rPr>
        <w:t>APPLICANT</w:t>
      </w:r>
    </w:p>
    <w:p w:rsidR="00746205" w:rsidRDefault="00764F7A" w:rsidP="005325B9">
      <w:pPr>
        <w:widowControl w:val="0"/>
        <w:jc w:val="center"/>
        <w:rPr>
          <w:sz w:val="22"/>
          <w:szCs w:val="22"/>
        </w:rPr>
      </w:pPr>
      <w:r>
        <w:rPr>
          <w:sz w:val="22"/>
          <w:szCs w:val="22"/>
        </w:rPr>
        <w:t>Florida Power &amp; Light Company (FPL)</w:t>
      </w:r>
    </w:p>
    <w:p w:rsidR="000E6707" w:rsidRPr="005A39E2" w:rsidRDefault="00764F7A" w:rsidP="005325B9">
      <w:pPr>
        <w:widowControl w:val="0"/>
        <w:jc w:val="center"/>
        <w:rPr>
          <w:sz w:val="22"/>
          <w:szCs w:val="22"/>
        </w:rPr>
      </w:pPr>
      <w:r>
        <w:rPr>
          <w:sz w:val="22"/>
          <w:szCs w:val="22"/>
        </w:rPr>
        <w:t>700 Universe Boulevard, JES/JB</w:t>
      </w:r>
    </w:p>
    <w:p w:rsidR="000E6707" w:rsidRPr="00746205" w:rsidRDefault="00764F7A" w:rsidP="005325B9">
      <w:pPr>
        <w:widowControl w:val="0"/>
        <w:jc w:val="center"/>
        <w:rPr>
          <w:sz w:val="22"/>
          <w:szCs w:val="22"/>
        </w:rPr>
      </w:pPr>
      <w:r>
        <w:rPr>
          <w:sz w:val="22"/>
          <w:szCs w:val="22"/>
        </w:rPr>
        <w:t>Juno Beach</w:t>
      </w:r>
      <w:r w:rsidR="005A39E2">
        <w:rPr>
          <w:sz w:val="22"/>
          <w:szCs w:val="22"/>
        </w:rPr>
        <w:t xml:space="preserve">, </w:t>
      </w:r>
      <w:r>
        <w:rPr>
          <w:sz w:val="22"/>
          <w:szCs w:val="22"/>
        </w:rPr>
        <w:t>FL</w:t>
      </w:r>
      <w:r w:rsidR="005A39E2">
        <w:rPr>
          <w:sz w:val="22"/>
          <w:szCs w:val="22"/>
        </w:rPr>
        <w:t xml:space="preserve"> </w:t>
      </w:r>
      <w:r>
        <w:rPr>
          <w:sz w:val="22"/>
          <w:szCs w:val="22"/>
        </w:rPr>
        <w:t>33408</w:t>
      </w:r>
    </w:p>
    <w:p w:rsidR="00746205" w:rsidRPr="00746205" w:rsidRDefault="00581946" w:rsidP="005325B9">
      <w:pPr>
        <w:widowControl w:val="0"/>
        <w:spacing w:before="120"/>
        <w:jc w:val="center"/>
        <w:rPr>
          <w:sz w:val="22"/>
          <w:szCs w:val="22"/>
        </w:rPr>
      </w:pPr>
      <w:r>
        <w:rPr>
          <w:sz w:val="22"/>
          <w:szCs w:val="22"/>
        </w:rPr>
        <w:t>Lauderdale</w:t>
      </w:r>
      <w:r w:rsidR="00764F7A">
        <w:rPr>
          <w:sz w:val="22"/>
          <w:szCs w:val="22"/>
        </w:rPr>
        <w:t xml:space="preserve"> Plant</w:t>
      </w:r>
    </w:p>
    <w:p w:rsidR="00746205" w:rsidRDefault="00746205" w:rsidP="00764F7A">
      <w:pPr>
        <w:widowControl w:val="0"/>
        <w:spacing w:after="720"/>
        <w:jc w:val="center"/>
        <w:rPr>
          <w:sz w:val="22"/>
          <w:szCs w:val="22"/>
        </w:rPr>
      </w:pPr>
      <w:r w:rsidRPr="00746205">
        <w:rPr>
          <w:sz w:val="22"/>
          <w:szCs w:val="22"/>
        </w:rPr>
        <w:t xml:space="preserve">ARMS Facility ID No. </w:t>
      </w:r>
      <w:r w:rsidR="00764F7A">
        <w:rPr>
          <w:sz w:val="22"/>
          <w:szCs w:val="22"/>
        </w:rPr>
        <w:t>0</w:t>
      </w:r>
      <w:r w:rsidR="00581946">
        <w:rPr>
          <w:sz w:val="22"/>
          <w:szCs w:val="22"/>
        </w:rPr>
        <w:t>11</w:t>
      </w:r>
      <w:r w:rsidR="00764F7A">
        <w:rPr>
          <w:sz w:val="22"/>
          <w:szCs w:val="22"/>
        </w:rPr>
        <w:t>00</w:t>
      </w:r>
      <w:r w:rsidR="00581946">
        <w:rPr>
          <w:sz w:val="22"/>
          <w:szCs w:val="22"/>
        </w:rPr>
        <w:t>37</w:t>
      </w:r>
    </w:p>
    <w:p w:rsidR="00193F10" w:rsidRDefault="00193F10" w:rsidP="005325B9">
      <w:pPr>
        <w:pStyle w:val="Heading4"/>
        <w:keepNext w:val="0"/>
        <w:widowControl w:val="0"/>
        <w:spacing w:after="120"/>
        <w:rPr>
          <w:bCs/>
          <w:szCs w:val="22"/>
        </w:rPr>
      </w:pPr>
      <w:r w:rsidRPr="00746205">
        <w:rPr>
          <w:bCs/>
          <w:szCs w:val="22"/>
        </w:rPr>
        <w:t>PROJECT</w:t>
      </w:r>
    </w:p>
    <w:p w:rsidR="006B0D43" w:rsidRDefault="00764F7A" w:rsidP="006B0D43">
      <w:pPr>
        <w:widowControl w:val="0"/>
        <w:jc w:val="center"/>
        <w:rPr>
          <w:sz w:val="22"/>
          <w:szCs w:val="22"/>
        </w:rPr>
      </w:pPr>
      <w:r>
        <w:rPr>
          <w:sz w:val="22"/>
          <w:szCs w:val="22"/>
        </w:rPr>
        <w:t xml:space="preserve">Replacement of </w:t>
      </w:r>
      <w:r w:rsidR="00581946">
        <w:rPr>
          <w:sz w:val="22"/>
          <w:szCs w:val="22"/>
        </w:rPr>
        <w:t>Twenty Four</w:t>
      </w:r>
      <w:r>
        <w:rPr>
          <w:sz w:val="22"/>
          <w:szCs w:val="22"/>
        </w:rPr>
        <w:t xml:space="preserve"> Gas Turbine Peaking Units with</w:t>
      </w:r>
    </w:p>
    <w:p w:rsidR="006B0D43" w:rsidRDefault="00581946" w:rsidP="005325B9">
      <w:pPr>
        <w:pStyle w:val="Heading1"/>
        <w:keepNext w:val="0"/>
        <w:widowControl w:val="0"/>
        <w:spacing w:after="0"/>
        <w:ind w:left="0"/>
        <w:jc w:val="center"/>
        <w:rPr>
          <w:sz w:val="22"/>
          <w:szCs w:val="22"/>
        </w:rPr>
      </w:pPr>
      <w:r>
        <w:rPr>
          <w:sz w:val="22"/>
          <w:szCs w:val="22"/>
        </w:rPr>
        <w:t>Five</w:t>
      </w:r>
      <w:r w:rsidR="006B0D43">
        <w:rPr>
          <w:sz w:val="22"/>
          <w:szCs w:val="22"/>
        </w:rPr>
        <w:t xml:space="preserve"> Simple Cycle Combustion Turbine Electric Generators</w:t>
      </w:r>
    </w:p>
    <w:p w:rsidR="00F540FB" w:rsidRDefault="00193F10" w:rsidP="005325B9">
      <w:pPr>
        <w:pStyle w:val="Heading1"/>
        <w:keepNext w:val="0"/>
        <w:widowControl w:val="0"/>
        <w:spacing w:after="0"/>
        <w:ind w:left="0"/>
        <w:jc w:val="center"/>
        <w:rPr>
          <w:sz w:val="22"/>
          <w:szCs w:val="22"/>
        </w:rPr>
      </w:pPr>
      <w:r w:rsidRPr="00746205">
        <w:rPr>
          <w:sz w:val="22"/>
          <w:szCs w:val="22"/>
        </w:rPr>
        <w:t>Draft Permit No.</w:t>
      </w:r>
      <w:r w:rsidR="00F540FB">
        <w:rPr>
          <w:sz w:val="22"/>
          <w:szCs w:val="22"/>
        </w:rPr>
        <w:t xml:space="preserve"> PSD-FL-</w:t>
      </w:r>
      <w:r w:rsidR="005A39E2">
        <w:rPr>
          <w:sz w:val="22"/>
          <w:szCs w:val="22"/>
        </w:rPr>
        <w:t>4</w:t>
      </w:r>
      <w:r w:rsidR="00764F7A">
        <w:rPr>
          <w:sz w:val="22"/>
          <w:szCs w:val="22"/>
        </w:rPr>
        <w:t>2</w:t>
      </w:r>
      <w:r w:rsidR="00581946">
        <w:rPr>
          <w:sz w:val="22"/>
          <w:szCs w:val="22"/>
        </w:rPr>
        <w:t>3</w:t>
      </w:r>
    </w:p>
    <w:p w:rsidR="00193F10" w:rsidRDefault="00F540FB" w:rsidP="00764F7A">
      <w:pPr>
        <w:pStyle w:val="Heading1"/>
        <w:keepNext w:val="0"/>
        <w:widowControl w:val="0"/>
        <w:spacing w:after="840"/>
        <w:ind w:left="0"/>
        <w:jc w:val="center"/>
        <w:rPr>
          <w:sz w:val="22"/>
          <w:szCs w:val="22"/>
        </w:rPr>
      </w:pPr>
      <w:r>
        <w:rPr>
          <w:sz w:val="22"/>
          <w:szCs w:val="22"/>
        </w:rPr>
        <w:t>Project No.</w:t>
      </w:r>
      <w:r w:rsidR="00193F10" w:rsidRPr="00746205">
        <w:rPr>
          <w:sz w:val="22"/>
          <w:szCs w:val="22"/>
        </w:rPr>
        <w:t xml:space="preserve"> </w:t>
      </w:r>
      <w:r w:rsidR="00764F7A">
        <w:rPr>
          <w:sz w:val="22"/>
          <w:szCs w:val="22"/>
        </w:rPr>
        <w:t>0</w:t>
      </w:r>
      <w:r w:rsidR="00581946">
        <w:rPr>
          <w:sz w:val="22"/>
          <w:szCs w:val="22"/>
        </w:rPr>
        <w:t>110037</w:t>
      </w:r>
      <w:r w:rsidR="005A39E2">
        <w:rPr>
          <w:sz w:val="22"/>
          <w:szCs w:val="22"/>
        </w:rPr>
        <w:t>-01</w:t>
      </w:r>
      <w:r w:rsidR="00581946">
        <w:rPr>
          <w:sz w:val="22"/>
          <w:szCs w:val="22"/>
        </w:rPr>
        <w:t>1</w:t>
      </w:r>
      <w:r w:rsidR="00746205" w:rsidRPr="00746205">
        <w:rPr>
          <w:sz w:val="22"/>
          <w:szCs w:val="22"/>
        </w:rPr>
        <w:t>-AC</w:t>
      </w:r>
    </w:p>
    <w:p w:rsidR="00193F10" w:rsidRDefault="00193F10" w:rsidP="005325B9">
      <w:pPr>
        <w:pStyle w:val="Heading4"/>
        <w:keepNext w:val="0"/>
        <w:widowControl w:val="0"/>
        <w:spacing w:after="120"/>
        <w:rPr>
          <w:bCs/>
          <w:szCs w:val="22"/>
        </w:rPr>
      </w:pPr>
      <w:r w:rsidRPr="00746205">
        <w:rPr>
          <w:bCs/>
          <w:szCs w:val="22"/>
        </w:rPr>
        <w:t>COUNTY</w:t>
      </w:r>
    </w:p>
    <w:p w:rsidR="00193F10" w:rsidRPr="00746205" w:rsidRDefault="00581946" w:rsidP="00764F7A">
      <w:pPr>
        <w:widowControl w:val="0"/>
        <w:spacing w:after="720"/>
        <w:jc w:val="center"/>
        <w:rPr>
          <w:sz w:val="22"/>
          <w:szCs w:val="22"/>
        </w:rPr>
      </w:pPr>
      <w:r>
        <w:rPr>
          <w:sz w:val="22"/>
          <w:szCs w:val="22"/>
        </w:rPr>
        <w:t>Broward</w:t>
      </w:r>
      <w:r w:rsidR="000E6707" w:rsidRPr="000E6707">
        <w:rPr>
          <w:sz w:val="22"/>
          <w:szCs w:val="22"/>
        </w:rPr>
        <w:t xml:space="preserve"> </w:t>
      </w:r>
      <w:r w:rsidR="00193F10" w:rsidRPr="000E6707">
        <w:rPr>
          <w:sz w:val="22"/>
          <w:szCs w:val="22"/>
        </w:rPr>
        <w:t>County</w:t>
      </w:r>
      <w:r w:rsidR="00730F9C">
        <w:rPr>
          <w:sz w:val="22"/>
          <w:szCs w:val="22"/>
        </w:rPr>
        <w:t>, Florida</w:t>
      </w:r>
    </w:p>
    <w:p w:rsidR="00193F10" w:rsidRPr="00746205" w:rsidRDefault="00193F10" w:rsidP="005325B9">
      <w:pPr>
        <w:pStyle w:val="Heading8"/>
        <w:keepNext w:val="0"/>
        <w:widowControl w:val="0"/>
        <w:jc w:val="center"/>
      </w:pPr>
      <w:r w:rsidRPr="00746205">
        <w:t>PERMITTING</w:t>
      </w:r>
      <w:r w:rsidR="00746205" w:rsidRPr="00746205">
        <w:t xml:space="preserve"> </w:t>
      </w:r>
      <w:r w:rsidRPr="00746205">
        <w:t>AUTHORITY</w:t>
      </w:r>
    </w:p>
    <w:p w:rsidR="00193F10" w:rsidRPr="00746205" w:rsidRDefault="00193F10" w:rsidP="005325B9">
      <w:pPr>
        <w:widowControl w:val="0"/>
        <w:jc w:val="center"/>
        <w:rPr>
          <w:sz w:val="22"/>
          <w:szCs w:val="22"/>
        </w:rPr>
      </w:pPr>
      <w:r w:rsidRPr="00746205">
        <w:rPr>
          <w:sz w:val="22"/>
          <w:szCs w:val="22"/>
        </w:rPr>
        <w:t>Florida Department of Environmental Protection</w:t>
      </w:r>
    </w:p>
    <w:p w:rsidR="00193F10" w:rsidRPr="00746205" w:rsidRDefault="00193F10" w:rsidP="005325B9">
      <w:pPr>
        <w:widowControl w:val="0"/>
        <w:jc w:val="center"/>
        <w:rPr>
          <w:sz w:val="22"/>
          <w:szCs w:val="22"/>
        </w:rPr>
      </w:pPr>
      <w:r w:rsidRPr="00746205">
        <w:rPr>
          <w:sz w:val="22"/>
          <w:szCs w:val="22"/>
        </w:rPr>
        <w:t>Division of Air Resource Management</w:t>
      </w:r>
    </w:p>
    <w:p w:rsidR="00193F10" w:rsidRDefault="00F47EE4" w:rsidP="005325B9">
      <w:pPr>
        <w:widowControl w:val="0"/>
        <w:jc w:val="center"/>
        <w:rPr>
          <w:sz w:val="22"/>
          <w:szCs w:val="22"/>
        </w:rPr>
      </w:pPr>
      <w:r>
        <w:rPr>
          <w:sz w:val="22"/>
          <w:szCs w:val="22"/>
        </w:rPr>
        <w:t>Office of Permitting and Compliance</w:t>
      </w:r>
    </w:p>
    <w:p w:rsidR="000E6707" w:rsidRDefault="000E6707" w:rsidP="005325B9">
      <w:pPr>
        <w:widowControl w:val="0"/>
        <w:jc w:val="center"/>
        <w:rPr>
          <w:sz w:val="22"/>
          <w:szCs w:val="22"/>
        </w:rPr>
      </w:pPr>
      <w:r>
        <w:rPr>
          <w:sz w:val="22"/>
          <w:szCs w:val="22"/>
        </w:rPr>
        <w:t>2600 Blair Stone Road, MS#5505</w:t>
      </w:r>
    </w:p>
    <w:p w:rsidR="000E6707" w:rsidRDefault="000E6707" w:rsidP="00764F7A">
      <w:pPr>
        <w:widowControl w:val="0"/>
        <w:spacing w:after="72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w:t>
        </w:r>
        <w:smartTag w:uri="urn:schemas-microsoft-com:office:smarttags" w:element="State">
          <w:r>
            <w:rPr>
              <w:sz w:val="22"/>
              <w:szCs w:val="22"/>
            </w:rPr>
            <w:t>Florida</w:t>
          </w:r>
        </w:smartTag>
        <w:r>
          <w:rPr>
            <w:sz w:val="22"/>
            <w:szCs w:val="22"/>
          </w:rPr>
          <w:t xml:space="preserve">  </w:t>
        </w:r>
        <w:smartTag w:uri="urn:schemas-microsoft-com:office:smarttags" w:element="PostalCode">
          <w:r>
            <w:rPr>
              <w:sz w:val="22"/>
              <w:szCs w:val="22"/>
            </w:rPr>
            <w:t>323</w:t>
          </w:r>
          <w:r w:rsidR="004C35F8">
            <w:rPr>
              <w:sz w:val="22"/>
              <w:szCs w:val="22"/>
            </w:rPr>
            <w:t>9</w:t>
          </w:r>
          <w:r>
            <w:rPr>
              <w:sz w:val="22"/>
              <w:szCs w:val="22"/>
            </w:rPr>
            <w:t>9-2400</w:t>
          </w:r>
        </w:smartTag>
      </w:smartTag>
    </w:p>
    <w:p w:rsidR="00193F10" w:rsidRPr="00125384" w:rsidRDefault="00064288" w:rsidP="005325B9">
      <w:pPr>
        <w:widowControl w:val="0"/>
        <w:jc w:val="center"/>
        <w:rPr>
          <w:sz w:val="22"/>
          <w:szCs w:val="22"/>
        </w:rPr>
      </w:pPr>
      <w:r>
        <w:rPr>
          <w:sz w:val="22"/>
          <w:szCs w:val="22"/>
        </w:rPr>
        <w:t>February 2</w:t>
      </w:r>
      <w:r w:rsidR="0091500A">
        <w:rPr>
          <w:sz w:val="22"/>
          <w:szCs w:val="22"/>
        </w:rPr>
        <w:t>7</w:t>
      </w:r>
      <w:r w:rsidR="00803B8E" w:rsidRPr="004C27E3">
        <w:rPr>
          <w:sz w:val="22"/>
          <w:szCs w:val="22"/>
        </w:rPr>
        <w:t>, 201</w:t>
      </w:r>
      <w:r w:rsidR="00685DDB">
        <w:rPr>
          <w:sz w:val="22"/>
          <w:szCs w:val="22"/>
        </w:rPr>
        <w:t>4</w:t>
      </w:r>
    </w:p>
    <w:p w:rsidR="00193F10" w:rsidRPr="00746205" w:rsidRDefault="00193F10" w:rsidP="005325B9">
      <w:pPr>
        <w:widowControl w:val="0"/>
        <w:jc w:val="center"/>
        <w:rPr>
          <w:sz w:val="22"/>
          <w:szCs w:val="22"/>
        </w:rPr>
        <w:sectPr w:rsidR="00193F10" w:rsidRPr="00746205" w:rsidSect="009F5A0F">
          <w:pgSz w:w="12240" w:h="15840" w:code="1"/>
          <w:pgMar w:top="1267" w:right="1440" w:bottom="1440" w:left="1440" w:header="720" w:footer="720" w:gutter="0"/>
          <w:pgNumType w:start="1"/>
          <w:cols w:space="720"/>
        </w:sectPr>
      </w:pPr>
    </w:p>
    <w:p w:rsidR="00193F10" w:rsidRPr="003A38A7" w:rsidRDefault="00193F10" w:rsidP="00C070A4">
      <w:pPr>
        <w:widowControl w:val="0"/>
        <w:numPr>
          <w:ilvl w:val="0"/>
          <w:numId w:val="2"/>
        </w:numPr>
        <w:tabs>
          <w:tab w:val="left" w:pos="720"/>
        </w:tabs>
        <w:spacing w:after="120"/>
        <w:ind w:left="720" w:hanging="720"/>
        <w:rPr>
          <w:b/>
          <w:caps/>
          <w:sz w:val="22"/>
          <w:szCs w:val="22"/>
        </w:rPr>
      </w:pPr>
      <w:r w:rsidRPr="003A38A7">
        <w:rPr>
          <w:b/>
          <w:caps/>
          <w:sz w:val="22"/>
          <w:szCs w:val="22"/>
        </w:rPr>
        <w:lastRenderedPageBreak/>
        <w:t>General Project INFORMATION</w:t>
      </w:r>
    </w:p>
    <w:p w:rsidR="00193F10" w:rsidRPr="00327342" w:rsidRDefault="00193F10" w:rsidP="00C070A4">
      <w:pPr>
        <w:widowControl w:val="0"/>
        <w:numPr>
          <w:ilvl w:val="1"/>
          <w:numId w:val="2"/>
        </w:numPr>
        <w:tabs>
          <w:tab w:val="left" w:pos="720"/>
        </w:tabs>
        <w:spacing w:after="120"/>
        <w:ind w:left="720" w:hanging="720"/>
        <w:rPr>
          <w:b/>
          <w:bCs/>
          <w:sz w:val="22"/>
          <w:szCs w:val="22"/>
        </w:rPr>
      </w:pPr>
      <w:r w:rsidRPr="00327342">
        <w:rPr>
          <w:b/>
          <w:bCs/>
          <w:sz w:val="22"/>
          <w:szCs w:val="22"/>
        </w:rPr>
        <w:t>Facility Description and Location</w:t>
      </w:r>
    </w:p>
    <w:p w:rsidR="0079028A" w:rsidRDefault="0079028A" w:rsidP="009003CD">
      <w:pPr>
        <w:pStyle w:val="BodyText3"/>
        <w:widowControl w:val="0"/>
        <w:numPr>
          <w:ilvl w:val="12"/>
          <w:numId w:val="0"/>
        </w:numPr>
        <w:spacing w:before="0"/>
        <w:rPr>
          <w:bCs/>
        </w:rPr>
      </w:pPr>
      <w:r>
        <w:t>The Florida Power &amp; Light Company (FPL)</w:t>
      </w:r>
      <w:r w:rsidR="001B4109">
        <w:t xml:space="preserve"> </w:t>
      </w:r>
      <w:r w:rsidR="00777A67">
        <w:t xml:space="preserve">operates the </w:t>
      </w:r>
      <w:r>
        <w:t xml:space="preserve">existing </w:t>
      </w:r>
      <w:r w:rsidR="00CD0917">
        <w:t>Lauderdale</w:t>
      </w:r>
      <w:r>
        <w:t xml:space="preserve"> Plant</w:t>
      </w:r>
      <w:r w:rsidR="00C2334E">
        <w:t xml:space="preserve"> which</w:t>
      </w:r>
      <w:r>
        <w:t xml:space="preserve"> is located </w:t>
      </w:r>
      <w:r w:rsidR="00CD0917">
        <w:t>within the city of Dania Beach in Broward</w:t>
      </w:r>
      <w:r>
        <w:t xml:space="preserve"> County, Florida</w:t>
      </w:r>
      <w:r w:rsidR="00CD0917">
        <w:t xml:space="preserve"> </w:t>
      </w:r>
      <w:r>
        <w:t>(</w:t>
      </w:r>
      <w:r w:rsidRPr="00EA0836">
        <w:t xml:space="preserve">see </w:t>
      </w:r>
      <w:r w:rsidR="00EA0836" w:rsidRPr="00B02004">
        <w:rPr>
          <w:b/>
        </w:rPr>
        <w:fldChar w:fldCharType="begin"/>
      </w:r>
      <w:r w:rsidR="00EA0836" w:rsidRPr="00B02004">
        <w:rPr>
          <w:b/>
        </w:rPr>
        <w:instrText xml:space="preserve"> REF _Ref365356693 \h  \* MERGEFORMAT </w:instrText>
      </w:r>
      <w:r w:rsidR="00EA0836" w:rsidRPr="00B02004">
        <w:rPr>
          <w:b/>
        </w:rPr>
      </w:r>
      <w:r w:rsidR="00EA0836" w:rsidRPr="00B02004">
        <w:rPr>
          <w:b/>
        </w:rPr>
        <w:fldChar w:fldCharType="separate"/>
      </w:r>
      <w:r w:rsidR="007F3589" w:rsidRPr="007F3589">
        <w:rPr>
          <w:b/>
        </w:rPr>
        <w:t xml:space="preserve">Figure </w:t>
      </w:r>
      <w:r w:rsidR="007F3589" w:rsidRPr="007F3589">
        <w:rPr>
          <w:b/>
          <w:noProof/>
        </w:rPr>
        <w:t>1</w:t>
      </w:r>
      <w:r w:rsidR="00EA0836" w:rsidRPr="00B02004">
        <w:rPr>
          <w:b/>
        </w:rPr>
        <w:fldChar w:fldCharType="end"/>
      </w:r>
      <w:r w:rsidR="0054369D" w:rsidRPr="0054369D">
        <w:t xml:space="preserve"> </w:t>
      </w:r>
      <w:r w:rsidRPr="00EA0836">
        <w:t xml:space="preserve">and </w:t>
      </w:r>
      <w:r w:rsidR="00EA0836" w:rsidRPr="00B02004">
        <w:rPr>
          <w:b/>
        </w:rPr>
        <w:fldChar w:fldCharType="begin"/>
      </w:r>
      <w:r w:rsidR="00EA0836" w:rsidRPr="00B02004">
        <w:rPr>
          <w:b/>
        </w:rPr>
        <w:instrText xml:space="preserve"> REF _Ref365356705 \h  \* MERGEFORMAT </w:instrText>
      </w:r>
      <w:r w:rsidR="00EA0836" w:rsidRPr="00B02004">
        <w:rPr>
          <w:b/>
        </w:rPr>
      </w:r>
      <w:r w:rsidR="00EA0836" w:rsidRPr="00B02004">
        <w:rPr>
          <w:b/>
        </w:rPr>
        <w:fldChar w:fldCharType="separate"/>
      </w:r>
      <w:r w:rsidR="007F3589" w:rsidRPr="007F3589">
        <w:rPr>
          <w:b/>
        </w:rPr>
        <w:t xml:space="preserve">Figure </w:t>
      </w:r>
      <w:r w:rsidR="007F3589" w:rsidRPr="007F3589">
        <w:rPr>
          <w:b/>
          <w:noProof/>
        </w:rPr>
        <w:t>2</w:t>
      </w:r>
      <w:r w:rsidR="00EA0836" w:rsidRPr="00B02004">
        <w:rPr>
          <w:b/>
        </w:rPr>
        <w:fldChar w:fldCharType="end"/>
      </w:r>
      <w:r>
        <w:t xml:space="preserve">).  The facility </w:t>
      </w:r>
      <w:r w:rsidR="00CD0917">
        <w:t>can be accessed from Southwest 42</w:t>
      </w:r>
      <w:r w:rsidR="00CD0917" w:rsidRPr="00CD0917">
        <w:rPr>
          <w:vertAlign w:val="superscript"/>
        </w:rPr>
        <w:t>nd</w:t>
      </w:r>
      <w:r w:rsidR="00CD0917">
        <w:t xml:space="preserve"> Street and Griffin Road</w:t>
      </w:r>
      <w:r>
        <w:t xml:space="preserve">.  </w:t>
      </w:r>
      <w:r w:rsidR="00C34C85" w:rsidRPr="00DA0489">
        <w:rPr>
          <w:szCs w:val="22"/>
        </w:rPr>
        <w:t xml:space="preserve">The UTM coordinates are Zone </w:t>
      </w:r>
      <w:r w:rsidR="00C34C85">
        <w:rPr>
          <w:szCs w:val="22"/>
        </w:rPr>
        <w:t>17</w:t>
      </w:r>
      <w:r w:rsidR="00C34C85" w:rsidRPr="00DA0489">
        <w:rPr>
          <w:szCs w:val="22"/>
        </w:rPr>
        <w:t xml:space="preserve">, </w:t>
      </w:r>
      <w:r w:rsidR="006810C2">
        <w:rPr>
          <w:szCs w:val="22"/>
        </w:rPr>
        <w:t>580.2</w:t>
      </w:r>
      <w:r w:rsidR="00C34C85" w:rsidRPr="00DA0489">
        <w:rPr>
          <w:szCs w:val="22"/>
        </w:rPr>
        <w:t xml:space="preserve"> </w:t>
      </w:r>
      <w:r w:rsidR="00C34C85">
        <w:rPr>
          <w:szCs w:val="22"/>
        </w:rPr>
        <w:t>kilometers (</w:t>
      </w:r>
      <w:r w:rsidR="00C34C85" w:rsidRPr="00DA0489">
        <w:rPr>
          <w:szCs w:val="22"/>
        </w:rPr>
        <w:t>km</w:t>
      </w:r>
      <w:r w:rsidR="00C34C85">
        <w:rPr>
          <w:szCs w:val="22"/>
        </w:rPr>
        <w:t>)</w:t>
      </w:r>
      <w:r w:rsidR="00C34C85" w:rsidRPr="00DA0489">
        <w:rPr>
          <w:szCs w:val="22"/>
        </w:rPr>
        <w:t xml:space="preserve"> East, and </w:t>
      </w:r>
      <w:r w:rsidR="006810C2">
        <w:rPr>
          <w:szCs w:val="22"/>
        </w:rPr>
        <w:t>2883.3</w:t>
      </w:r>
      <w:r w:rsidR="00C34C85" w:rsidRPr="00DA0489">
        <w:rPr>
          <w:szCs w:val="22"/>
        </w:rPr>
        <w:t>km North.</w:t>
      </w:r>
      <w:r w:rsidR="00C34C85">
        <w:rPr>
          <w:szCs w:val="22"/>
        </w:rPr>
        <w:t xml:space="preserve">  </w:t>
      </w:r>
      <w:r w:rsidR="00C34C85" w:rsidRPr="00C34C85">
        <w:t xml:space="preserve">The facility is an electrical power generating plant with a </w:t>
      </w:r>
      <w:r w:rsidR="00C34C85" w:rsidRPr="00C34C85">
        <w:rPr>
          <w:bCs/>
        </w:rPr>
        <w:t xml:space="preserve">Standard Industrial Classification Code </w:t>
      </w:r>
      <w:r w:rsidR="00F366C8">
        <w:rPr>
          <w:bCs/>
        </w:rPr>
        <w:t>(</w:t>
      </w:r>
      <w:r w:rsidR="00F366C8" w:rsidRPr="00C34C85">
        <w:rPr>
          <w:bCs/>
        </w:rPr>
        <w:t>SIC</w:t>
      </w:r>
      <w:r w:rsidR="00F366C8">
        <w:rPr>
          <w:bCs/>
        </w:rPr>
        <w:t>)</w:t>
      </w:r>
      <w:r w:rsidR="00F366C8" w:rsidRPr="00C34C85">
        <w:rPr>
          <w:bCs/>
        </w:rPr>
        <w:t xml:space="preserve"> </w:t>
      </w:r>
      <w:r w:rsidR="00C34C85" w:rsidRPr="00C34C85">
        <w:rPr>
          <w:bCs/>
        </w:rPr>
        <w:t>of No. 4911.</w:t>
      </w:r>
    </w:p>
    <w:p w:rsidR="0079028A" w:rsidRDefault="00927CE6" w:rsidP="003554AA">
      <w:pPr>
        <w:pStyle w:val="BodyText3"/>
        <w:widowControl w:val="0"/>
        <w:numPr>
          <w:ilvl w:val="12"/>
          <w:numId w:val="0"/>
        </w:numPr>
        <w:tabs>
          <w:tab w:val="left" w:pos="4230"/>
        </w:tabs>
        <w:spacing w:before="0"/>
      </w:pPr>
      <w:r>
        <w:rPr>
          <w:noProof/>
          <w:szCs w:val="22"/>
        </w:rPr>
        <mc:AlternateContent>
          <mc:Choice Requires="wps">
            <w:drawing>
              <wp:anchor distT="0" distB="0" distL="114300" distR="114300" simplePos="0" relativeHeight="251659264" behindDoc="0" locked="0" layoutInCell="1" allowOverlap="1">
                <wp:simplePos x="0" y="0"/>
                <wp:positionH relativeFrom="column">
                  <wp:posOffset>922020</wp:posOffset>
                </wp:positionH>
                <wp:positionV relativeFrom="paragraph">
                  <wp:posOffset>1426845</wp:posOffset>
                </wp:positionV>
                <wp:extent cx="1616075" cy="549910"/>
                <wp:effectExtent l="0" t="0" r="0" b="0"/>
                <wp:wrapNone/>
                <wp:docPr id="38"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16075" cy="5499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05C20FE" id="_x0000_t32" coordsize="21600,21600" o:spt="32" o:oned="t" path="m,l21600,21600e" filled="f">
                <v:path arrowok="t" fillok="f" o:connecttype="none"/>
                <o:lock v:ext="edit" shapetype="t"/>
              </v:shapetype>
              <v:shape id="AutoShape 53" o:spid="_x0000_s1026" type="#_x0000_t32" style="position:absolute;margin-left:72.6pt;margin-top:112.35pt;width:127.25pt;height:4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2ubPAIAAGQ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">
                <v:stroke endarrow="block"/>
              </v:shape>
            </w:pict>
          </mc:Fallback>
        </mc:AlternateContent>
      </w:r>
      <w:r w:rsidRPr="00516A12">
        <w:rPr>
          <w:noProof/>
          <w:szCs w:val="22"/>
        </w:rPr>
        <mc:AlternateContent>
          <mc:Choice Requires="wps">
            <w:drawing>
              <wp:anchor distT="0" distB="0" distL="114300" distR="114300" simplePos="0" relativeHeight="251658240" behindDoc="0" locked="0" layoutInCell="1" allowOverlap="1">
                <wp:simplePos x="0" y="0"/>
                <wp:positionH relativeFrom="column">
                  <wp:posOffset>287020</wp:posOffset>
                </wp:positionH>
                <wp:positionV relativeFrom="paragraph">
                  <wp:posOffset>1207770</wp:posOffset>
                </wp:positionV>
                <wp:extent cx="936625" cy="467360"/>
                <wp:effectExtent l="0" t="0" r="0" b="0"/>
                <wp:wrapNone/>
                <wp:docPr id="37"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467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135C" w:rsidRPr="00516A12" w:rsidRDefault="0028135C">
                            <w:pPr>
                              <w:rPr>
                                <w:b/>
                                <w:sz w:val="22"/>
                                <w:szCs w:val="22"/>
                              </w:rPr>
                            </w:pPr>
                            <w:r>
                              <w:rPr>
                                <w:b/>
                                <w:sz w:val="22"/>
                                <w:szCs w:val="22"/>
                              </w:rPr>
                              <w:t xml:space="preserve">Broward </w:t>
                            </w:r>
                            <w:r w:rsidRPr="00516A12">
                              <w:rPr>
                                <w:b/>
                                <w:sz w:val="22"/>
                                <w:szCs w:val="22"/>
                              </w:rPr>
                              <w:t>County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2" o:spid="_x0000_s1026" type="#_x0000_t202" style="position:absolute;margin-left:22.6pt;margin-top:95.1pt;width:73.75pt;height:36.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" filled="f" stroked="f">
                <v:textbox>
                  <w:txbxContent>
                    <w:p w:rsidR="0028135C" w:rsidRPr="00516A12" w:rsidRDefault="0028135C">
                      <w:pPr>
                        <w:rPr>
                          <w:b/>
                          <w:sz w:val="22"/>
                          <w:szCs w:val="22"/>
                        </w:rPr>
                      </w:pPr>
                      <w:r>
                        <w:rPr>
                          <w:b/>
                          <w:sz w:val="22"/>
                          <w:szCs w:val="22"/>
                        </w:rPr>
                        <w:t xml:space="preserve">Broward </w:t>
                      </w:r>
                      <w:r w:rsidRPr="00516A12">
                        <w:rPr>
                          <w:b/>
                          <w:sz w:val="22"/>
                          <w:szCs w:val="22"/>
                        </w:rPr>
                        <w:t>County</w:t>
                      </w:r>
                    </w:p>
                  </w:txbxContent>
                </v:textbox>
              </v:shape>
            </w:pict>
          </mc:Fallback>
        </mc:AlternateContent>
      </w:r>
      <w:r w:rsidRPr="004D4F6F">
        <w:rPr>
          <w:noProof/>
        </w:rPr>
        <w:drawing>
          <wp:inline distT="0" distB="0" distL="0" distR="0">
            <wp:extent cx="2616200" cy="2603500"/>
            <wp:effectExtent l="19050" t="19050" r="0" b="6350"/>
            <wp:docPr id="2" name="Picture 2" descr="601px-Map_of_Florida_highlighting_Broward_County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601px-Map_of_Florida_highlighting_Broward_County_svg.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16200" cy="2603500"/>
                    </a:xfrm>
                    <a:prstGeom prst="rect">
                      <a:avLst/>
                    </a:prstGeom>
                    <a:noFill/>
                    <a:ln w="6350" cmpd="sng">
                      <a:solidFill>
                        <a:srgbClr val="000000"/>
                      </a:solidFill>
                      <a:miter lim="800000"/>
                      <a:headEnd/>
                      <a:tailEnd/>
                    </a:ln>
                    <a:effectLst/>
                  </pic:spPr>
                </pic:pic>
              </a:graphicData>
            </a:graphic>
          </wp:inline>
        </w:drawing>
      </w:r>
      <w:r w:rsidR="00460DC4">
        <w:tab/>
      </w:r>
      <w:r w:rsidRPr="006810C2">
        <w:rPr>
          <w:noProof/>
        </w:rPr>
        <w:drawing>
          <wp:inline distT="0" distB="0" distL="0" distR="0">
            <wp:extent cx="3079750" cy="2603500"/>
            <wp:effectExtent l="19050" t="1905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79750" cy="2603500"/>
                    </a:xfrm>
                    <a:prstGeom prst="rect">
                      <a:avLst/>
                    </a:prstGeom>
                    <a:noFill/>
                    <a:ln w="6350" cmpd="sng">
                      <a:solidFill>
                        <a:srgbClr val="000000"/>
                      </a:solidFill>
                      <a:miter lim="800000"/>
                      <a:headEnd/>
                      <a:tailEnd/>
                    </a:ln>
                    <a:effectLst/>
                  </pic:spPr>
                </pic:pic>
              </a:graphicData>
            </a:graphic>
          </wp:inline>
        </w:drawing>
      </w:r>
    </w:p>
    <w:p w:rsidR="0079028A" w:rsidRPr="00460DC4" w:rsidRDefault="00460DC4" w:rsidP="003554AA">
      <w:pPr>
        <w:pStyle w:val="Caption"/>
        <w:tabs>
          <w:tab w:val="left" w:pos="4680"/>
        </w:tabs>
        <w:spacing w:before="0"/>
        <w:ind w:left="180"/>
        <w:rPr>
          <w:caps w:val="0"/>
        </w:rPr>
      </w:pPr>
      <w:bookmarkStart w:id="0" w:name="_Ref365356693"/>
      <w:r w:rsidRPr="00460DC4">
        <w:rPr>
          <w:caps w:val="0"/>
        </w:rPr>
        <w:t xml:space="preserve">Figure </w:t>
      </w:r>
      <w:r w:rsidRPr="00460DC4">
        <w:rPr>
          <w:caps w:val="0"/>
        </w:rPr>
        <w:fldChar w:fldCharType="begin"/>
      </w:r>
      <w:r w:rsidRPr="00460DC4">
        <w:rPr>
          <w:caps w:val="0"/>
        </w:rPr>
        <w:instrText xml:space="preserve"> SEQ Figure \* ARABIC </w:instrText>
      </w:r>
      <w:r w:rsidRPr="00460DC4">
        <w:rPr>
          <w:caps w:val="0"/>
        </w:rPr>
        <w:fldChar w:fldCharType="separate"/>
      </w:r>
      <w:r w:rsidR="007F3589">
        <w:rPr>
          <w:caps w:val="0"/>
          <w:noProof/>
        </w:rPr>
        <w:t>1</w:t>
      </w:r>
      <w:r w:rsidRPr="00460DC4">
        <w:rPr>
          <w:caps w:val="0"/>
        </w:rPr>
        <w:fldChar w:fldCharType="end"/>
      </w:r>
      <w:bookmarkEnd w:id="0"/>
      <w:r>
        <w:rPr>
          <w:caps w:val="0"/>
        </w:rPr>
        <w:t xml:space="preserve">.  Location of </w:t>
      </w:r>
      <w:r w:rsidR="006810C2">
        <w:rPr>
          <w:caps w:val="0"/>
        </w:rPr>
        <w:t>Broward</w:t>
      </w:r>
      <w:r>
        <w:rPr>
          <w:caps w:val="0"/>
        </w:rPr>
        <w:t xml:space="preserve"> County.</w:t>
      </w:r>
      <w:r w:rsidR="00EA0836">
        <w:rPr>
          <w:caps w:val="0"/>
        </w:rPr>
        <w:tab/>
      </w:r>
      <w:bookmarkStart w:id="1" w:name="_Ref365356705"/>
      <w:r w:rsidRPr="00460DC4">
        <w:rPr>
          <w:caps w:val="0"/>
        </w:rPr>
        <w:t xml:space="preserve">Figure </w:t>
      </w:r>
      <w:r w:rsidRPr="00460DC4">
        <w:rPr>
          <w:caps w:val="0"/>
        </w:rPr>
        <w:fldChar w:fldCharType="begin"/>
      </w:r>
      <w:r w:rsidRPr="00460DC4">
        <w:rPr>
          <w:caps w:val="0"/>
        </w:rPr>
        <w:instrText xml:space="preserve"> SEQ Figure \* ARABIC </w:instrText>
      </w:r>
      <w:r w:rsidRPr="00460DC4">
        <w:rPr>
          <w:caps w:val="0"/>
        </w:rPr>
        <w:fldChar w:fldCharType="separate"/>
      </w:r>
      <w:r w:rsidR="007F3589">
        <w:rPr>
          <w:caps w:val="0"/>
          <w:noProof/>
        </w:rPr>
        <w:t>2</w:t>
      </w:r>
      <w:r w:rsidRPr="00460DC4">
        <w:rPr>
          <w:caps w:val="0"/>
        </w:rPr>
        <w:fldChar w:fldCharType="end"/>
      </w:r>
      <w:bookmarkEnd w:id="1"/>
      <w:r>
        <w:rPr>
          <w:caps w:val="0"/>
        </w:rPr>
        <w:t xml:space="preserve">.  Location of </w:t>
      </w:r>
      <w:r w:rsidR="009F57D6">
        <w:rPr>
          <w:caps w:val="0"/>
        </w:rPr>
        <w:t xml:space="preserve">the </w:t>
      </w:r>
      <w:r w:rsidR="003554AA">
        <w:rPr>
          <w:caps w:val="0"/>
        </w:rPr>
        <w:t>Lauderdale</w:t>
      </w:r>
      <w:r>
        <w:rPr>
          <w:caps w:val="0"/>
        </w:rPr>
        <w:t xml:space="preserve"> Plant.</w:t>
      </w:r>
    </w:p>
    <w:p w:rsidR="003554AA" w:rsidRDefault="003554AA" w:rsidP="003554AA">
      <w:pPr>
        <w:pStyle w:val="BodyText3"/>
        <w:widowControl w:val="0"/>
        <w:numPr>
          <w:ilvl w:val="12"/>
          <w:numId w:val="0"/>
        </w:numPr>
      </w:pPr>
      <w:r>
        <w:t xml:space="preserve">The Lauderdale Plant </w:t>
      </w:r>
      <w:r w:rsidR="0079028A">
        <w:t>includes</w:t>
      </w:r>
      <w:r w:rsidRPr="003554AA">
        <w:t xml:space="preserve"> two banks of 12 simple cycle gas turbines</w:t>
      </w:r>
      <w:r>
        <w:t xml:space="preserve"> units</w:t>
      </w:r>
      <w:r w:rsidRPr="003554AA">
        <w:t xml:space="preserve"> (GT1 through GT12 and GT13</w:t>
      </w:r>
      <w:r>
        <w:t xml:space="preserve"> </w:t>
      </w:r>
      <w:r w:rsidRPr="003554AA">
        <w:t>through GT24).</w:t>
      </w:r>
      <w:r>
        <w:t xml:space="preserve"> </w:t>
      </w:r>
      <w:r w:rsidRPr="003554AA">
        <w:t xml:space="preserve"> GT Units 1 through 12 began operation in August 1970</w:t>
      </w:r>
      <w:r w:rsidR="00D573D3">
        <w:t xml:space="preserve"> while</w:t>
      </w:r>
      <w:r w:rsidRPr="003554AA">
        <w:t xml:space="preserve"> GT Units 13 through 24 </w:t>
      </w:r>
      <w:r w:rsidR="00D573D3">
        <w:t>began operation in</w:t>
      </w:r>
      <w:r w:rsidRPr="003554AA">
        <w:t xml:space="preserve"> August 1972.</w:t>
      </w:r>
      <w:r>
        <w:t xml:space="preserve"> </w:t>
      </w:r>
      <w:r w:rsidRPr="003554AA">
        <w:t xml:space="preserve"> Each bank of GTs has a nominal net capacity of</w:t>
      </w:r>
      <w:r>
        <w:t xml:space="preserve"> </w:t>
      </w:r>
      <w:r w:rsidRPr="003554AA">
        <w:t>504 megawatts (MWs).</w:t>
      </w:r>
      <w:r>
        <w:t xml:space="preserve"> </w:t>
      </w:r>
      <w:r w:rsidR="00D573D3">
        <w:t xml:space="preserve"> </w:t>
      </w:r>
      <w:r w:rsidR="004F405C">
        <w:t xml:space="preserve">Approximately 4.7 miles to </w:t>
      </w:r>
      <w:r w:rsidR="007167E3">
        <w:t xml:space="preserve">the </w:t>
      </w:r>
      <w:r w:rsidR="004F405C">
        <w:t>east of</w:t>
      </w:r>
      <w:r>
        <w:t xml:space="preserve"> the Lauderdale Plant</w:t>
      </w:r>
      <w:r w:rsidR="006C3E3A">
        <w:t>, and also in Broward County,</w:t>
      </w:r>
      <w:r>
        <w:t xml:space="preserve"> is the Port Everglades Plant that includes one bank of similarly designed simple cycle </w:t>
      </w:r>
      <w:r w:rsidRPr="003554AA">
        <w:t>gas turbines</w:t>
      </w:r>
      <w:r>
        <w:t xml:space="preserve"> units (GT1 through GT12).  These 12 GTs also have a nominal net capacity of 504 MWs and have been operating since August 1971.</w:t>
      </w:r>
      <w:r w:rsidR="0079028A">
        <w:t xml:space="preserve"> </w:t>
      </w:r>
      <w:r w:rsidR="00594CA7">
        <w:t xml:space="preserve"> </w:t>
      </w:r>
      <w:r w:rsidR="00594CA7" w:rsidRPr="00B02004">
        <w:rPr>
          <w:b/>
        </w:rPr>
        <w:fldChar w:fldCharType="begin"/>
      </w:r>
      <w:r w:rsidR="00594CA7" w:rsidRPr="00B02004">
        <w:rPr>
          <w:b/>
        </w:rPr>
        <w:instrText xml:space="preserve"> REF _Ref365358398 \h  \* MERGEFORMAT </w:instrText>
      </w:r>
      <w:r w:rsidR="00594CA7" w:rsidRPr="00B02004">
        <w:rPr>
          <w:b/>
        </w:rPr>
      </w:r>
      <w:r w:rsidR="00594CA7" w:rsidRPr="00B02004">
        <w:rPr>
          <w:b/>
        </w:rPr>
        <w:fldChar w:fldCharType="separate"/>
      </w:r>
      <w:r w:rsidR="007F3589" w:rsidRPr="007F3589">
        <w:rPr>
          <w:b/>
        </w:rPr>
        <w:t xml:space="preserve">Figure </w:t>
      </w:r>
      <w:r w:rsidR="007F3589" w:rsidRPr="007F3589">
        <w:rPr>
          <w:b/>
          <w:noProof/>
        </w:rPr>
        <w:t>3</w:t>
      </w:r>
      <w:r w:rsidR="00594CA7" w:rsidRPr="00B02004">
        <w:rPr>
          <w:b/>
        </w:rPr>
        <w:fldChar w:fldCharType="end"/>
      </w:r>
      <w:r w:rsidR="00594CA7">
        <w:t xml:space="preserve"> presents a satellite view of the overall facility, while </w:t>
      </w:r>
      <w:r w:rsidR="00594CA7" w:rsidRPr="00D64B73">
        <w:rPr>
          <w:b/>
        </w:rPr>
        <w:fldChar w:fldCharType="begin"/>
      </w:r>
      <w:r w:rsidR="00594CA7" w:rsidRPr="00D64B73">
        <w:rPr>
          <w:b/>
        </w:rPr>
        <w:instrText xml:space="preserve"> REF _Ref365358405 \h  \* MERGEFORMAT </w:instrText>
      </w:r>
      <w:r w:rsidR="00594CA7" w:rsidRPr="00D64B73">
        <w:rPr>
          <w:b/>
        </w:rPr>
      </w:r>
      <w:r w:rsidR="00594CA7" w:rsidRPr="00D64B73">
        <w:rPr>
          <w:b/>
        </w:rPr>
        <w:fldChar w:fldCharType="separate"/>
      </w:r>
      <w:r w:rsidR="007F3589" w:rsidRPr="007F3589">
        <w:rPr>
          <w:b/>
          <w:noProof/>
        </w:rPr>
        <w:t>Figure</w:t>
      </w:r>
      <w:r w:rsidR="007F3589" w:rsidRPr="00CF3EEB">
        <w:rPr>
          <w:caps/>
          <w:noProof/>
        </w:rPr>
        <w:t xml:space="preserve"> </w:t>
      </w:r>
      <w:r w:rsidR="007F3589">
        <w:rPr>
          <w:caps/>
          <w:noProof/>
        </w:rPr>
        <w:t>4</w:t>
      </w:r>
      <w:r w:rsidR="00594CA7" w:rsidRPr="00D64B73">
        <w:rPr>
          <w:b/>
        </w:rPr>
        <w:fldChar w:fldCharType="end"/>
      </w:r>
      <w:r w:rsidR="00594CA7">
        <w:t xml:space="preserve"> shows a close-up of </w:t>
      </w:r>
      <w:r w:rsidR="00685DDB">
        <w:t>some of the</w:t>
      </w:r>
      <w:r w:rsidR="00594CA7">
        <w:t xml:space="preserve"> peaker units that will be replaced as a result of the current project.</w:t>
      </w:r>
      <w:r w:rsidR="0015095D">
        <w:t xml:space="preserve">  </w:t>
      </w:r>
      <w:r w:rsidR="0015095D" w:rsidRPr="0015095D">
        <w:fldChar w:fldCharType="begin"/>
      </w:r>
      <w:r w:rsidR="0015095D" w:rsidRPr="0015095D">
        <w:instrText xml:space="preserve"> REF _Ref371488564 \h </w:instrText>
      </w:r>
      <w:r w:rsidR="0015095D">
        <w:instrText xml:space="preserve"> \* MERGEFORMAT </w:instrText>
      </w:r>
      <w:r w:rsidR="0015095D" w:rsidRPr="0015095D">
        <w:fldChar w:fldCharType="separate"/>
      </w:r>
      <w:r w:rsidR="007F3589" w:rsidRPr="007F3589">
        <w:rPr>
          <w:rFonts w:ascii="Times New Roman Bold" w:hAnsi="Times New Roman Bold"/>
        </w:rPr>
        <w:t xml:space="preserve">Figure </w:t>
      </w:r>
      <w:r w:rsidR="007F3589" w:rsidRPr="007F3589">
        <w:rPr>
          <w:rFonts w:ascii="Times New Roman Bold" w:hAnsi="Times New Roman Bold"/>
          <w:noProof/>
        </w:rPr>
        <w:t>5</w:t>
      </w:r>
      <w:r w:rsidR="0015095D" w:rsidRPr="0015095D">
        <w:fldChar w:fldCharType="end"/>
      </w:r>
      <w:r w:rsidR="0015095D">
        <w:t xml:space="preserve"> shows the close proximity of the Lauderdale Plant to the Port Everglades Plant.</w:t>
      </w:r>
    </w:p>
    <w:p w:rsidR="00D84099" w:rsidRDefault="00927CE6" w:rsidP="00594CA7">
      <w:pPr>
        <w:pStyle w:val="BodyText3"/>
        <w:widowControl w:val="0"/>
        <w:numPr>
          <w:ilvl w:val="12"/>
          <w:numId w:val="0"/>
        </w:numPr>
        <w:tabs>
          <w:tab w:val="left" w:pos="4770"/>
        </w:tabs>
        <w:spacing w:before="0"/>
      </w:pPr>
      <w:r w:rsidRPr="004D4F6F">
        <w:rPr>
          <w:noProof/>
        </w:rPr>
        <w:drawing>
          <wp:inline distT="0" distB="0" distL="0" distR="0">
            <wp:extent cx="2863850" cy="2146300"/>
            <wp:effectExtent l="19050" t="19050" r="12700" b="2540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l="12161" t="24094" r="7278" b="10085"/>
                    <a:stretch>
                      <a:fillRect/>
                    </a:stretch>
                  </pic:blipFill>
                  <pic:spPr bwMode="auto">
                    <a:xfrm>
                      <a:off x="0" y="0"/>
                      <a:ext cx="2863850" cy="2146300"/>
                    </a:xfrm>
                    <a:prstGeom prst="rect">
                      <a:avLst/>
                    </a:prstGeom>
                    <a:noFill/>
                    <a:ln w="6350" cmpd="sng">
                      <a:solidFill>
                        <a:schemeClr val="tx1"/>
                      </a:solidFill>
                      <a:miter lim="800000"/>
                      <a:headEnd/>
                      <a:tailEnd/>
                    </a:ln>
                    <a:effectLst/>
                  </pic:spPr>
                </pic:pic>
              </a:graphicData>
            </a:graphic>
          </wp:inline>
        </w:drawing>
      </w:r>
      <w:r w:rsidR="001278DB">
        <w:tab/>
      </w:r>
      <w:r w:rsidRPr="004D4F6F">
        <w:rPr>
          <w:noProof/>
        </w:rPr>
        <w:drawing>
          <wp:inline distT="0" distB="0" distL="0" distR="0">
            <wp:extent cx="2705100" cy="2171700"/>
            <wp:effectExtent l="19050" t="19050" r="19050" b="1905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22807" t="26385" r="15053" b="18671"/>
                    <a:stretch>
                      <a:fillRect/>
                    </a:stretch>
                  </pic:blipFill>
                  <pic:spPr bwMode="auto">
                    <a:xfrm>
                      <a:off x="0" y="0"/>
                      <a:ext cx="2705100" cy="2171700"/>
                    </a:xfrm>
                    <a:prstGeom prst="rect">
                      <a:avLst/>
                    </a:prstGeom>
                    <a:noFill/>
                    <a:ln w="6350" cmpd="sng">
                      <a:solidFill>
                        <a:schemeClr val="tx1"/>
                      </a:solidFill>
                      <a:miter lim="800000"/>
                      <a:headEnd/>
                      <a:tailEnd/>
                    </a:ln>
                    <a:effectLst/>
                  </pic:spPr>
                </pic:pic>
              </a:graphicData>
            </a:graphic>
          </wp:inline>
        </w:drawing>
      </w:r>
    </w:p>
    <w:p w:rsidR="00CF3EEB" w:rsidRPr="00CF3EEB" w:rsidRDefault="00CF3EEB" w:rsidP="003C7AD8">
      <w:pPr>
        <w:pStyle w:val="Caption"/>
        <w:tabs>
          <w:tab w:val="left" w:pos="5130"/>
        </w:tabs>
        <w:spacing w:before="0"/>
        <w:rPr>
          <w:caps w:val="0"/>
        </w:rPr>
      </w:pPr>
      <w:bookmarkStart w:id="2" w:name="_Ref365358398"/>
      <w:r w:rsidRPr="00CF3EEB">
        <w:rPr>
          <w:caps w:val="0"/>
        </w:rPr>
        <w:t xml:space="preserve">Figure </w:t>
      </w:r>
      <w:r w:rsidRPr="00CF3EEB">
        <w:rPr>
          <w:caps w:val="0"/>
        </w:rPr>
        <w:fldChar w:fldCharType="begin"/>
      </w:r>
      <w:r w:rsidRPr="00CF3EEB">
        <w:rPr>
          <w:caps w:val="0"/>
        </w:rPr>
        <w:instrText xml:space="preserve"> SEQ Figure \* ARABIC </w:instrText>
      </w:r>
      <w:r w:rsidRPr="00CF3EEB">
        <w:rPr>
          <w:caps w:val="0"/>
        </w:rPr>
        <w:fldChar w:fldCharType="separate"/>
      </w:r>
      <w:r w:rsidR="007F3589">
        <w:rPr>
          <w:caps w:val="0"/>
          <w:noProof/>
        </w:rPr>
        <w:t>3</w:t>
      </w:r>
      <w:r w:rsidRPr="00CF3EEB">
        <w:rPr>
          <w:caps w:val="0"/>
        </w:rPr>
        <w:fldChar w:fldCharType="end"/>
      </w:r>
      <w:bookmarkEnd w:id="2"/>
      <w:r>
        <w:rPr>
          <w:caps w:val="0"/>
        </w:rPr>
        <w:t xml:space="preserve">.  </w:t>
      </w:r>
      <w:r w:rsidR="00594CA7">
        <w:rPr>
          <w:caps w:val="0"/>
        </w:rPr>
        <w:t>S</w:t>
      </w:r>
      <w:r w:rsidR="00594CA7" w:rsidRPr="00594CA7">
        <w:rPr>
          <w:caps w:val="0"/>
        </w:rPr>
        <w:t xml:space="preserve">atellite </w:t>
      </w:r>
      <w:r>
        <w:rPr>
          <w:caps w:val="0"/>
        </w:rPr>
        <w:t xml:space="preserve">View of </w:t>
      </w:r>
      <w:r w:rsidR="009F57D6">
        <w:rPr>
          <w:caps w:val="0"/>
        </w:rPr>
        <w:t xml:space="preserve">the </w:t>
      </w:r>
      <w:r w:rsidR="00594CA7">
        <w:rPr>
          <w:caps w:val="0"/>
        </w:rPr>
        <w:t>Lauderdale</w:t>
      </w:r>
      <w:r>
        <w:rPr>
          <w:caps w:val="0"/>
        </w:rPr>
        <w:t xml:space="preserve"> Plant.</w:t>
      </w:r>
      <w:bookmarkStart w:id="3" w:name="_Ref365358405"/>
      <w:r w:rsidR="00C34C85">
        <w:rPr>
          <w:caps w:val="0"/>
        </w:rPr>
        <w:tab/>
      </w:r>
      <w:r w:rsidRPr="00CF3EEB">
        <w:rPr>
          <w:caps w:val="0"/>
        </w:rPr>
        <w:t xml:space="preserve">Figure </w:t>
      </w:r>
      <w:r w:rsidRPr="00CF3EEB">
        <w:rPr>
          <w:caps w:val="0"/>
        </w:rPr>
        <w:fldChar w:fldCharType="begin"/>
      </w:r>
      <w:r w:rsidRPr="00CF3EEB">
        <w:rPr>
          <w:caps w:val="0"/>
        </w:rPr>
        <w:instrText xml:space="preserve"> SEQ Figure \* ARABIC </w:instrText>
      </w:r>
      <w:r w:rsidRPr="00CF3EEB">
        <w:rPr>
          <w:caps w:val="0"/>
        </w:rPr>
        <w:fldChar w:fldCharType="separate"/>
      </w:r>
      <w:r w:rsidR="007F3589">
        <w:rPr>
          <w:caps w:val="0"/>
          <w:noProof/>
        </w:rPr>
        <w:t>4</w:t>
      </w:r>
      <w:r w:rsidRPr="00CF3EEB">
        <w:rPr>
          <w:caps w:val="0"/>
        </w:rPr>
        <w:fldChar w:fldCharType="end"/>
      </w:r>
      <w:bookmarkEnd w:id="3"/>
      <w:r>
        <w:rPr>
          <w:caps w:val="0"/>
        </w:rPr>
        <w:t xml:space="preserve">.  </w:t>
      </w:r>
      <w:r w:rsidR="003C7AD8">
        <w:rPr>
          <w:caps w:val="0"/>
        </w:rPr>
        <w:t>Some</w:t>
      </w:r>
      <w:r>
        <w:rPr>
          <w:caps w:val="0"/>
        </w:rPr>
        <w:t xml:space="preserve"> Exi</w:t>
      </w:r>
      <w:r w:rsidR="00C34C85">
        <w:rPr>
          <w:caps w:val="0"/>
        </w:rPr>
        <w:t>s</w:t>
      </w:r>
      <w:r>
        <w:rPr>
          <w:caps w:val="0"/>
        </w:rPr>
        <w:t>ting Peaker Units.</w:t>
      </w:r>
    </w:p>
    <w:p w:rsidR="0015095D" w:rsidRDefault="00927CE6" w:rsidP="0015095D">
      <w:pPr>
        <w:pStyle w:val="BodyText3"/>
        <w:widowControl w:val="0"/>
        <w:numPr>
          <w:ilvl w:val="12"/>
          <w:numId w:val="0"/>
        </w:numPr>
        <w:spacing w:before="0" w:after="60"/>
        <w:jc w:val="center"/>
      </w:pPr>
      <w:r w:rsidRPr="0015095D">
        <w:rPr>
          <w:rFonts w:ascii="Times New Roman Bold" w:hAnsi="Times New Roman Bold"/>
          <w:caps/>
          <w:noProof/>
        </w:rPr>
        <w:lastRenderedPageBreak/>
        <mc:AlternateContent>
          <mc:Choice Requires="wps">
            <w:drawing>
              <wp:anchor distT="0" distB="0" distL="114300" distR="114300" simplePos="0" relativeHeight="251660288" behindDoc="0" locked="0" layoutInCell="1" allowOverlap="1">
                <wp:simplePos x="0" y="0"/>
                <wp:positionH relativeFrom="column">
                  <wp:posOffset>2902585</wp:posOffset>
                </wp:positionH>
                <wp:positionV relativeFrom="paragraph">
                  <wp:posOffset>1828165</wp:posOffset>
                </wp:positionV>
                <wp:extent cx="923290" cy="334645"/>
                <wp:effectExtent l="0" t="0" r="0" b="0"/>
                <wp:wrapNone/>
                <wp:docPr id="36"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329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8135C" w:rsidRPr="0015095D" w:rsidRDefault="0028135C">
                            <w:pPr>
                              <w:rPr>
                                <w:b/>
                                <w:color w:val="FF0000"/>
                              </w:rPr>
                            </w:pPr>
                            <w:r w:rsidRPr="0015095D">
                              <w:rPr>
                                <w:b/>
                                <w:color w:val="FF0000"/>
                              </w:rPr>
                              <w:t>~4.7 Miles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5" o:spid="_x0000_s1027" type="#_x0000_t202" style="position:absolute;left:0;text-align:left;margin-left:228.55pt;margin-top:143.95pt;width:72.7pt;height:26.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QXZugIAAME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" filled="f" stroked="f">
                <v:textbox>
                  <w:txbxContent>
                    <w:p w:rsidR="0028135C" w:rsidRPr="0015095D" w:rsidRDefault="0028135C">
                      <w:pPr>
                        <w:rPr>
                          <w:b/>
                          <w:color w:val="FF0000"/>
                        </w:rPr>
                      </w:pPr>
                      <w:r w:rsidRPr="0015095D">
                        <w:rPr>
                          <w:b/>
                          <w:color w:val="FF0000"/>
                        </w:rPr>
                        <w:t>~4.7 Miles</w:t>
                      </w:r>
                    </w:p>
                  </w:txbxContent>
                </v:textbox>
              </v:shape>
            </w:pict>
          </mc:Fallback>
        </mc:AlternateContent>
      </w:r>
      <w:r w:rsidRPr="002123AA">
        <w:rPr>
          <w:noProof/>
        </w:rPr>
        <w:drawing>
          <wp:inline distT="0" distB="0" distL="0" distR="0">
            <wp:extent cx="5810250" cy="4000500"/>
            <wp:effectExtent l="19050" t="19050" r="19050" b="1905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t="8772" r="2274" b="17680"/>
                    <a:stretch>
                      <a:fillRect/>
                    </a:stretch>
                  </pic:blipFill>
                  <pic:spPr bwMode="auto">
                    <a:xfrm>
                      <a:off x="0" y="0"/>
                      <a:ext cx="5810250" cy="4000500"/>
                    </a:xfrm>
                    <a:prstGeom prst="rect">
                      <a:avLst/>
                    </a:prstGeom>
                    <a:noFill/>
                    <a:ln>
                      <a:solidFill>
                        <a:schemeClr val="tx1"/>
                      </a:solidFill>
                    </a:ln>
                  </pic:spPr>
                </pic:pic>
              </a:graphicData>
            </a:graphic>
          </wp:inline>
        </w:drawing>
      </w:r>
    </w:p>
    <w:p w:rsidR="0015095D" w:rsidRPr="0015095D" w:rsidRDefault="0015095D" w:rsidP="0015095D">
      <w:pPr>
        <w:pStyle w:val="Caption"/>
        <w:spacing w:before="120"/>
        <w:jc w:val="center"/>
        <w:rPr>
          <w:rFonts w:ascii="Times New Roman Bold" w:hAnsi="Times New Roman Bold"/>
          <w:caps w:val="0"/>
        </w:rPr>
      </w:pPr>
      <w:bookmarkStart w:id="4" w:name="_Ref371488564"/>
      <w:r w:rsidRPr="0015095D">
        <w:rPr>
          <w:rFonts w:ascii="Times New Roman Bold" w:hAnsi="Times New Roman Bold"/>
          <w:caps w:val="0"/>
        </w:rPr>
        <w:t xml:space="preserve">Figure </w:t>
      </w:r>
      <w:r w:rsidRPr="0015095D">
        <w:rPr>
          <w:rFonts w:ascii="Times New Roman Bold" w:hAnsi="Times New Roman Bold"/>
          <w:caps w:val="0"/>
        </w:rPr>
        <w:fldChar w:fldCharType="begin"/>
      </w:r>
      <w:r w:rsidRPr="0015095D">
        <w:rPr>
          <w:rFonts w:ascii="Times New Roman Bold" w:hAnsi="Times New Roman Bold"/>
          <w:caps w:val="0"/>
        </w:rPr>
        <w:instrText xml:space="preserve"> SEQ Figure \* ARABIC </w:instrText>
      </w:r>
      <w:r w:rsidRPr="0015095D">
        <w:rPr>
          <w:rFonts w:ascii="Times New Roman Bold" w:hAnsi="Times New Roman Bold"/>
          <w:caps w:val="0"/>
        </w:rPr>
        <w:fldChar w:fldCharType="separate"/>
      </w:r>
      <w:r w:rsidR="007F3589">
        <w:rPr>
          <w:rFonts w:ascii="Times New Roman Bold" w:hAnsi="Times New Roman Bold"/>
          <w:caps w:val="0"/>
          <w:noProof/>
        </w:rPr>
        <w:t>5</w:t>
      </w:r>
      <w:r w:rsidRPr="0015095D">
        <w:rPr>
          <w:rFonts w:ascii="Times New Roman Bold" w:hAnsi="Times New Roman Bold"/>
          <w:caps w:val="0"/>
        </w:rPr>
        <w:fldChar w:fldCharType="end"/>
      </w:r>
      <w:bookmarkEnd w:id="4"/>
      <w:r w:rsidRPr="0015095D">
        <w:rPr>
          <w:rFonts w:ascii="Times New Roman Bold" w:hAnsi="Times New Roman Bold"/>
          <w:caps w:val="0"/>
        </w:rPr>
        <w:t xml:space="preserve">.  View of </w:t>
      </w:r>
      <w:r>
        <w:rPr>
          <w:rFonts w:ascii="Times New Roman Bold" w:hAnsi="Times New Roman Bold"/>
          <w:caps w:val="0"/>
        </w:rPr>
        <w:t xml:space="preserve">FPL </w:t>
      </w:r>
      <w:r w:rsidRPr="0015095D">
        <w:rPr>
          <w:rFonts w:ascii="Times New Roman Bold" w:hAnsi="Times New Roman Bold"/>
          <w:caps w:val="0"/>
        </w:rPr>
        <w:t xml:space="preserve">Lauderdale and Port Everglades </w:t>
      </w:r>
      <w:r>
        <w:rPr>
          <w:rFonts w:ascii="Times New Roman Bold" w:hAnsi="Times New Roman Bold"/>
          <w:caps w:val="0"/>
        </w:rPr>
        <w:t>Power Plants</w:t>
      </w:r>
      <w:r w:rsidRPr="0015095D">
        <w:rPr>
          <w:rFonts w:ascii="Times New Roman Bold" w:hAnsi="Times New Roman Bold"/>
          <w:caps w:val="0"/>
        </w:rPr>
        <w:t>.</w:t>
      </w:r>
    </w:p>
    <w:p w:rsidR="003554AA" w:rsidRDefault="003554AA" w:rsidP="00334E4E">
      <w:pPr>
        <w:pStyle w:val="BodyText3"/>
        <w:widowControl w:val="0"/>
        <w:numPr>
          <w:ilvl w:val="12"/>
          <w:numId w:val="0"/>
        </w:numPr>
        <w:spacing w:before="0" w:after="60"/>
        <w:rPr>
          <w:szCs w:val="22"/>
        </w:rPr>
      </w:pPr>
      <w:r>
        <w:t xml:space="preserve">In addition to units </w:t>
      </w:r>
      <w:r w:rsidRPr="003554AA">
        <w:t>GT1 through GT24</w:t>
      </w:r>
      <w:r>
        <w:t>, the Lauderdale Plant</w:t>
      </w:r>
      <w:r w:rsidR="00594CA7">
        <w:t xml:space="preserve"> consists </w:t>
      </w:r>
      <w:r>
        <w:t>of</w:t>
      </w:r>
      <w:r>
        <w:rPr>
          <w:b/>
        </w:rPr>
        <w:t xml:space="preserve"> </w:t>
      </w:r>
      <w:r>
        <w:t xml:space="preserve">two combined-cycle generating units (Unit 4 and Unit 5) and </w:t>
      </w:r>
      <w:r w:rsidR="0054369D">
        <w:t>three</w:t>
      </w:r>
      <w:r>
        <w:t xml:space="preserve"> fuel storage tanks.  Each combined-cycle unit consists of two combustion turbines (CT</w:t>
      </w:r>
      <w:r w:rsidR="007231C3">
        <w:t>s</w:t>
      </w:r>
      <w:r>
        <w:t xml:space="preserve">) which each exhaust through a separate heat recovery steam generator (HRSG).  Each HRSG converts the heat from the CT exhaust into steam.  The steam produced from the two HRSG units drives one </w:t>
      </w:r>
      <w:r w:rsidR="0015095D">
        <w:t>steam turbine electrical generator (STEG)</w:t>
      </w:r>
      <w:r>
        <w:t>.  Each combined-cycle unit has a net summer continuous capability of 430 MW.</w:t>
      </w:r>
    </w:p>
    <w:p w:rsidR="00334E4E" w:rsidRDefault="00C3192A" w:rsidP="00334E4E">
      <w:pPr>
        <w:pStyle w:val="BodyText3"/>
        <w:widowControl w:val="0"/>
        <w:numPr>
          <w:ilvl w:val="12"/>
          <w:numId w:val="0"/>
        </w:numPr>
        <w:spacing w:before="0" w:after="60"/>
        <w:rPr>
          <w:szCs w:val="22"/>
        </w:rPr>
      </w:pPr>
      <w:r>
        <w:rPr>
          <w:szCs w:val="22"/>
        </w:rPr>
        <w:t xml:space="preserve">A summary of the </w:t>
      </w:r>
      <w:r w:rsidRPr="00C3192A">
        <w:rPr>
          <w:szCs w:val="22"/>
          <w:u w:val="single"/>
        </w:rPr>
        <w:t>regulated</w:t>
      </w:r>
      <w:r>
        <w:rPr>
          <w:szCs w:val="22"/>
        </w:rPr>
        <w:t xml:space="preserve"> existing emission units at the </w:t>
      </w:r>
      <w:r w:rsidR="00594CA7">
        <w:rPr>
          <w:szCs w:val="22"/>
        </w:rPr>
        <w:t>Lauderdale Plant</w:t>
      </w:r>
      <w:r>
        <w:rPr>
          <w:szCs w:val="22"/>
        </w:rPr>
        <w:t xml:space="preserve"> is given in </w:t>
      </w:r>
      <w:r w:rsidRPr="0015095D">
        <w:rPr>
          <w:b/>
          <w:szCs w:val="22"/>
        </w:rPr>
        <w:fldChar w:fldCharType="begin"/>
      </w:r>
      <w:r w:rsidRPr="0015095D">
        <w:rPr>
          <w:b/>
          <w:szCs w:val="22"/>
        </w:rPr>
        <w:instrText xml:space="preserve"> REF _Ref365361660 \h </w:instrText>
      </w:r>
      <w:r w:rsidR="0015095D">
        <w:rPr>
          <w:b/>
          <w:szCs w:val="22"/>
        </w:rPr>
        <w:instrText xml:space="preserve"> \* MERGEFORMAT </w:instrText>
      </w:r>
      <w:r w:rsidRPr="0015095D">
        <w:rPr>
          <w:b/>
          <w:szCs w:val="22"/>
        </w:rPr>
      </w:r>
      <w:r w:rsidRPr="0015095D">
        <w:rPr>
          <w:b/>
          <w:szCs w:val="22"/>
        </w:rPr>
        <w:fldChar w:fldCharType="separate"/>
      </w:r>
      <w:r w:rsidR="007F3589" w:rsidRPr="007F3589">
        <w:rPr>
          <w:b/>
        </w:rPr>
        <w:t xml:space="preserve">Table </w:t>
      </w:r>
      <w:r w:rsidR="007F3589" w:rsidRPr="007F3589">
        <w:rPr>
          <w:b/>
          <w:noProof/>
        </w:rPr>
        <w:t>1</w:t>
      </w:r>
      <w:r w:rsidRPr="0015095D">
        <w:rPr>
          <w:b/>
          <w:szCs w:val="22"/>
        </w:rPr>
        <w:fldChar w:fldCharType="end"/>
      </w:r>
      <w:r>
        <w:rPr>
          <w:szCs w:val="22"/>
        </w:rPr>
        <w:t xml:space="preserve"> below.  The emission units that are involved in this project are highlighted in </w:t>
      </w:r>
      <w:r w:rsidRPr="00C3192A">
        <w:rPr>
          <w:szCs w:val="22"/>
          <w:shd w:val="clear" w:color="auto" w:fill="00FFFF"/>
        </w:rPr>
        <w:t>turquoise</w:t>
      </w:r>
      <w:r>
        <w:rPr>
          <w:szCs w:val="22"/>
        </w:rPr>
        <w:t xml:space="preserve"> in the table.</w:t>
      </w:r>
    </w:p>
    <w:p w:rsidR="00C3192A" w:rsidRDefault="00C3192A" w:rsidP="00C3192A">
      <w:pPr>
        <w:pStyle w:val="Caption"/>
        <w:spacing w:before="0"/>
        <w:jc w:val="center"/>
      </w:pPr>
      <w:bookmarkStart w:id="5" w:name="_Ref365361660"/>
      <w:r>
        <w:t xml:space="preserve">Table </w:t>
      </w:r>
      <w:fldSimple w:instr=" SEQ Table \* ARABIC ">
        <w:r w:rsidR="007F3589">
          <w:rPr>
            <w:noProof/>
          </w:rPr>
          <w:t>1</w:t>
        </w:r>
      </w:fldSimple>
      <w:bookmarkEnd w:id="5"/>
      <w:r>
        <w:t xml:space="preserve"> – REGULATED EMISSION UNITS AT THE </w:t>
      </w:r>
      <w:r w:rsidR="007944FF">
        <w:t>LAUDERDALE</w:t>
      </w:r>
      <w:r>
        <w:t xml:space="preserve"> PLANT.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134"/>
        <w:gridCol w:w="8218"/>
      </w:tblGrid>
      <w:tr w:rsidR="00594CA7" w:rsidTr="00DF525B">
        <w:trPr>
          <w:tblHeader/>
        </w:trPr>
        <w:tc>
          <w:tcPr>
            <w:tcW w:w="1134" w:type="dxa"/>
            <w:tcBorders>
              <w:top w:val="single" w:sz="4" w:space="0" w:color="auto"/>
              <w:left w:val="single" w:sz="4" w:space="0" w:color="auto"/>
              <w:bottom w:val="single" w:sz="4" w:space="0" w:color="auto"/>
              <w:right w:val="single" w:sz="4" w:space="0" w:color="auto"/>
            </w:tcBorders>
            <w:shd w:val="clear" w:color="auto" w:fill="C6D9F1"/>
            <w:vAlign w:val="center"/>
          </w:tcPr>
          <w:p w:rsidR="00594CA7" w:rsidRDefault="00594CA7" w:rsidP="00594CA7">
            <w:pPr>
              <w:jc w:val="center"/>
              <w:rPr>
                <w:b/>
              </w:rPr>
            </w:pPr>
            <w:r>
              <w:rPr>
                <w:b/>
              </w:rPr>
              <w:t>EU ID No.</w:t>
            </w:r>
          </w:p>
        </w:tc>
        <w:tc>
          <w:tcPr>
            <w:tcW w:w="8218" w:type="dxa"/>
            <w:tcBorders>
              <w:top w:val="single" w:sz="4" w:space="0" w:color="auto"/>
              <w:left w:val="single" w:sz="4" w:space="0" w:color="auto"/>
              <w:bottom w:val="single" w:sz="4" w:space="0" w:color="auto"/>
              <w:right w:val="single" w:sz="4" w:space="0" w:color="auto"/>
            </w:tcBorders>
            <w:shd w:val="clear" w:color="auto" w:fill="C6D9F1"/>
            <w:vAlign w:val="center"/>
          </w:tcPr>
          <w:p w:rsidR="00594CA7" w:rsidRPr="00594CA7" w:rsidRDefault="00594CA7" w:rsidP="00594CA7">
            <w:pPr>
              <w:pStyle w:val="Heading2"/>
              <w:jc w:val="center"/>
              <w:rPr>
                <w:b/>
                <w:i w:val="0"/>
                <w:sz w:val="20"/>
              </w:rPr>
            </w:pPr>
            <w:r w:rsidRPr="00594CA7">
              <w:rPr>
                <w:b/>
                <w:i w:val="0"/>
                <w:sz w:val="20"/>
              </w:rPr>
              <w:t>Brief Description</w:t>
            </w:r>
          </w:p>
        </w:tc>
      </w:tr>
      <w:tr w:rsidR="00594CA7" w:rsidTr="00594CA7">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035</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Combined-Cycle Combustion Turbine with Heat Recovery Steam Generator (CT 4A)</w:t>
            </w:r>
          </w:p>
        </w:tc>
      </w:tr>
      <w:tr w:rsidR="00594CA7" w:rsidTr="00594CA7">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036</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Combined-Cycle Combustion Turbine with Heat Recovery Steam Generator (CT 4B)</w:t>
            </w:r>
          </w:p>
        </w:tc>
      </w:tr>
      <w:tr w:rsidR="00594CA7" w:rsidTr="00594CA7">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037</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Combined-Cycle Combustion Turbine with Heat Recovery Steam Generator (CT 5A)</w:t>
            </w:r>
          </w:p>
        </w:tc>
      </w:tr>
      <w:tr w:rsidR="00594CA7" w:rsidTr="00594CA7">
        <w:trPr>
          <w:trHeight w:val="27"/>
        </w:trPr>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038</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Combined-Cycle Combustion Turbine with Heat Recovery Steam Generator (CT 5B)</w:t>
            </w:r>
          </w:p>
        </w:tc>
      </w:tr>
      <w:tr w:rsidR="00594CA7" w:rsidTr="00594CA7">
        <w:tc>
          <w:tcPr>
            <w:tcW w:w="1134" w:type="dxa"/>
            <w:tcBorders>
              <w:top w:val="single" w:sz="4" w:space="0" w:color="auto"/>
              <w:left w:val="single" w:sz="4" w:space="0" w:color="auto"/>
              <w:bottom w:val="single" w:sz="4" w:space="0" w:color="auto"/>
              <w:right w:val="single" w:sz="4" w:space="0" w:color="auto"/>
            </w:tcBorders>
            <w:shd w:val="clear" w:color="auto" w:fill="00FFFF"/>
          </w:tcPr>
          <w:p w:rsidR="00594CA7" w:rsidRDefault="00594CA7" w:rsidP="006B7B3C">
            <w:pPr>
              <w:jc w:val="center"/>
            </w:pPr>
            <w:r>
              <w:t>003</w:t>
            </w:r>
          </w:p>
        </w:tc>
        <w:tc>
          <w:tcPr>
            <w:tcW w:w="8218" w:type="dxa"/>
            <w:tcBorders>
              <w:top w:val="single" w:sz="4" w:space="0" w:color="auto"/>
              <w:left w:val="single" w:sz="4" w:space="0" w:color="auto"/>
              <w:bottom w:val="single" w:sz="4" w:space="0" w:color="auto"/>
              <w:right w:val="single" w:sz="4" w:space="0" w:color="auto"/>
            </w:tcBorders>
            <w:shd w:val="clear" w:color="auto" w:fill="00FFFF"/>
          </w:tcPr>
          <w:p w:rsidR="00594CA7" w:rsidRDefault="00594CA7" w:rsidP="006B7B3C">
            <w:r>
              <w:t xml:space="preserve">Bank of 12 Combustion Turbines (Nos. 1 to 12) </w:t>
            </w:r>
          </w:p>
        </w:tc>
      </w:tr>
      <w:tr w:rsidR="00594CA7" w:rsidTr="00594CA7">
        <w:tc>
          <w:tcPr>
            <w:tcW w:w="1134" w:type="dxa"/>
            <w:tcBorders>
              <w:top w:val="single" w:sz="4" w:space="0" w:color="auto"/>
              <w:left w:val="single" w:sz="4" w:space="0" w:color="auto"/>
              <w:bottom w:val="single" w:sz="4" w:space="0" w:color="auto"/>
              <w:right w:val="single" w:sz="4" w:space="0" w:color="auto"/>
            </w:tcBorders>
            <w:shd w:val="clear" w:color="auto" w:fill="00FFFF"/>
          </w:tcPr>
          <w:p w:rsidR="00594CA7" w:rsidRDefault="00594CA7" w:rsidP="006B7B3C">
            <w:pPr>
              <w:jc w:val="center"/>
            </w:pPr>
            <w:r>
              <w:t>015</w:t>
            </w:r>
          </w:p>
        </w:tc>
        <w:tc>
          <w:tcPr>
            <w:tcW w:w="8218" w:type="dxa"/>
            <w:tcBorders>
              <w:top w:val="single" w:sz="4" w:space="0" w:color="auto"/>
              <w:left w:val="single" w:sz="4" w:space="0" w:color="auto"/>
              <w:bottom w:val="single" w:sz="4" w:space="0" w:color="auto"/>
              <w:right w:val="single" w:sz="4" w:space="0" w:color="auto"/>
            </w:tcBorders>
            <w:shd w:val="clear" w:color="auto" w:fill="00FFFF"/>
          </w:tcPr>
          <w:p w:rsidR="00594CA7" w:rsidRDefault="00594CA7" w:rsidP="006B7B3C">
            <w:r>
              <w:t xml:space="preserve">Bank of 12 Combustion Turbines (Nos. 13 to 24) </w:t>
            </w:r>
          </w:p>
        </w:tc>
      </w:tr>
      <w:tr w:rsidR="00594CA7" w:rsidTr="00594CA7">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027</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Fuel Oil Storage Tank #2 (80,000 barrel (bbl), Light Distillate Fuel Oil)</w:t>
            </w:r>
          </w:p>
        </w:tc>
      </w:tr>
      <w:tr w:rsidR="00594CA7" w:rsidTr="00594CA7">
        <w:trPr>
          <w:trHeight w:val="22"/>
        </w:trPr>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028</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Fuel Oil Storage Tank #3 (150,000 bbl, Light Distillate Fuel Oil)</w:t>
            </w:r>
          </w:p>
        </w:tc>
      </w:tr>
      <w:tr w:rsidR="00594CA7" w:rsidTr="00594CA7">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029</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 xml:space="preserve">Fuel Oil Storage Tank #5 (75,000 bbl, Light Distillate Fuel Oil) </w:t>
            </w:r>
          </w:p>
        </w:tc>
      </w:tr>
      <w:tr w:rsidR="00594CA7" w:rsidTr="00594CA7">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030</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2 Fuel Oil Dump Tanks (2,500 gallon and 110 gallon)</w:t>
            </w:r>
          </w:p>
        </w:tc>
      </w:tr>
      <w:tr w:rsidR="00594CA7" w:rsidTr="00594CA7">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039</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Site Solvent Usage</w:t>
            </w:r>
          </w:p>
        </w:tc>
      </w:tr>
      <w:tr w:rsidR="00594CA7" w:rsidTr="00594CA7">
        <w:tc>
          <w:tcPr>
            <w:tcW w:w="1134" w:type="dxa"/>
            <w:tcBorders>
              <w:top w:val="single" w:sz="4" w:space="0" w:color="auto"/>
              <w:left w:val="single" w:sz="4" w:space="0" w:color="auto"/>
              <w:bottom w:val="single" w:sz="4" w:space="0" w:color="auto"/>
              <w:right w:val="single" w:sz="4" w:space="0" w:color="auto"/>
            </w:tcBorders>
            <w:vAlign w:val="center"/>
          </w:tcPr>
          <w:p w:rsidR="00594CA7" w:rsidRDefault="00594CA7" w:rsidP="006B7B3C">
            <w:pPr>
              <w:jc w:val="center"/>
            </w:pPr>
            <w:r>
              <w:lastRenderedPageBreak/>
              <w:t>042</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 xml:space="preserve">Auxiliary Boiler used to provide steam to the turbine shaft seals during a cold start of the plant.  Maximum designed heat input rate is 15.5 </w:t>
            </w:r>
            <w:r w:rsidR="003C7AD8">
              <w:t>million British thermal units per hour (</w:t>
            </w:r>
            <w:r>
              <w:t>MMBtu/hr</w:t>
            </w:r>
            <w:r w:rsidR="003C7AD8">
              <w:t>)</w:t>
            </w:r>
            <w:r>
              <w:t xml:space="preserve">.  </w:t>
            </w:r>
          </w:p>
        </w:tc>
      </w:tr>
      <w:tr w:rsidR="00594CA7" w:rsidTr="00594CA7">
        <w:tc>
          <w:tcPr>
            <w:tcW w:w="1134" w:type="dxa"/>
            <w:tcBorders>
              <w:top w:val="single" w:sz="4" w:space="0" w:color="auto"/>
              <w:left w:val="single" w:sz="4" w:space="0" w:color="auto"/>
              <w:bottom w:val="single" w:sz="4" w:space="0" w:color="auto"/>
              <w:right w:val="single" w:sz="4" w:space="0" w:color="auto"/>
            </w:tcBorders>
          </w:tcPr>
          <w:p w:rsidR="00594CA7" w:rsidRDefault="00594CA7" w:rsidP="006B7B3C">
            <w:pPr>
              <w:jc w:val="center"/>
            </w:pPr>
            <w:r>
              <w:t>044</w:t>
            </w:r>
          </w:p>
        </w:tc>
        <w:tc>
          <w:tcPr>
            <w:tcW w:w="8218" w:type="dxa"/>
            <w:tcBorders>
              <w:top w:val="single" w:sz="4" w:space="0" w:color="auto"/>
              <w:left w:val="single" w:sz="4" w:space="0" w:color="auto"/>
              <w:bottom w:val="single" w:sz="4" w:space="0" w:color="auto"/>
              <w:right w:val="single" w:sz="4" w:space="0" w:color="auto"/>
            </w:tcBorders>
          </w:tcPr>
          <w:p w:rsidR="00594CA7" w:rsidRDefault="00594CA7" w:rsidP="006B7B3C">
            <w:r>
              <w:t>Emergency Diesel Fire Pump Engine</w:t>
            </w:r>
          </w:p>
        </w:tc>
      </w:tr>
    </w:tbl>
    <w:p w:rsidR="00193F10" w:rsidRDefault="00264AA9" w:rsidP="00C070A4">
      <w:pPr>
        <w:widowControl w:val="0"/>
        <w:numPr>
          <w:ilvl w:val="1"/>
          <w:numId w:val="2"/>
        </w:numPr>
        <w:tabs>
          <w:tab w:val="left" w:pos="720"/>
        </w:tabs>
        <w:spacing w:before="120" w:after="120"/>
        <w:ind w:left="720" w:hanging="720"/>
        <w:rPr>
          <w:b/>
          <w:bCs/>
          <w:sz w:val="22"/>
          <w:szCs w:val="22"/>
        </w:rPr>
      </w:pPr>
      <w:r w:rsidRPr="00327342">
        <w:rPr>
          <w:b/>
          <w:bCs/>
          <w:sz w:val="22"/>
          <w:szCs w:val="22"/>
        </w:rPr>
        <w:t xml:space="preserve">Primary </w:t>
      </w:r>
      <w:r w:rsidR="00193F10" w:rsidRPr="00327342">
        <w:rPr>
          <w:b/>
          <w:bCs/>
          <w:sz w:val="22"/>
          <w:szCs w:val="22"/>
        </w:rPr>
        <w:t>Regulatory Categories</w:t>
      </w:r>
    </w:p>
    <w:p w:rsidR="00E761E2" w:rsidRPr="0015095D" w:rsidRDefault="00E761E2" w:rsidP="00C070A4">
      <w:pPr>
        <w:widowControl w:val="0"/>
        <w:numPr>
          <w:ilvl w:val="2"/>
          <w:numId w:val="2"/>
        </w:numPr>
        <w:tabs>
          <w:tab w:val="left" w:pos="720"/>
        </w:tabs>
        <w:spacing w:after="120"/>
        <w:ind w:left="720" w:hanging="720"/>
        <w:rPr>
          <w:bCs/>
          <w:sz w:val="22"/>
          <w:szCs w:val="22"/>
          <w:u w:val="single"/>
        </w:rPr>
      </w:pPr>
      <w:r w:rsidRPr="0015095D">
        <w:rPr>
          <w:bCs/>
          <w:sz w:val="22"/>
          <w:szCs w:val="22"/>
          <w:u w:val="single"/>
        </w:rPr>
        <w:t>Federal Regulations</w:t>
      </w:r>
    </w:p>
    <w:p w:rsidR="00E761E2" w:rsidRPr="00E761E2" w:rsidRDefault="00E761E2" w:rsidP="00D52FCA">
      <w:pPr>
        <w:widowControl w:val="0"/>
        <w:spacing w:after="120"/>
        <w:rPr>
          <w:bCs/>
          <w:sz w:val="22"/>
          <w:szCs w:val="22"/>
        </w:rPr>
      </w:pPr>
      <w:r w:rsidRPr="00E761E2">
        <w:rPr>
          <w:bCs/>
          <w:sz w:val="22"/>
          <w:szCs w:val="22"/>
        </w:rPr>
        <w:t>The U.S. Environmental Protection Agency (EPA) establishes air quality regulations in Title 40, Code of Federal Regulations, Part 60 (40 CFR 60) that identifies New Source Performance Standards (NSPS) for a variety of industrial activities.  40 CFR 61 specifies National Emission Standards for Hazardous Air Pollutants (NESHAP).  40 CFR 63 specifies</w:t>
      </w:r>
      <w:r w:rsidR="00DA3D7E">
        <w:rPr>
          <w:bCs/>
          <w:sz w:val="22"/>
          <w:szCs w:val="22"/>
        </w:rPr>
        <w:t xml:space="preserve"> </w:t>
      </w:r>
      <w:r w:rsidRPr="00E761E2">
        <w:rPr>
          <w:bCs/>
          <w:sz w:val="22"/>
          <w:szCs w:val="22"/>
        </w:rPr>
        <w:t xml:space="preserve">NESHAP provisions based on the Maximum Achievable Control Technology (MACT) for given source categories. </w:t>
      </w:r>
    </w:p>
    <w:p w:rsidR="00E761E2" w:rsidRPr="00E761E2" w:rsidRDefault="00E761E2" w:rsidP="007231C3">
      <w:pPr>
        <w:widowControl w:val="0"/>
        <w:spacing w:after="60"/>
        <w:rPr>
          <w:bCs/>
          <w:sz w:val="22"/>
          <w:szCs w:val="22"/>
        </w:rPr>
      </w:pPr>
      <w:r w:rsidRPr="00E761E2">
        <w:rPr>
          <w:bCs/>
          <w:sz w:val="22"/>
          <w:szCs w:val="22"/>
        </w:rPr>
        <w:t>Federal regulations adopted by reference are given in Rule 62-204.800, F.A.C.  State regulations approved by EPA are given in 40 CFR 52, Subpart K – Florida; also known as the State Implementation Plan (SIP) for Florida.</w:t>
      </w:r>
      <w:r w:rsidR="00E16364">
        <w:rPr>
          <w:bCs/>
          <w:sz w:val="22"/>
          <w:szCs w:val="22"/>
        </w:rPr>
        <w:t xml:space="preserve">  The following federal regulations apply to the </w:t>
      </w:r>
      <w:r w:rsidR="007944FF">
        <w:rPr>
          <w:bCs/>
          <w:sz w:val="22"/>
          <w:szCs w:val="22"/>
        </w:rPr>
        <w:t>Lauderdale</w:t>
      </w:r>
      <w:r w:rsidR="00E16364">
        <w:rPr>
          <w:bCs/>
          <w:sz w:val="22"/>
          <w:szCs w:val="22"/>
        </w:rPr>
        <w:t xml:space="preserve"> Plant and this project.</w:t>
      </w:r>
    </w:p>
    <w:p w:rsidR="00844FE5" w:rsidRDefault="00844FE5" w:rsidP="007231C3">
      <w:pPr>
        <w:numPr>
          <w:ilvl w:val="0"/>
          <w:numId w:val="1"/>
        </w:numPr>
        <w:spacing w:after="60"/>
        <w:rPr>
          <w:sz w:val="22"/>
          <w:szCs w:val="22"/>
        </w:rPr>
      </w:pPr>
      <w:r w:rsidRPr="00877418">
        <w:rPr>
          <w:sz w:val="22"/>
          <w:szCs w:val="22"/>
        </w:rPr>
        <w:t xml:space="preserve">The </w:t>
      </w:r>
      <w:r w:rsidR="00671AD0">
        <w:rPr>
          <w:sz w:val="22"/>
          <w:szCs w:val="22"/>
        </w:rPr>
        <w:t xml:space="preserve">existing </w:t>
      </w:r>
      <w:r w:rsidRPr="00877418">
        <w:rPr>
          <w:sz w:val="22"/>
          <w:szCs w:val="22"/>
        </w:rPr>
        <w:t xml:space="preserve">facility </w:t>
      </w:r>
      <w:r w:rsidRPr="00671AD0">
        <w:rPr>
          <w:sz w:val="22"/>
          <w:szCs w:val="22"/>
        </w:rPr>
        <w:t>is</w:t>
      </w:r>
      <w:r w:rsidRPr="00877418">
        <w:rPr>
          <w:sz w:val="22"/>
          <w:szCs w:val="22"/>
        </w:rPr>
        <w:t xml:space="preserve"> a major </w:t>
      </w:r>
      <w:r>
        <w:rPr>
          <w:sz w:val="22"/>
          <w:szCs w:val="22"/>
        </w:rPr>
        <w:t xml:space="preserve">stationary source </w:t>
      </w:r>
      <w:r w:rsidRPr="00877418">
        <w:rPr>
          <w:sz w:val="22"/>
          <w:szCs w:val="22"/>
        </w:rPr>
        <w:t>in accordance with Rule 62-212.400, F.A.C.</w:t>
      </w:r>
      <w:r w:rsidR="00671AD0">
        <w:rPr>
          <w:sz w:val="22"/>
          <w:szCs w:val="22"/>
        </w:rPr>
        <w:t xml:space="preserve"> for the Prevention of Significant Deterioration (PSD) of Air Quality and Rule 62</w:t>
      </w:r>
      <w:r w:rsidR="00EB6F4C">
        <w:rPr>
          <w:sz w:val="22"/>
          <w:szCs w:val="22"/>
        </w:rPr>
        <w:t>-210.200 (Definitions), F.A.C.</w:t>
      </w:r>
    </w:p>
    <w:p w:rsidR="00556A0E" w:rsidRDefault="00556A0E" w:rsidP="007231C3">
      <w:pPr>
        <w:numPr>
          <w:ilvl w:val="0"/>
          <w:numId w:val="1"/>
        </w:numPr>
        <w:spacing w:after="60"/>
        <w:rPr>
          <w:sz w:val="22"/>
          <w:szCs w:val="22"/>
        </w:rPr>
      </w:pPr>
      <w:r>
        <w:rPr>
          <w:sz w:val="22"/>
          <w:szCs w:val="22"/>
        </w:rPr>
        <w:t xml:space="preserve">This </w:t>
      </w:r>
      <w:r w:rsidRPr="005E4F77">
        <w:rPr>
          <w:sz w:val="22"/>
          <w:szCs w:val="22"/>
        </w:rPr>
        <w:t xml:space="preserve">project </w:t>
      </w:r>
      <w:r>
        <w:rPr>
          <w:sz w:val="22"/>
          <w:szCs w:val="22"/>
        </w:rPr>
        <w:t xml:space="preserve">(as discussed below) </w:t>
      </w:r>
      <w:r w:rsidRPr="006019C1">
        <w:rPr>
          <w:b/>
          <w:sz w:val="22"/>
          <w:szCs w:val="22"/>
          <w:u w:val="single"/>
        </w:rPr>
        <w:t>does</w:t>
      </w:r>
      <w:r w:rsidRPr="005E4F77">
        <w:rPr>
          <w:sz w:val="22"/>
          <w:szCs w:val="22"/>
        </w:rPr>
        <w:t xml:space="preserve"> trigger a PSD review and a requirement to conduct Best Available Control Technology (BACT) </w:t>
      </w:r>
      <w:r w:rsidR="00E16364">
        <w:rPr>
          <w:sz w:val="22"/>
          <w:szCs w:val="22"/>
        </w:rPr>
        <w:t>determination</w:t>
      </w:r>
      <w:r w:rsidR="007025F6">
        <w:rPr>
          <w:sz w:val="22"/>
          <w:szCs w:val="22"/>
        </w:rPr>
        <w:t>s</w:t>
      </w:r>
      <w:r w:rsidR="00E16364">
        <w:rPr>
          <w:sz w:val="22"/>
          <w:szCs w:val="22"/>
        </w:rPr>
        <w:t xml:space="preserve"> </w:t>
      </w:r>
      <w:r w:rsidRPr="005E4F77">
        <w:rPr>
          <w:sz w:val="22"/>
          <w:szCs w:val="22"/>
        </w:rPr>
        <w:t>pursuant to Department Rule 62-212.400, F.A.C.</w:t>
      </w:r>
    </w:p>
    <w:p w:rsidR="00674982" w:rsidRDefault="00674982" w:rsidP="007231C3">
      <w:pPr>
        <w:numPr>
          <w:ilvl w:val="0"/>
          <w:numId w:val="1"/>
        </w:numPr>
        <w:spacing w:after="60"/>
        <w:rPr>
          <w:sz w:val="22"/>
          <w:szCs w:val="22"/>
        </w:rPr>
      </w:pPr>
      <w:r>
        <w:rPr>
          <w:sz w:val="22"/>
          <w:szCs w:val="22"/>
        </w:rPr>
        <w:t xml:space="preserve">The existing </w:t>
      </w:r>
      <w:r w:rsidRPr="00671AD0">
        <w:rPr>
          <w:sz w:val="22"/>
          <w:szCs w:val="22"/>
        </w:rPr>
        <w:t>facility is a major</w:t>
      </w:r>
      <w:r w:rsidRPr="00877418">
        <w:rPr>
          <w:sz w:val="22"/>
          <w:szCs w:val="22"/>
        </w:rPr>
        <w:t xml:space="preserve"> source of hazardous air pollutants (HAP).</w:t>
      </w:r>
    </w:p>
    <w:p w:rsidR="00674982" w:rsidRDefault="00674982" w:rsidP="007231C3">
      <w:pPr>
        <w:numPr>
          <w:ilvl w:val="0"/>
          <w:numId w:val="1"/>
        </w:numPr>
        <w:spacing w:after="60"/>
        <w:rPr>
          <w:sz w:val="22"/>
          <w:szCs w:val="22"/>
        </w:rPr>
      </w:pPr>
      <w:r w:rsidRPr="00877418">
        <w:rPr>
          <w:sz w:val="22"/>
          <w:szCs w:val="22"/>
        </w:rPr>
        <w:t xml:space="preserve">The </w:t>
      </w:r>
      <w:r>
        <w:rPr>
          <w:sz w:val="22"/>
          <w:szCs w:val="22"/>
        </w:rPr>
        <w:t xml:space="preserve">existing </w:t>
      </w:r>
      <w:r w:rsidRPr="00877418">
        <w:rPr>
          <w:sz w:val="22"/>
          <w:szCs w:val="22"/>
        </w:rPr>
        <w:t xml:space="preserve">facility </w:t>
      </w:r>
      <w:r>
        <w:rPr>
          <w:sz w:val="22"/>
          <w:szCs w:val="22"/>
        </w:rPr>
        <w:t xml:space="preserve">has </w:t>
      </w:r>
      <w:r w:rsidRPr="00877418">
        <w:rPr>
          <w:sz w:val="22"/>
          <w:szCs w:val="22"/>
        </w:rPr>
        <w:t xml:space="preserve">units </w:t>
      </w:r>
      <w:r w:rsidR="00B22FC2">
        <w:rPr>
          <w:sz w:val="22"/>
          <w:szCs w:val="22"/>
        </w:rPr>
        <w:t xml:space="preserve">regulated under </w:t>
      </w:r>
      <w:r>
        <w:rPr>
          <w:sz w:val="22"/>
          <w:szCs w:val="22"/>
        </w:rPr>
        <w:t>Clean Air Act</w:t>
      </w:r>
      <w:r w:rsidR="00B22FC2">
        <w:rPr>
          <w:sz w:val="22"/>
          <w:szCs w:val="22"/>
        </w:rPr>
        <w:t>, Title IV, Acid Rain provisions</w:t>
      </w:r>
      <w:r w:rsidR="00013905">
        <w:rPr>
          <w:sz w:val="22"/>
          <w:szCs w:val="22"/>
        </w:rPr>
        <w:t>, Phase II</w:t>
      </w:r>
      <w:r>
        <w:rPr>
          <w:sz w:val="22"/>
          <w:szCs w:val="22"/>
        </w:rPr>
        <w:t>.</w:t>
      </w:r>
    </w:p>
    <w:p w:rsidR="00674982" w:rsidRDefault="00674982" w:rsidP="007231C3">
      <w:pPr>
        <w:numPr>
          <w:ilvl w:val="0"/>
          <w:numId w:val="1"/>
        </w:numPr>
        <w:spacing w:after="60"/>
        <w:rPr>
          <w:sz w:val="22"/>
          <w:szCs w:val="22"/>
        </w:rPr>
      </w:pPr>
      <w:r w:rsidRPr="00580810">
        <w:rPr>
          <w:sz w:val="22"/>
          <w:szCs w:val="22"/>
        </w:rPr>
        <w:t>The existing facility is a Title V major source of air pollution in accordance with Chapter 62-213, F.A.C.</w:t>
      </w:r>
    </w:p>
    <w:p w:rsidR="00556A0E" w:rsidRDefault="00556A0E" w:rsidP="007231C3">
      <w:pPr>
        <w:numPr>
          <w:ilvl w:val="0"/>
          <w:numId w:val="1"/>
        </w:numPr>
        <w:spacing w:after="60"/>
        <w:rPr>
          <w:sz w:val="22"/>
          <w:szCs w:val="22"/>
        </w:rPr>
      </w:pPr>
      <w:r w:rsidRPr="00CB788F">
        <w:rPr>
          <w:sz w:val="22"/>
          <w:szCs w:val="22"/>
        </w:rPr>
        <w:t xml:space="preserve">The </w:t>
      </w:r>
      <w:r w:rsidRPr="005E4F77">
        <w:rPr>
          <w:sz w:val="22"/>
          <w:szCs w:val="22"/>
        </w:rPr>
        <w:t xml:space="preserve">proposed project includes units </w:t>
      </w:r>
      <w:r w:rsidRPr="00CB788F">
        <w:rPr>
          <w:sz w:val="22"/>
          <w:szCs w:val="22"/>
        </w:rPr>
        <w:t xml:space="preserve">subject to </w:t>
      </w:r>
      <w:r w:rsidRPr="005E4F77">
        <w:rPr>
          <w:sz w:val="22"/>
          <w:szCs w:val="22"/>
        </w:rPr>
        <w:t>Clean Air Interstate Rule (CAIR).</w:t>
      </w:r>
    </w:p>
    <w:p w:rsidR="00556A0E" w:rsidRPr="005E4F77" w:rsidRDefault="00556A0E" w:rsidP="007231C3">
      <w:pPr>
        <w:widowControl w:val="0"/>
        <w:numPr>
          <w:ilvl w:val="0"/>
          <w:numId w:val="17"/>
        </w:numPr>
        <w:spacing w:after="60"/>
        <w:ind w:left="360"/>
        <w:rPr>
          <w:sz w:val="22"/>
          <w:szCs w:val="22"/>
        </w:rPr>
      </w:pPr>
      <w:r w:rsidRPr="005E4F77">
        <w:rPr>
          <w:sz w:val="22"/>
          <w:szCs w:val="22"/>
        </w:rPr>
        <w:t>The proposed project includes units subject to the NSPS of</w:t>
      </w:r>
      <w:r>
        <w:rPr>
          <w:sz w:val="22"/>
          <w:szCs w:val="22"/>
        </w:rPr>
        <w:t xml:space="preserve"> </w:t>
      </w:r>
      <w:r w:rsidRPr="005E4F77">
        <w:rPr>
          <w:sz w:val="22"/>
          <w:szCs w:val="22"/>
        </w:rPr>
        <w:t>40 CFR 60.</w:t>
      </w:r>
    </w:p>
    <w:p w:rsidR="00556A0E" w:rsidRDefault="00556A0E" w:rsidP="00C070A4">
      <w:pPr>
        <w:numPr>
          <w:ilvl w:val="0"/>
          <w:numId w:val="1"/>
        </w:numPr>
        <w:spacing w:after="120"/>
        <w:rPr>
          <w:sz w:val="22"/>
          <w:szCs w:val="22"/>
        </w:rPr>
      </w:pPr>
      <w:r w:rsidRPr="005E4F77">
        <w:rPr>
          <w:sz w:val="22"/>
          <w:szCs w:val="22"/>
        </w:rPr>
        <w:t>The proposed project includes units subject to the NESHAP of 40 CFR 63.</w:t>
      </w:r>
    </w:p>
    <w:p w:rsidR="00D52FCA" w:rsidRPr="0015095D" w:rsidRDefault="00D52FCA" w:rsidP="00C070A4">
      <w:pPr>
        <w:widowControl w:val="0"/>
        <w:numPr>
          <w:ilvl w:val="2"/>
          <w:numId w:val="2"/>
        </w:numPr>
        <w:tabs>
          <w:tab w:val="left" w:pos="720"/>
        </w:tabs>
        <w:spacing w:after="120"/>
        <w:ind w:left="720" w:hanging="720"/>
        <w:rPr>
          <w:bCs/>
          <w:sz w:val="22"/>
          <w:szCs w:val="22"/>
          <w:u w:val="single"/>
        </w:rPr>
      </w:pPr>
      <w:r w:rsidRPr="0015095D">
        <w:rPr>
          <w:bCs/>
          <w:sz w:val="22"/>
          <w:szCs w:val="22"/>
          <w:u w:val="single"/>
        </w:rPr>
        <w:t>State Regulations</w:t>
      </w:r>
    </w:p>
    <w:p w:rsidR="00D52FCA" w:rsidRPr="005455CE" w:rsidRDefault="00D52FCA" w:rsidP="00D52FCA">
      <w:pPr>
        <w:spacing w:after="120"/>
        <w:rPr>
          <w:sz w:val="22"/>
          <w:szCs w:val="22"/>
        </w:rPr>
      </w:pPr>
      <w:r w:rsidRPr="005455CE">
        <w:rPr>
          <w:sz w:val="22"/>
          <w:szCs w:val="22"/>
        </w:rPr>
        <w:t xml:space="preserve">Projects at stationary sources with the potential to emit air pollution are subject to the applicable environmental laws specified in Section 403 of the Florida Statutes (F.S.).  The statutes authorize the Department of Environmental Protection (Department) to establish air quality regulations as part of the Florida Administrative Code (F.A.C.), which includes the applicable chapters contained in </w:t>
      </w:r>
      <w:r w:rsidRPr="0015095D">
        <w:rPr>
          <w:b/>
        </w:rPr>
        <w:fldChar w:fldCharType="begin"/>
      </w:r>
      <w:r w:rsidRPr="0015095D">
        <w:rPr>
          <w:b/>
        </w:rPr>
        <w:instrText xml:space="preserve"> REF _Ref343241113 \h  \* MERGEFORMAT </w:instrText>
      </w:r>
      <w:r w:rsidRPr="0015095D">
        <w:rPr>
          <w:b/>
        </w:rPr>
      </w:r>
      <w:r w:rsidRPr="0015095D">
        <w:rPr>
          <w:b/>
        </w:rPr>
        <w:fldChar w:fldCharType="separate"/>
      </w:r>
      <w:r w:rsidR="007F3589" w:rsidRPr="007F3589">
        <w:rPr>
          <w:b/>
          <w:sz w:val="22"/>
          <w:szCs w:val="22"/>
        </w:rPr>
        <w:t xml:space="preserve">Table </w:t>
      </w:r>
      <w:r w:rsidR="007F3589" w:rsidRPr="007F3589">
        <w:rPr>
          <w:b/>
          <w:noProof/>
          <w:sz w:val="22"/>
          <w:szCs w:val="22"/>
        </w:rPr>
        <w:t>2</w:t>
      </w:r>
      <w:r w:rsidRPr="0015095D">
        <w:rPr>
          <w:b/>
        </w:rPr>
        <w:fldChar w:fldCharType="end"/>
      </w:r>
      <w:r w:rsidR="0015095D">
        <w:rPr>
          <w:sz w:val="22"/>
          <w:szCs w:val="22"/>
        </w:rPr>
        <w:t>.</w:t>
      </w:r>
    </w:p>
    <w:p w:rsidR="00D52FCA" w:rsidRPr="00151783" w:rsidRDefault="00D52FCA" w:rsidP="00D52FCA">
      <w:pPr>
        <w:spacing w:after="120"/>
        <w:ind w:left="360"/>
        <w:jc w:val="center"/>
        <w:rPr>
          <w:rFonts w:ascii="Times New Roman Bold" w:hAnsi="Times New Roman Bold"/>
          <w:b/>
          <w:caps/>
          <w:sz w:val="22"/>
          <w:szCs w:val="22"/>
          <w:u w:val="single"/>
        </w:rPr>
      </w:pPr>
      <w:bookmarkStart w:id="6" w:name="_Ref343241113"/>
      <w:r w:rsidRPr="00151783">
        <w:rPr>
          <w:rFonts w:ascii="Times New Roman Bold" w:hAnsi="Times New Roman Bold"/>
          <w:b/>
          <w:caps/>
          <w:sz w:val="22"/>
        </w:rPr>
        <w:t xml:space="preserve">Table </w:t>
      </w:r>
      <w:r w:rsidRPr="00151783">
        <w:rPr>
          <w:rFonts w:ascii="Times New Roman Bold" w:hAnsi="Times New Roman Bold"/>
          <w:b/>
          <w:caps/>
          <w:sz w:val="22"/>
        </w:rPr>
        <w:fldChar w:fldCharType="begin"/>
      </w:r>
      <w:r w:rsidRPr="00151783">
        <w:rPr>
          <w:rFonts w:ascii="Times New Roman Bold" w:hAnsi="Times New Roman Bold"/>
          <w:b/>
          <w:caps/>
          <w:sz w:val="22"/>
        </w:rPr>
        <w:instrText xml:space="preserve"> SEQ Table \* ARABIC </w:instrText>
      </w:r>
      <w:r w:rsidRPr="00151783">
        <w:rPr>
          <w:rFonts w:ascii="Times New Roman Bold" w:hAnsi="Times New Roman Bold"/>
          <w:b/>
          <w:caps/>
          <w:sz w:val="22"/>
        </w:rPr>
        <w:fldChar w:fldCharType="separate"/>
      </w:r>
      <w:r w:rsidR="007F3589">
        <w:rPr>
          <w:rFonts w:ascii="Times New Roman Bold" w:hAnsi="Times New Roman Bold"/>
          <w:b/>
          <w:caps/>
          <w:noProof/>
          <w:sz w:val="22"/>
        </w:rPr>
        <w:t>2</w:t>
      </w:r>
      <w:r w:rsidRPr="00151783">
        <w:rPr>
          <w:rFonts w:ascii="Times New Roman Bold" w:hAnsi="Times New Roman Bold"/>
          <w:b/>
          <w:caps/>
          <w:sz w:val="22"/>
        </w:rPr>
        <w:fldChar w:fldCharType="end"/>
      </w:r>
      <w:bookmarkEnd w:id="6"/>
      <w:r w:rsidRPr="00151783">
        <w:rPr>
          <w:rFonts w:ascii="Times New Roman Bold" w:hAnsi="Times New Roman Bold"/>
          <w:b/>
          <w:caps/>
          <w:sz w:val="22"/>
        </w:rPr>
        <w:t xml:space="preserve"> – </w:t>
      </w:r>
      <w:r w:rsidRPr="00151783">
        <w:rPr>
          <w:rFonts w:ascii="Times New Roman Bold" w:hAnsi="Times New Roman Bold"/>
          <w:b/>
          <w:bCs/>
          <w:caps/>
          <w:sz w:val="22"/>
          <w:szCs w:val="22"/>
        </w:rPr>
        <w:t>Applicable Rules from the F.A.C.</w:t>
      </w:r>
    </w:p>
    <w:tbl>
      <w:tblPr>
        <w:tblW w:w="9237" w:type="dxa"/>
        <w:tblInd w:w="108"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000" w:firstRow="0" w:lastRow="0" w:firstColumn="0" w:lastColumn="0" w:noHBand="0" w:noVBand="0"/>
      </w:tblPr>
      <w:tblGrid>
        <w:gridCol w:w="1620"/>
        <w:gridCol w:w="7617"/>
      </w:tblGrid>
      <w:tr w:rsidR="00D52FCA" w:rsidRPr="005455CE" w:rsidTr="002E7738">
        <w:trPr>
          <w:trHeight w:val="147"/>
          <w:tblHeader/>
        </w:trPr>
        <w:tc>
          <w:tcPr>
            <w:tcW w:w="1620" w:type="dxa"/>
            <w:shd w:val="clear" w:color="auto" w:fill="C6D9F1"/>
            <w:vAlign w:val="center"/>
          </w:tcPr>
          <w:p w:rsidR="00D52FCA" w:rsidRPr="00D52FCA" w:rsidRDefault="00D52FCA" w:rsidP="00F3791F">
            <w:pPr>
              <w:autoSpaceDE w:val="0"/>
              <w:autoSpaceDN w:val="0"/>
              <w:adjustRightInd w:val="0"/>
              <w:spacing w:before="40" w:after="40"/>
              <w:jc w:val="center"/>
              <w:rPr>
                <w:color w:val="000000"/>
              </w:rPr>
            </w:pPr>
            <w:r w:rsidRPr="00D52FCA">
              <w:rPr>
                <w:b/>
                <w:bCs/>
                <w:color w:val="000000"/>
              </w:rPr>
              <w:t>Chapter</w:t>
            </w:r>
          </w:p>
        </w:tc>
        <w:tc>
          <w:tcPr>
            <w:tcW w:w="7617" w:type="dxa"/>
            <w:shd w:val="clear" w:color="auto" w:fill="C6D9F1"/>
            <w:vAlign w:val="center"/>
          </w:tcPr>
          <w:p w:rsidR="00D52FCA" w:rsidRPr="00D52FCA" w:rsidRDefault="00D52FCA" w:rsidP="00F3791F">
            <w:pPr>
              <w:autoSpaceDE w:val="0"/>
              <w:autoSpaceDN w:val="0"/>
              <w:adjustRightInd w:val="0"/>
              <w:spacing w:before="40" w:after="40"/>
              <w:jc w:val="center"/>
              <w:rPr>
                <w:color w:val="000000"/>
              </w:rPr>
            </w:pPr>
            <w:r w:rsidRPr="00D52FCA">
              <w:rPr>
                <w:b/>
                <w:bCs/>
                <w:color w:val="000000"/>
              </w:rPr>
              <w:t>Description</w:t>
            </w:r>
          </w:p>
        </w:tc>
      </w:tr>
      <w:tr w:rsidR="00D52FCA" w:rsidRPr="005455CE" w:rsidTr="002E7738">
        <w:trPr>
          <w:trHeight w:val="145"/>
        </w:trPr>
        <w:tc>
          <w:tcPr>
            <w:tcW w:w="1620" w:type="dxa"/>
            <w:vAlign w:val="center"/>
          </w:tcPr>
          <w:p w:rsidR="00D52FCA" w:rsidRPr="00D52FCA" w:rsidRDefault="0091500A" w:rsidP="00D52FCA">
            <w:pPr>
              <w:autoSpaceDE w:val="0"/>
              <w:autoSpaceDN w:val="0"/>
              <w:adjustRightInd w:val="0"/>
              <w:spacing w:before="20" w:after="20"/>
              <w:jc w:val="center"/>
              <w:rPr>
                <w:color w:val="000000"/>
              </w:rPr>
            </w:pPr>
            <w:hyperlink r:id="rId14" w:history="1">
              <w:r w:rsidR="00D52FCA" w:rsidRPr="00D52FCA">
                <w:rPr>
                  <w:color w:val="0000FF"/>
                  <w:u w:val="single"/>
                </w:rPr>
                <w:t>62-4</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Permits </w:t>
            </w:r>
          </w:p>
        </w:tc>
      </w:tr>
      <w:tr w:rsidR="00D52FCA" w:rsidRPr="005455CE" w:rsidTr="002E7738">
        <w:trPr>
          <w:trHeight w:val="145"/>
        </w:trPr>
        <w:tc>
          <w:tcPr>
            <w:tcW w:w="1620" w:type="dxa"/>
            <w:vAlign w:val="center"/>
          </w:tcPr>
          <w:p w:rsidR="00D52FCA" w:rsidRPr="00D52FCA" w:rsidRDefault="0091500A" w:rsidP="00D52FCA">
            <w:pPr>
              <w:autoSpaceDE w:val="0"/>
              <w:autoSpaceDN w:val="0"/>
              <w:adjustRightInd w:val="0"/>
              <w:spacing w:before="20" w:after="20"/>
              <w:jc w:val="center"/>
              <w:rPr>
                <w:color w:val="000000"/>
              </w:rPr>
            </w:pPr>
            <w:hyperlink r:id="rId15" w:history="1">
              <w:r w:rsidR="00D52FCA" w:rsidRPr="00D52FCA">
                <w:rPr>
                  <w:color w:val="0000FF"/>
                  <w:u w:val="single"/>
                </w:rPr>
                <w:t>62-17</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Electrical Power Plant Siting</w:t>
            </w:r>
          </w:p>
        </w:tc>
      </w:tr>
      <w:tr w:rsidR="00D52FCA" w:rsidRPr="005455CE" w:rsidTr="002E7738">
        <w:trPr>
          <w:trHeight w:val="145"/>
        </w:trPr>
        <w:tc>
          <w:tcPr>
            <w:tcW w:w="1620" w:type="dxa"/>
            <w:vAlign w:val="center"/>
          </w:tcPr>
          <w:p w:rsidR="00D52FCA" w:rsidRPr="00D52FCA" w:rsidRDefault="0091500A" w:rsidP="00D52FCA">
            <w:pPr>
              <w:autoSpaceDE w:val="0"/>
              <w:autoSpaceDN w:val="0"/>
              <w:adjustRightInd w:val="0"/>
              <w:spacing w:before="20" w:after="20"/>
              <w:jc w:val="center"/>
              <w:rPr>
                <w:color w:val="000000"/>
              </w:rPr>
            </w:pPr>
            <w:hyperlink r:id="rId16" w:history="1">
              <w:r w:rsidR="00D52FCA" w:rsidRPr="00D52FCA">
                <w:rPr>
                  <w:color w:val="0000FF"/>
                  <w:u w:val="single"/>
                </w:rPr>
                <w:t>62-204</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Air Pollution Control – General Provisions </w:t>
            </w:r>
          </w:p>
        </w:tc>
      </w:tr>
      <w:tr w:rsidR="00D52FCA" w:rsidRPr="005455CE" w:rsidTr="002E7738">
        <w:trPr>
          <w:trHeight w:val="145"/>
        </w:trPr>
        <w:tc>
          <w:tcPr>
            <w:tcW w:w="1620" w:type="dxa"/>
            <w:vAlign w:val="center"/>
          </w:tcPr>
          <w:p w:rsidR="00D52FCA" w:rsidRPr="00D52FCA" w:rsidRDefault="0091500A" w:rsidP="00D52FCA">
            <w:pPr>
              <w:autoSpaceDE w:val="0"/>
              <w:autoSpaceDN w:val="0"/>
              <w:adjustRightInd w:val="0"/>
              <w:spacing w:before="20" w:after="20"/>
              <w:jc w:val="center"/>
              <w:rPr>
                <w:color w:val="000000"/>
              </w:rPr>
            </w:pPr>
            <w:hyperlink r:id="rId17" w:history="1">
              <w:r w:rsidR="00D52FCA" w:rsidRPr="00D52FCA">
                <w:rPr>
                  <w:color w:val="0000FF"/>
                  <w:u w:val="single"/>
                </w:rPr>
                <w:t>62-210</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Stationary Sources of Air Pollution – General Requirements </w:t>
            </w:r>
          </w:p>
        </w:tc>
      </w:tr>
      <w:tr w:rsidR="00D52FCA" w:rsidRPr="005455CE" w:rsidTr="002E7738">
        <w:trPr>
          <w:trHeight w:val="145"/>
        </w:trPr>
        <w:tc>
          <w:tcPr>
            <w:tcW w:w="1620" w:type="dxa"/>
            <w:vAlign w:val="center"/>
          </w:tcPr>
          <w:p w:rsidR="00D52FCA" w:rsidRPr="00D52FCA" w:rsidRDefault="0091500A" w:rsidP="00D52FCA">
            <w:pPr>
              <w:autoSpaceDE w:val="0"/>
              <w:autoSpaceDN w:val="0"/>
              <w:adjustRightInd w:val="0"/>
              <w:spacing w:before="20" w:after="20"/>
              <w:jc w:val="center"/>
              <w:rPr>
                <w:color w:val="000000"/>
              </w:rPr>
            </w:pPr>
            <w:hyperlink r:id="rId18" w:history="1">
              <w:r w:rsidR="00D52FCA" w:rsidRPr="00D52FCA">
                <w:rPr>
                  <w:color w:val="0000FF"/>
                  <w:u w:val="single"/>
                </w:rPr>
                <w:t>62-212</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Stationary Sources – Preconstruction Review </w:t>
            </w:r>
          </w:p>
        </w:tc>
      </w:tr>
      <w:tr w:rsidR="00D52FCA" w:rsidRPr="005455CE" w:rsidTr="002E7738">
        <w:trPr>
          <w:trHeight w:val="145"/>
        </w:trPr>
        <w:tc>
          <w:tcPr>
            <w:tcW w:w="1620" w:type="dxa"/>
            <w:vAlign w:val="center"/>
          </w:tcPr>
          <w:p w:rsidR="00D52FCA" w:rsidRPr="00D52FCA" w:rsidRDefault="0091500A" w:rsidP="00D52FCA">
            <w:pPr>
              <w:autoSpaceDE w:val="0"/>
              <w:autoSpaceDN w:val="0"/>
              <w:adjustRightInd w:val="0"/>
              <w:spacing w:before="20" w:after="20"/>
              <w:jc w:val="center"/>
              <w:rPr>
                <w:color w:val="000000"/>
              </w:rPr>
            </w:pPr>
            <w:hyperlink r:id="rId19" w:history="1">
              <w:r w:rsidR="00D52FCA" w:rsidRPr="00D52FCA">
                <w:rPr>
                  <w:color w:val="0000FF"/>
                  <w:u w:val="single"/>
                </w:rPr>
                <w:t>62-213</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Operation Permits for Major Sources (Title V) of Air Pollution </w:t>
            </w:r>
          </w:p>
        </w:tc>
      </w:tr>
      <w:tr w:rsidR="00D52FCA" w:rsidRPr="005455CE" w:rsidTr="002E7738">
        <w:trPr>
          <w:trHeight w:val="145"/>
        </w:trPr>
        <w:tc>
          <w:tcPr>
            <w:tcW w:w="1620" w:type="dxa"/>
            <w:vAlign w:val="center"/>
          </w:tcPr>
          <w:p w:rsidR="00D52FCA" w:rsidRPr="00D52FCA" w:rsidRDefault="0091500A" w:rsidP="00D52FCA">
            <w:pPr>
              <w:autoSpaceDE w:val="0"/>
              <w:autoSpaceDN w:val="0"/>
              <w:adjustRightInd w:val="0"/>
              <w:spacing w:before="20" w:after="20"/>
              <w:jc w:val="center"/>
              <w:rPr>
                <w:color w:val="000000"/>
              </w:rPr>
            </w:pPr>
            <w:hyperlink r:id="rId20" w:history="1">
              <w:r w:rsidR="00D52FCA" w:rsidRPr="00D52FCA">
                <w:rPr>
                  <w:color w:val="0000FF"/>
                  <w:u w:val="single"/>
                </w:rPr>
                <w:t>62-296</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Stationary Sources – Emission Standards </w:t>
            </w:r>
          </w:p>
        </w:tc>
      </w:tr>
      <w:tr w:rsidR="00D52FCA" w:rsidRPr="005455CE" w:rsidTr="002E7738">
        <w:trPr>
          <w:trHeight w:val="145"/>
        </w:trPr>
        <w:tc>
          <w:tcPr>
            <w:tcW w:w="1620" w:type="dxa"/>
            <w:vAlign w:val="center"/>
          </w:tcPr>
          <w:p w:rsidR="00D52FCA" w:rsidRPr="00D52FCA" w:rsidRDefault="0091500A" w:rsidP="00D52FCA">
            <w:pPr>
              <w:autoSpaceDE w:val="0"/>
              <w:autoSpaceDN w:val="0"/>
              <w:adjustRightInd w:val="0"/>
              <w:spacing w:before="20" w:after="20"/>
              <w:jc w:val="center"/>
              <w:rPr>
                <w:color w:val="000000"/>
              </w:rPr>
            </w:pPr>
            <w:hyperlink r:id="rId21" w:history="1">
              <w:r w:rsidR="00D52FCA" w:rsidRPr="00D52FCA">
                <w:rPr>
                  <w:color w:val="0000FF"/>
                  <w:u w:val="single"/>
                </w:rPr>
                <w:t>62-297</w:t>
              </w:r>
            </w:hyperlink>
          </w:p>
        </w:tc>
        <w:tc>
          <w:tcPr>
            <w:tcW w:w="7617" w:type="dxa"/>
          </w:tcPr>
          <w:p w:rsidR="00D52FCA" w:rsidRPr="00D52FCA" w:rsidRDefault="00D52FCA" w:rsidP="00F3791F">
            <w:pPr>
              <w:autoSpaceDE w:val="0"/>
              <w:autoSpaceDN w:val="0"/>
              <w:adjustRightInd w:val="0"/>
              <w:spacing w:before="20" w:after="20"/>
              <w:rPr>
                <w:color w:val="000000"/>
              </w:rPr>
            </w:pPr>
            <w:r w:rsidRPr="00D52FCA">
              <w:rPr>
                <w:color w:val="000000"/>
              </w:rPr>
              <w:t xml:space="preserve">Stationary Sources – Emissions Monitoring </w:t>
            </w:r>
          </w:p>
        </w:tc>
      </w:tr>
    </w:tbl>
    <w:p w:rsidR="00193F10" w:rsidRDefault="0058001D" w:rsidP="00C070A4">
      <w:pPr>
        <w:widowControl w:val="0"/>
        <w:numPr>
          <w:ilvl w:val="1"/>
          <w:numId w:val="2"/>
        </w:numPr>
        <w:spacing w:before="120" w:after="120"/>
        <w:ind w:left="0" w:firstLine="0"/>
        <w:rPr>
          <w:b/>
          <w:bCs/>
          <w:sz w:val="22"/>
          <w:szCs w:val="22"/>
        </w:rPr>
      </w:pPr>
      <w:r>
        <w:rPr>
          <w:b/>
          <w:bCs/>
          <w:sz w:val="22"/>
          <w:szCs w:val="22"/>
        </w:rPr>
        <w:br w:type="page"/>
      </w:r>
      <w:r w:rsidR="00193F10" w:rsidRPr="00327342">
        <w:rPr>
          <w:b/>
          <w:bCs/>
          <w:sz w:val="22"/>
          <w:szCs w:val="22"/>
        </w:rPr>
        <w:lastRenderedPageBreak/>
        <w:t>Project Description</w:t>
      </w:r>
    </w:p>
    <w:p w:rsidR="0015095D" w:rsidRPr="000F27D8" w:rsidRDefault="0015095D" w:rsidP="00C070A4">
      <w:pPr>
        <w:widowControl w:val="0"/>
        <w:numPr>
          <w:ilvl w:val="2"/>
          <w:numId w:val="2"/>
        </w:numPr>
        <w:spacing w:after="120"/>
        <w:ind w:left="720" w:hanging="720"/>
        <w:rPr>
          <w:bCs/>
          <w:sz w:val="22"/>
          <w:szCs w:val="22"/>
        </w:rPr>
      </w:pPr>
      <w:r w:rsidRPr="00080981">
        <w:rPr>
          <w:bCs/>
          <w:sz w:val="22"/>
          <w:szCs w:val="22"/>
          <w:u w:val="single"/>
        </w:rPr>
        <w:t>FPL Rational</w:t>
      </w:r>
      <w:r>
        <w:rPr>
          <w:bCs/>
          <w:sz w:val="22"/>
          <w:szCs w:val="22"/>
          <w:u w:val="single"/>
        </w:rPr>
        <w:t xml:space="preserve"> for the Project</w:t>
      </w:r>
    </w:p>
    <w:p w:rsidR="0049034C" w:rsidRDefault="0049034C" w:rsidP="0049034C">
      <w:pPr>
        <w:spacing w:after="60"/>
        <w:rPr>
          <w:sz w:val="22"/>
          <w:szCs w:val="22"/>
        </w:rPr>
      </w:pPr>
      <w:r>
        <w:rPr>
          <w:sz w:val="22"/>
          <w:szCs w:val="22"/>
        </w:rPr>
        <w:t>According to FPL:</w:t>
      </w:r>
    </w:p>
    <w:p w:rsidR="00E761E2" w:rsidRDefault="006C3E3A" w:rsidP="006C3E3A">
      <w:pPr>
        <w:spacing w:after="60"/>
        <w:rPr>
          <w:i/>
          <w:sz w:val="22"/>
          <w:szCs w:val="22"/>
        </w:rPr>
      </w:pPr>
      <w:r>
        <w:rPr>
          <w:i/>
          <w:sz w:val="22"/>
          <w:szCs w:val="22"/>
        </w:rPr>
        <w:t>“</w:t>
      </w:r>
      <w:r w:rsidRPr="006C3E3A">
        <w:rPr>
          <w:i/>
          <w:sz w:val="22"/>
          <w:szCs w:val="22"/>
        </w:rPr>
        <w:t>The existing 36 GTs located in Broward County are first generation gas turbine units that are used to</w:t>
      </w:r>
      <w:r w:rsidR="006B7B3C">
        <w:rPr>
          <w:i/>
          <w:sz w:val="22"/>
          <w:szCs w:val="22"/>
        </w:rPr>
        <w:t xml:space="preserve"> </w:t>
      </w:r>
      <w:r w:rsidRPr="006C3E3A">
        <w:rPr>
          <w:i/>
          <w:sz w:val="22"/>
          <w:szCs w:val="22"/>
        </w:rPr>
        <w:t>serve peak and emergency demands in a quick start manner.</w:t>
      </w:r>
      <w:r>
        <w:rPr>
          <w:i/>
          <w:sz w:val="22"/>
          <w:szCs w:val="22"/>
        </w:rPr>
        <w:t xml:space="preserve"> </w:t>
      </w:r>
      <w:r w:rsidRPr="006C3E3A">
        <w:rPr>
          <w:i/>
          <w:sz w:val="22"/>
          <w:szCs w:val="22"/>
        </w:rPr>
        <w:t xml:space="preserve"> Each unit consists of two aero-derivative</w:t>
      </w:r>
      <w:r w:rsidR="006B7B3C">
        <w:rPr>
          <w:i/>
          <w:sz w:val="22"/>
          <w:szCs w:val="22"/>
        </w:rPr>
        <w:t xml:space="preserve"> </w:t>
      </w:r>
      <w:r w:rsidRPr="006C3E3A">
        <w:rPr>
          <w:i/>
          <w:sz w:val="22"/>
          <w:szCs w:val="22"/>
        </w:rPr>
        <w:t xml:space="preserve">gas turbines coupled with a single gas flow driven turbine-electric generator. </w:t>
      </w:r>
      <w:r w:rsidR="006B7B3C">
        <w:rPr>
          <w:i/>
          <w:sz w:val="22"/>
          <w:szCs w:val="22"/>
        </w:rPr>
        <w:t xml:space="preserve"> </w:t>
      </w:r>
      <w:r w:rsidRPr="006C3E3A">
        <w:rPr>
          <w:i/>
          <w:sz w:val="22"/>
          <w:szCs w:val="22"/>
        </w:rPr>
        <w:t>These units have low stack</w:t>
      </w:r>
      <w:r w:rsidR="006B7B3C">
        <w:rPr>
          <w:i/>
          <w:sz w:val="22"/>
          <w:szCs w:val="22"/>
        </w:rPr>
        <w:t xml:space="preserve"> </w:t>
      </w:r>
      <w:r w:rsidRPr="006C3E3A">
        <w:rPr>
          <w:i/>
          <w:sz w:val="22"/>
          <w:szCs w:val="22"/>
        </w:rPr>
        <w:t>heights (less than 50 feet) and relatively high nitrogen oxides (NO</w:t>
      </w:r>
      <w:r w:rsidRPr="006B7B3C">
        <w:rPr>
          <w:i/>
          <w:sz w:val="22"/>
          <w:szCs w:val="22"/>
          <w:vertAlign w:val="subscript"/>
        </w:rPr>
        <w:t>X</w:t>
      </w:r>
      <w:r w:rsidRPr="006C3E3A">
        <w:rPr>
          <w:i/>
          <w:sz w:val="22"/>
          <w:szCs w:val="22"/>
        </w:rPr>
        <w:t>) emissions rates typical of these older</w:t>
      </w:r>
      <w:r w:rsidR="006B7B3C">
        <w:rPr>
          <w:i/>
          <w:sz w:val="22"/>
          <w:szCs w:val="22"/>
        </w:rPr>
        <w:t xml:space="preserve"> </w:t>
      </w:r>
      <w:r w:rsidRPr="006C3E3A">
        <w:rPr>
          <w:i/>
          <w:sz w:val="22"/>
          <w:szCs w:val="22"/>
        </w:rPr>
        <w:t xml:space="preserve">generation units. </w:t>
      </w:r>
      <w:r w:rsidR="006B7B3C">
        <w:rPr>
          <w:i/>
          <w:sz w:val="22"/>
          <w:szCs w:val="22"/>
        </w:rPr>
        <w:t xml:space="preserve"> </w:t>
      </w:r>
      <w:r w:rsidRPr="006C3E3A">
        <w:rPr>
          <w:i/>
          <w:sz w:val="22"/>
          <w:szCs w:val="22"/>
        </w:rPr>
        <w:t>NO</w:t>
      </w:r>
      <w:r w:rsidRPr="006B7B3C">
        <w:rPr>
          <w:i/>
          <w:sz w:val="22"/>
          <w:szCs w:val="22"/>
          <w:vertAlign w:val="subscript"/>
        </w:rPr>
        <w:t>X</w:t>
      </w:r>
      <w:r w:rsidRPr="006C3E3A">
        <w:rPr>
          <w:i/>
          <w:sz w:val="22"/>
          <w:szCs w:val="22"/>
        </w:rPr>
        <w:t xml:space="preserve"> emissions principally consist of nitrogen oxide (NO) and nitrogen dioxide (NO</w:t>
      </w:r>
      <w:r w:rsidRPr="006B7B3C">
        <w:rPr>
          <w:i/>
          <w:sz w:val="22"/>
          <w:szCs w:val="22"/>
          <w:vertAlign w:val="subscript"/>
        </w:rPr>
        <w:t>2</w:t>
      </w:r>
      <w:r w:rsidRPr="006C3E3A">
        <w:rPr>
          <w:i/>
          <w:sz w:val="22"/>
          <w:szCs w:val="22"/>
        </w:rPr>
        <w:t>).</w:t>
      </w:r>
      <w:r w:rsidR="006B7B3C">
        <w:rPr>
          <w:i/>
          <w:sz w:val="22"/>
          <w:szCs w:val="22"/>
        </w:rPr>
        <w:t xml:space="preserve">  </w:t>
      </w:r>
      <w:r w:rsidRPr="006C3E3A">
        <w:rPr>
          <w:i/>
          <w:sz w:val="22"/>
          <w:szCs w:val="22"/>
        </w:rPr>
        <w:t>The low stack heights in proximity to nearby property boundaries result in decreased dispersion</w:t>
      </w:r>
      <w:r w:rsidR="006B7B3C">
        <w:rPr>
          <w:i/>
          <w:sz w:val="22"/>
          <w:szCs w:val="22"/>
        </w:rPr>
        <w:t xml:space="preserve"> </w:t>
      </w:r>
      <w:r w:rsidRPr="006C3E3A">
        <w:rPr>
          <w:i/>
          <w:sz w:val="22"/>
          <w:szCs w:val="22"/>
        </w:rPr>
        <w:t>properties and when combined with the relatively high NO</w:t>
      </w:r>
      <w:r w:rsidRPr="006B7B3C">
        <w:rPr>
          <w:i/>
          <w:sz w:val="22"/>
          <w:szCs w:val="22"/>
          <w:vertAlign w:val="subscript"/>
        </w:rPr>
        <w:t>X</w:t>
      </w:r>
      <w:r w:rsidRPr="006C3E3A">
        <w:rPr>
          <w:i/>
          <w:sz w:val="22"/>
          <w:szCs w:val="22"/>
        </w:rPr>
        <w:t xml:space="preserve"> emission rates result in elevated</w:t>
      </w:r>
      <w:r w:rsidR="006B7B3C">
        <w:rPr>
          <w:i/>
          <w:sz w:val="22"/>
          <w:szCs w:val="22"/>
        </w:rPr>
        <w:t xml:space="preserve"> </w:t>
      </w:r>
      <w:r w:rsidRPr="006C3E3A">
        <w:rPr>
          <w:i/>
          <w:sz w:val="22"/>
          <w:szCs w:val="22"/>
        </w:rPr>
        <w:t>concentrations of NO</w:t>
      </w:r>
      <w:r w:rsidRPr="006B7B3C">
        <w:rPr>
          <w:i/>
          <w:sz w:val="22"/>
          <w:szCs w:val="22"/>
          <w:vertAlign w:val="subscript"/>
        </w:rPr>
        <w:t>2</w:t>
      </w:r>
      <w:r w:rsidRPr="006C3E3A">
        <w:rPr>
          <w:i/>
          <w:sz w:val="22"/>
          <w:szCs w:val="22"/>
        </w:rPr>
        <w:t xml:space="preserve">. </w:t>
      </w:r>
      <w:r w:rsidR="006B7B3C">
        <w:rPr>
          <w:i/>
          <w:sz w:val="22"/>
          <w:szCs w:val="22"/>
        </w:rPr>
        <w:t xml:space="preserve"> </w:t>
      </w:r>
      <w:r w:rsidRPr="006C3E3A">
        <w:rPr>
          <w:i/>
          <w:sz w:val="22"/>
          <w:szCs w:val="22"/>
        </w:rPr>
        <w:t>A new 1-hour national ambient air quality standard (NAAQS) has been recently</w:t>
      </w:r>
      <w:r w:rsidR="006B7B3C">
        <w:rPr>
          <w:i/>
          <w:sz w:val="22"/>
          <w:szCs w:val="22"/>
        </w:rPr>
        <w:t xml:space="preserve"> </w:t>
      </w:r>
      <w:r w:rsidRPr="006C3E3A">
        <w:rPr>
          <w:i/>
          <w:sz w:val="22"/>
          <w:szCs w:val="22"/>
        </w:rPr>
        <w:t>promulgated by EPA and adopted by FDEP that is much more stringent than the previous annual average</w:t>
      </w:r>
      <w:r w:rsidR="006B7B3C">
        <w:rPr>
          <w:i/>
          <w:sz w:val="22"/>
          <w:szCs w:val="22"/>
        </w:rPr>
        <w:t xml:space="preserve"> </w:t>
      </w:r>
      <w:r w:rsidRPr="006C3E3A">
        <w:rPr>
          <w:i/>
          <w:sz w:val="22"/>
          <w:szCs w:val="22"/>
        </w:rPr>
        <w:t>NAAQS for NO</w:t>
      </w:r>
      <w:r w:rsidRPr="006B7B3C">
        <w:rPr>
          <w:i/>
          <w:sz w:val="22"/>
          <w:szCs w:val="22"/>
          <w:vertAlign w:val="subscript"/>
        </w:rPr>
        <w:t>2</w:t>
      </w:r>
      <w:r w:rsidRPr="006C3E3A">
        <w:rPr>
          <w:i/>
          <w:sz w:val="22"/>
          <w:szCs w:val="22"/>
        </w:rPr>
        <w:t xml:space="preserve">. </w:t>
      </w:r>
      <w:r w:rsidR="006B7B3C">
        <w:rPr>
          <w:i/>
          <w:sz w:val="22"/>
          <w:szCs w:val="22"/>
        </w:rPr>
        <w:t xml:space="preserve"> </w:t>
      </w:r>
      <w:r w:rsidRPr="006C3E3A">
        <w:rPr>
          <w:i/>
          <w:sz w:val="22"/>
          <w:szCs w:val="22"/>
        </w:rPr>
        <w:t>Analyses of these 36 GT units found that the emissions from these units would not</w:t>
      </w:r>
      <w:r w:rsidR="006B7B3C">
        <w:rPr>
          <w:i/>
          <w:sz w:val="22"/>
          <w:szCs w:val="22"/>
        </w:rPr>
        <w:t xml:space="preserve"> </w:t>
      </w:r>
      <w:r w:rsidRPr="006C3E3A">
        <w:rPr>
          <w:i/>
          <w:sz w:val="22"/>
          <w:szCs w:val="22"/>
        </w:rPr>
        <w:t>disperse sufficiently to bring off-site concentrations below the 1-hour NO</w:t>
      </w:r>
      <w:r w:rsidRPr="006B7B3C">
        <w:rPr>
          <w:i/>
          <w:sz w:val="22"/>
          <w:szCs w:val="22"/>
          <w:vertAlign w:val="subscript"/>
        </w:rPr>
        <w:t>2</w:t>
      </w:r>
      <w:r w:rsidRPr="006C3E3A">
        <w:rPr>
          <w:i/>
          <w:sz w:val="22"/>
          <w:szCs w:val="22"/>
        </w:rPr>
        <w:t xml:space="preserve"> NAAQS. </w:t>
      </w:r>
      <w:r w:rsidR="006B7B3C">
        <w:rPr>
          <w:i/>
          <w:sz w:val="22"/>
          <w:szCs w:val="22"/>
        </w:rPr>
        <w:t xml:space="preserve"> </w:t>
      </w:r>
      <w:r w:rsidRPr="006C3E3A">
        <w:rPr>
          <w:i/>
          <w:sz w:val="22"/>
          <w:szCs w:val="22"/>
        </w:rPr>
        <w:t>FPL’s evaluation</w:t>
      </w:r>
      <w:r w:rsidR="006B7B3C">
        <w:rPr>
          <w:i/>
          <w:sz w:val="22"/>
          <w:szCs w:val="22"/>
        </w:rPr>
        <w:t xml:space="preserve"> </w:t>
      </w:r>
      <w:r w:rsidRPr="006C3E3A">
        <w:rPr>
          <w:i/>
          <w:sz w:val="22"/>
          <w:szCs w:val="22"/>
        </w:rPr>
        <w:t>concluded that the most cost effective solution is to replace the existing GTs with new, highly efficient</w:t>
      </w:r>
      <w:r w:rsidR="006B7B3C">
        <w:rPr>
          <w:i/>
          <w:sz w:val="22"/>
          <w:szCs w:val="22"/>
        </w:rPr>
        <w:t xml:space="preserve"> </w:t>
      </w:r>
      <w:r w:rsidRPr="006C3E3A">
        <w:rPr>
          <w:i/>
          <w:sz w:val="22"/>
          <w:szCs w:val="22"/>
        </w:rPr>
        <w:t>combustion turbines with lower NO</w:t>
      </w:r>
      <w:r w:rsidRPr="006B7B3C">
        <w:rPr>
          <w:i/>
          <w:sz w:val="22"/>
          <w:szCs w:val="22"/>
          <w:vertAlign w:val="subscript"/>
        </w:rPr>
        <w:t>X</w:t>
      </w:r>
      <w:r w:rsidR="006B7B3C">
        <w:rPr>
          <w:i/>
          <w:sz w:val="22"/>
          <w:szCs w:val="22"/>
        </w:rPr>
        <w:t xml:space="preserve"> emission rates.…..</w:t>
      </w:r>
      <w:r w:rsidRPr="006C3E3A">
        <w:rPr>
          <w:i/>
          <w:sz w:val="22"/>
          <w:szCs w:val="22"/>
        </w:rPr>
        <w:t>FPL plans to bring</w:t>
      </w:r>
      <w:r w:rsidR="006B7B3C">
        <w:rPr>
          <w:i/>
          <w:sz w:val="22"/>
          <w:szCs w:val="22"/>
        </w:rPr>
        <w:t xml:space="preserve"> </w:t>
      </w:r>
      <w:r w:rsidRPr="006C3E3A">
        <w:rPr>
          <w:i/>
          <w:sz w:val="22"/>
          <w:szCs w:val="22"/>
        </w:rPr>
        <w:t>five new CTs into service by December 31, 2016, that would assure 1-hour NO</w:t>
      </w:r>
      <w:r w:rsidRPr="000F27D8">
        <w:rPr>
          <w:i/>
          <w:sz w:val="22"/>
          <w:szCs w:val="22"/>
          <w:vertAlign w:val="subscript"/>
        </w:rPr>
        <w:t>2</w:t>
      </w:r>
      <w:r w:rsidRPr="006C3E3A">
        <w:rPr>
          <w:i/>
          <w:sz w:val="22"/>
          <w:szCs w:val="22"/>
        </w:rPr>
        <w:t xml:space="preserve"> concentrations do not</w:t>
      </w:r>
      <w:r w:rsidR="006B7B3C">
        <w:rPr>
          <w:i/>
          <w:sz w:val="22"/>
          <w:szCs w:val="22"/>
        </w:rPr>
        <w:t xml:space="preserve"> </w:t>
      </w:r>
      <w:r w:rsidRPr="006C3E3A">
        <w:rPr>
          <w:i/>
          <w:sz w:val="22"/>
          <w:szCs w:val="22"/>
        </w:rPr>
        <w:t xml:space="preserve">exceed the NAAQS at the property boundaries </w:t>
      </w:r>
      <w:r w:rsidR="007944FF">
        <w:rPr>
          <w:i/>
          <w:sz w:val="22"/>
          <w:szCs w:val="22"/>
        </w:rPr>
        <w:t>…..</w:t>
      </w:r>
      <w:r w:rsidRPr="006C3E3A">
        <w:rPr>
          <w:i/>
          <w:sz w:val="22"/>
          <w:szCs w:val="22"/>
        </w:rPr>
        <w:t>.</w:t>
      </w:r>
      <w:r w:rsidR="0049034C">
        <w:rPr>
          <w:i/>
          <w:sz w:val="22"/>
          <w:szCs w:val="22"/>
        </w:rPr>
        <w:t>”</w:t>
      </w:r>
    </w:p>
    <w:p w:rsidR="0015095D" w:rsidRPr="00C166D4" w:rsidRDefault="0015095D" w:rsidP="0015095D">
      <w:pPr>
        <w:spacing w:after="60"/>
        <w:rPr>
          <w:sz w:val="22"/>
          <w:szCs w:val="22"/>
        </w:rPr>
      </w:pPr>
      <w:r>
        <w:rPr>
          <w:sz w:val="22"/>
          <w:szCs w:val="22"/>
        </w:rPr>
        <w:t>In addition, FPL states:</w:t>
      </w:r>
    </w:p>
    <w:p w:rsidR="0015095D" w:rsidRPr="000F27D8" w:rsidRDefault="000F27D8" w:rsidP="000F27D8">
      <w:pPr>
        <w:spacing w:after="60"/>
        <w:rPr>
          <w:i/>
          <w:sz w:val="22"/>
          <w:szCs w:val="22"/>
        </w:rPr>
      </w:pPr>
      <w:r>
        <w:rPr>
          <w:i/>
          <w:sz w:val="22"/>
          <w:szCs w:val="22"/>
        </w:rPr>
        <w:t>“</w:t>
      </w:r>
      <w:r w:rsidRPr="000F27D8">
        <w:rPr>
          <w:i/>
          <w:sz w:val="22"/>
          <w:szCs w:val="22"/>
        </w:rPr>
        <w:t xml:space="preserve">There will be significant benefits associated with the Project. </w:t>
      </w:r>
      <w:r>
        <w:rPr>
          <w:i/>
          <w:sz w:val="22"/>
          <w:szCs w:val="22"/>
        </w:rPr>
        <w:t xml:space="preserve"> </w:t>
      </w:r>
      <w:r w:rsidRPr="000F27D8">
        <w:rPr>
          <w:i/>
          <w:sz w:val="22"/>
          <w:szCs w:val="22"/>
        </w:rPr>
        <w:t>The five new CTs will be more energy</w:t>
      </w:r>
      <w:r>
        <w:rPr>
          <w:i/>
          <w:sz w:val="22"/>
          <w:szCs w:val="22"/>
        </w:rPr>
        <w:t xml:space="preserve"> </w:t>
      </w:r>
      <w:r w:rsidRPr="000F27D8">
        <w:rPr>
          <w:i/>
          <w:sz w:val="22"/>
          <w:szCs w:val="22"/>
        </w:rPr>
        <w:t xml:space="preserve">efficient than the existing 36 GTs and will provide cleaner energy to FPL’s customers. </w:t>
      </w:r>
      <w:r>
        <w:rPr>
          <w:i/>
          <w:sz w:val="22"/>
          <w:szCs w:val="22"/>
        </w:rPr>
        <w:t xml:space="preserve"> </w:t>
      </w:r>
      <w:r w:rsidRPr="000F27D8">
        <w:rPr>
          <w:i/>
          <w:sz w:val="22"/>
          <w:szCs w:val="22"/>
        </w:rPr>
        <w:t>For the same</w:t>
      </w:r>
      <w:r>
        <w:rPr>
          <w:i/>
          <w:sz w:val="22"/>
          <w:szCs w:val="22"/>
        </w:rPr>
        <w:t xml:space="preserve"> </w:t>
      </w:r>
      <w:r w:rsidRPr="000F27D8">
        <w:rPr>
          <w:i/>
          <w:sz w:val="22"/>
          <w:szCs w:val="22"/>
        </w:rPr>
        <w:t>amount of generation hourly, from 30 to 40 percent less fuel will be used in the new CT units compared to</w:t>
      </w:r>
      <w:r>
        <w:rPr>
          <w:i/>
          <w:sz w:val="22"/>
          <w:szCs w:val="22"/>
        </w:rPr>
        <w:t xml:space="preserve"> </w:t>
      </w:r>
      <w:r w:rsidRPr="000F27D8">
        <w:rPr>
          <w:i/>
          <w:sz w:val="22"/>
          <w:szCs w:val="22"/>
        </w:rPr>
        <w:t xml:space="preserve">the older GT units. </w:t>
      </w:r>
      <w:r>
        <w:rPr>
          <w:i/>
          <w:sz w:val="22"/>
          <w:szCs w:val="22"/>
        </w:rPr>
        <w:t xml:space="preserve"> </w:t>
      </w:r>
      <w:r w:rsidRPr="000F27D8">
        <w:rPr>
          <w:i/>
          <w:sz w:val="22"/>
          <w:szCs w:val="22"/>
        </w:rPr>
        <w:t>The maximum total air quality impacts for the Project are predicted to be well below</w:t>
      </w:r>
      <w:r>
        <w:rPr>
          <w:i/>
          <w:sz w:val="22"/>
          <w:szCs w:val="22"/>
        </w:rPr>
        <w:t xml:space="preserve"> </w:t>
      </w:r>
      <w:r w:rsidRPr="000F27D8">
        <w:rPr>
          <w:i/>
          <w:sz w:val="22"/>
          <w:szCs w:val="22"/>
        </w:rPr>
        <w:t xml:space="preserve">and in compliance with the NAAQS. </w:t>
      </w:r>
      <w:r>
        <w:rPr>
          <w:i/>
          <w:sz w:val="22"/>
          <w:szCs w:val="22"/>
        </w:rPr>
        <w:t xml:space="preserve"> </w:t>
      </w:r>
      <w:r w:rsidRPr="000F27D8">
        <w:rPr>
          <w:i/>
          <w:sz w:val="22"/>
          <w:szCs w:val="22"/>
        </w:rPr>
        <w:t>For pollutants such as NO</w:t>
      </w:r>
      <w:r w:rsidRPr="000F27D8">
        <w:rPr>
          <w:i/>
          <w:sz w:val="22"/>
          <w:szCs w:val="22"/>
          <w:vertAlign w:val="subscript"/>
        </w:rPr>
        <w:t>2</w:t>
      </w:r>
      <w:r w:rsidRPr="000F27D8">
        <w:rPr>
          <w:i/>
          <w:sz w:val="22"/>
          <w:szCs w:val="22"/>
        </w:rPr>
        <w:t>, the Project’s total air quality impacts are</w:t>
      </w:r>
      <w:r>
        <w:rPr>
          <w:i/>
          <w:sz w:val="22"/>
          <w:szCs w:val="22"/>
        </w:rPr>
        <w:t xml:space="preserve"> </w:t>
      </w:r>
      <w:r w:rsidRPr="000F27D8">
        <w:rPr>
          <w:i/>
          <w:sz w:val="22"/>
          <w:szCs w:val="22"/>
        </w:rPr>
        <w:t>predicted to be significantly 40 percent or more lower than those predicted for the existing GTs.</w:t>
      </w:r>
      <w:r>
        <w:rPr>
          <w:i/>
          <w:sz w:val="22"/>
          <w:szCs w:val="22"/>
        </w:rPr>
        <w:t xml:space="preserve">  </w:t>
      </w:r>
      <w:r w:rsidRPr="000F27D8">
        <w:rPr>
          <w:i/>
          <w:sz w:val="22"/>
          <w:szCs w:val="22"/>
        </w:rPr>
        <w:t>In addition, air emission rates for NO</w:t>
      </w:r>
      <w:r w:rsidRPr="000F27D8">
        <w:rPr>
          <w:i/>
          <w:sz w:val="22"/>
          <w:szCs w:val="22"/>
          <w:vertAlign w:val="subscript"/>
        </w:rPr>
        <w:t>X</w:t>
      </w:r>
      <w:r w:rsidRPr="000F27D8">
        <w:rPr>
          <w:i/>
          <w:sz w:val="22"/>
          <w:szCs w:val="22"/>
        </w:rPr>
        <w:t xml:space="preserve"> with the Project will be approximately 90 percent lower than the</w:t>
      </w:r>
      <w:r>
        <w:rPr>
          <w:i/>
          <w:sz w:val="22"/>
          <w:szCs w:val="22"/>
        </w:rPr>
        <w:t xml:space="preserve"> </w:t>
      </w:r>
      <w:r w:rsidRPr="000F27D8">
        <w:rPr>
          <w:i/>
          <w:sz w:val="22"/>
          <w:szCs w:val="22"/>
        </w:rPr>
        <w:t>existing GT emission rates, resulting in significantly lower air quality impacts.</w:t>
      </w:r>
    </w:p>
    <w:p w:rsidR="0015095D" w:rsidRPr="000F27D8" w:rsidRDefault="000F27D8" w:rsidP="00C070A4">
      <w:pPr>
        <w:widowControl w:val="0"/>
        <w:numPr>
          <w:ilvl w:val="2"/>
          <w:numId w:val="2"/>
        </w:numPr>
        <w:spacing w:after="120"/>
        <w:ind w:left="720" w:hanging="720"/>
        <w:rPr>
          <w:bCs/>
          <w:sz w:val="22"/>
          <w:szCs w:val="22"/>
        </w:rPr>
      </w:pPr>
      <w:r>
        <w:rPr>
          <w:bCs/>
          <w:sz w:val="22"/>
          <w:szCs w:val="22"/>
          <w:u w:val="single"/>
        </w:rPr>
        <w:t xml:space="preserve">Department Assessment </w:t>
      </w:r>
    </w:p>
    <w:p w:rsidR="007231C3" w:rsidRDefault="007231C3" w:rsidP="00E13B86">
      <w:pPr>
        <w:spacing w:after="120"/>
        <w:rPr>
          <w:sz w:val="22"/>
          <w:szCs w:val="22"/>
        </w:rPr>
      </w:pPr>
      <w:r w:rsidRPr="007231C3">
        <w:rPr>
          <w:sz w:val="22"/>
          <w:szCs w:val="22"/>
        </w:rPr>
        <w:t xml:space="preserve">The air dispersion modeling aspects of this project are discussed in </w:t>
      </w:r>
      <w:r w:rsidRPr="007231C3">
        <w:rPr>
          <w:b/>
          <w:sz w:val="22"/>
          <w:szCs w:val="22"/>
        </w:rPr>
        <w:t>Section 4</w:t>
      </w:r>
      <w:r w:rsidRPr="007231C3">
        <w:rPr>
          <w:sz w:val="22"/>
          <w:szCs w:val="22"/>
        </w:rPr>
        <w:t xml:space="preserve"> of this document.  However, the air dispersion modeling discussion only address</w:t>
      </w:r>
      <w:r>
        <w:rPr>
          <w:sz w:val="22"/>
          <w:szCs w:val="22"/>
        </w:rPr>
        <w:t>es</w:t>
      </w:r>
      <w:r w:rsidRPr="007231C3">
        <w:rPr>
          <w:sz w:val="22"/>
          <w:szCs w:val="22"/>
        </w:rPr>
        <w:t xml:space="preserve"> the effects of the current proposed project and does not assess the effects of the existing GT</w:t>
      </w:r>
      <w:r>
        <w:rPr>
          <w:sz w:val="22"/>
          <w:szCs w:val="22"/>
        </w:rPr>
        <w:t>s</w:t>
      </w:r>
      <w:r w:rsidRPr="007231C3">
        <w:rPr>
          <w:sz w:val="22"/>
          <w:szCs w:val="22"/>
        </w:rPr>
        <w:t xml:space="preserve"> with respect to the 1-hour NO</w:t>
      </w:r>
      <w:r w:rsidRPr="007231C3">
        <w:rPr>
          <w:sz w:val="22"/>
          <w:szCs w:val="22"/>
          <w:vertAlign w:val="subscript"/>
        </w:rPr>
        <w:t>2</w:t>
      </w:r>
      <w:r w:rsidRPr="007231C3">
        <w:rPr>
          <w:sz w:val="22"/>
          <w:szCs w:val="22"/>
        </w:rPr>
        <w:t xml:space="preserve"> NAAQS.</w:t>
      </w:r>
    </w:p>
    <w:p w:rsidR="003C7AD8" w:rsidRDefault="003C7AD8" w:rsidP="00E13B86">
      <w:pPr>
        <w:spacing w:after="120"/>
        <w:rPr>
          <w:sz w:val="22"/>
          <w:szCs w:val="22"/>
        </w:rPr>
      </w:pPr>
      <w:r>
        <w:rPr>
          <w:sz w:val="22"/>
          <w:szCs w:val="22"/>
        </w:rPr>
        <w:t>Based on their own analysis, FPL claims that by operating as permitted, the existing CTs could cause NO</w:t>
      </w:r>
      <w:r w:rsidRPr="003C7AD8">
        <w:rPr>
          <w:sz w:val="22"/>
          <w:szCs w:val="22"/>
          <w:vertAlign w:val="subscript"/>
        </w:rPr>
        <w:t>2</w:t>
      </w:r>
      <w:r>
        <w:rPr>
          <w:sz w:val="22"/>
          <w:szCs w:val="22"/>
        </w:rPr>
        <w:t xml:space="preserve"> ambient concentrations near the plant to exceed the design value for the 1-hour</w:t>
      </w:r>
      <w:r w:rsidR="00FD2785">
        <w:rPr>
          <w:sz w:val="22"/>
          <w:szCs w:val="22"/>
        </w:rPr>
        <w:t xml:space="preserve"> hour ambient air quality standard.  Two active ambient NO</w:t>
      </w:r>
      <w:r w:rsidR="00FD2785" w:rsidRPr="00E13B86">
        <w:rPr>
          <w:sz w:val="22"/>
          <w:szCs w:val="22"/>
          <w:vertAlign w:val="subscript"/>
        </w:rPr>
        <w:t>2</w:t>
      </w:r>
      <w:r w:rsidR="00FD2785">
        <w:rPr>
          <w:sz w:val="22"/>
          <w:szCs w:val="22"/>
        </w:rPr>
        <w:t xml:space="preserve"> monitors in Broward County are located 8 and 26 km </w:t>
      </w:r>
      <w:r w:rsidR="0062506A">
        <w:rPr>
          <w:sz w:val="22"/>
          <w:szCs w:val="22"/>
        </w:rPr>
        <w:t xml:space="preserve">from the plant.  Historical data from these monitors indicate no previous violations of the </w:t>
      </w:r>
      <w:r w:rsidR="007231C3">
        <w:rPr>
          <w:sz w:val="22"/>
          <w:szCs w:val="22"/>
        </w:rPr>
        <w:t>1-hour hour ambient air quality standard</w:t>
      </w:r>
      <w:r w:rsidR="0062506A">
        <w:rPr>
          <w:sz w:val="22"/>
          <w:szCs w:val="22"/>
        </w:rPr>
        <w:t xml:space="preserve">.  However, additional ambient monitors will be sited in Broward County in the future.  </w:t>
      </w:r>
    </w:p>
    <w:p w:rsidR="0062506A" w:rsidRDefault="0062506A" w:rsidP="00E13B86">
      <w:pPr>
        <w:spacing w:after="120"/>
        <w:rPr>
          <w:sz w:val="22"/>
          <w:szCs w:val="22"/>
        </w:rPr>
      </w:pPr>
      <w:r>
        <w:rPr>
          <w:sz w:val="22"/>
          <w:szCs w:val="22"/>
        </w:rPr>
        <w:t xml:space="preserve">FPL claims that the predicted violations will be much more localized.  Therefore, the Department will require FPL to install, operate and maintain </w:t>
      </w:r>
      <w:r w:rsidR="0054369D">
        <w:rPr>
          <w:sz w:val="22"/>
          <w:szCs w:val="22"/>
        </w:rPr>
        <w:t xml:space="preserve">two </w:t>
      </w:r>
      <w:r>
        <w:rPr>
          <w:sz w:val="22"/>
          <w:szCs w:val="22"/>
        </w:rPr>
        <w:t>ambient NO</w:t>
      </w:r>
      <w:r w:rsidRPr="00E13B86">
        <w:rPr>
          <w:sz w:val="22"/>
          <w:szCs w:val="22"/>
          <w:vertAlign w:val="subscript"/>
        </w:rPr>
        <w:t>2</w:t>
      </w:r>
      <w:r>
        <w:rPr>
          <w:sz w:val="22"/>
          <w:szCs w:val="22"/>
        </w:rPr>
        <w:t xml:space="preserve"> monitoring and meteorological station</w:t>
      </w:r>
      <w:r w:rsidR="0054369D">
        <w:rPr>
          <w:sz w:val="22"/>
          <w:szCs w:val="22"/>
        </w:rPr>
        <w:t>s</w:t>
      </w:r>
      <w:r>
        <w:rPr>
          <w:sz w:val="22"/>
          <w:szCs w:val="22"/>
        </w:rPr>
        <w:t xml:space="preserve"> at a location</w:t>
      </w:r>
      <w:r w:rsidR="0054369D">
        <w:rPr>
          <w:sz w:val="22"/>
          <w:szCs w:val="22"/>
        </w:rPr>
        <w:t>s</w:t>
      </w:r>
      <w:r>
        <w:rPr>
          <w:sz w:val="22"/>
          <w:szCs w:val="22"/>
        </w:rPr>
        <w:t xml:space="preserve"> predicted to experience violations.  The monitor</w:t>
      </w:r>
      <w:r w:rsidR="0054369D">
        <w:rPr>
          <w:sz w:val="22"/>
          <w:szCs w:val="22"/>
        </w:rPr>
        <w:t>s</w:t>
      </w:r>
      <w:r>
        <w:rPr>
          <w:sz w:val="22"/>
          <w:szCs w:val="22"/>
        </w:rPr>
        <w:t xml:space="preserve"> and station</w:t>
      </w:r>
      <w:r w:rsidR="0054369D">
        <w:rPr>
          <w:sz w:val="22"/>
          <w:szCs w:val="22"/>
        </w:rPr>
        <w:t>s</w:t>
      </w:r>
      <w:r>
        <w:rPr>
          <w:sz w:val="22"/>
          <w:szCs w:val="22"/>
        </w:rPr>
        <w:t xml:space="preserve"> will collect and electronically preserve representative data </w:t>
      </w:r>
      <w:r w:rsidR="00CF39A1" w:rsidRPr="003B0905">
        <w:rPr>
          <w:rFonts w:eastAsia="Calibri"/>
          <w:sz w:val="22"/>
          <w:szCs w:val="22"/>
        </w:rPr>
        <w:t xml:space="preserve">for </w:t>
      </w:r>
      <w:r w:rsidR="00CF39A1">
        <w:rPr>
          <w:rFonts w:eastAsia="Calibri"/>
          <w:sz w:val="22"/>
          <w:szCs w:val="22"/>
        </w:rPr>
        <w:t xml:space="preserve">up to </w:t>
      </w:r>
      <w:r w:rsidR="0054369D">
        <w:rPr>
          <w:rFonts w:eastAsia="Calibri"/>
          <w:sz w:val="22"/>
          <w:szCs w:val="22"/>
        </w:rPr>
        <w:t>18</w:t>
      </w:r>
      <w:r w:rsidR="00CF39A1">
        <w:rPr>
          <w:rFonts w:eastAsia="Calibri"/>
          <w:sz w:val="22"/>
          <w:szCs w:val="22"/>
        </w:rPr>
        <w:t xml:space="preserve"> month</w:t>
      </w:r>
      <w:r w:rsidR="00E13B86">
        <w:rPr>
          <w:rFonts w:eastAsia="Calibri"/>
          <w:sz w:val="22"/>
          <w:szCs w:val="22"/>
        </w:rPr>
        <w:t xml:space="preserve">s. </w:t>
      </w:r>
      <w:r w:rsidR="0054369D" w:rsidRPr="0054369D">
        <w:rPr>
          <w:rFonts w:eastAsia="Calibri"/>
          <w:sz w:val="22"/>
          <w:szCs w:val="22"/>
        </w:rPr>
        <w:t>If four (4) exceedances of the 1-hour NO</w:t>
      </w:r>
      <w:r w:rsidR="0054369D" w:rsidRPr="0054369D">
        <w:rPr>
          <w:rFonts w:eastAsia="Calibri"/>
          <w:sz w:val="22"/>
          <w:szCs w:val="22"/>
          <w:vertAlign w:val="subscript"/>
        </w:rPr>
        <w:t xml:space="preserve">2 </w:t>
      </w:r>
      <w:r w:rsidR="0054369D" w:rsidRPr="0054369D">
        <w:rPr>
          <w:rFonts w:eastAsia="Calibri"/>
          <w:sz w:val="22"/>
          <w:szCs w:val="22"/>
        </w:rPr>
        <w:t xml:space="preserve">standard are recorded during a six month interval during the 18-month monitoring period, the owner or operator shall discontinue monitoring and shall be required to implement the project contemplated by </w:t>
      </w:r>
      <w:r w:rsidR="0054369D">
        <w:rPr>
          <w:rFonts w:eastAsia="Calibri"/>
          <w:sz w:val="22"/>
          <w:szCs w:val="22"/>
        </w:rPr>
        <w:t>the</w:t>
      </w:r>
      <w:r w:rsidR="0054369D" w:rsidRPr="0054369D">
        <w:rPr>
          <w:rFonts w:eastAsia="Calibri"/>
          <w:sz w:val="22"/>
          <w:szCs w:val="22"/>
        </w:rPr>
        <w:t xml:space="preserve"> air construction permit </w:t>
      </w:r>
      <w:r w:rsidR="0054369D">
        <w:rPr>
          <w:rFonts w:eastAsia="Calibri"/>
          <w:sz w:val="22"/>
          <w:szCs w:val="22"/>
        </w:rPr>
        <w:t xml:space="preserve">included in the package </w:t>
      </w:r>
      <w:r w:rsidR="0054369D" w:rsidRPr="0054369D">
        <w:rPr>
          <w:rFonts w:eastAsia="Calibri"/>
          <w:sz w:val="22"/>
          <w:szCs w:val="22"/>
        </w:rPr>
        <w:t>or propose an alternative project to DEP which will reduce NO</w:t>
      </w:r>
      <w:r w:rsidR="0054369D" w:rsidRPr="0054369D">
        <w:rPr>
          <w:rFonts w:eastAsia="Calibri"/>
          <w:sz w:val="22"/>
          <w:szCs w:val="22"/>
          <w:vertAlign w:val="subscript"/>
        </w:rPr>
        <w:t>2</w:t>
      </w:r>
      <w:r w:rsidR="0054369D" w:rsidRPr="0054369D">
        <w:rPr>
          <w:rFonts w:eastAsia="Calibri"/>
          <w:sz w:val="22"/>
          <w:szCs w:val="22"/>
        </w:rPr>
        <w:t xml:space="preserve"> emissions sufficient to meet the new 1-hour NO</w:t>
      </w:r>
      <w:r w:rsidR="0054369D" w:rsidRPr="0054369D">
        <w:rPr>
          <w:rFonts w:eastAsia="Calibri"/>
          <w:sz w:val="22"/>
          <w:szCs w:val="22"/>
          <w:vertAlign w:val="subscript"/>
        </w:rPr>
        <w:t>2</w:t>
      </w:r>
      <w:r w:rsidR="0054369D" w:rsidRPr="0054369D">
        <w:rPr>
          <w:rFonts w:eastAsia="Calibri"/>
          <w:sz w:val="22"/>
          <w:szCs w:val="22"/>
        </w:rPr>
        <w:t xml:space="preserve"> standard no later than December 31, 2018.  </w:t>
      </w:r>
    </w:p>
    <w:p w:rsidR="000F27D8" w:rsidRPr="00DF525B" w:rsidRDefault="00DF525B" w:rsidP="00C070A4">
      <w:pPr>
        <w:widowControl w:val="0"/>
        <w:numPr>
          <w:ilvl w:val="2"/>
          <w:numId w:val="2"/>
        </w:numPr>
        <w:spacing w:after="120"/>
        <w:ind w:left="720" w:hanging="720"/>
        <w:rPr>
          <w:bCs/>
          <w:sz w:val="22"/>
          <w:szCs w:val="22"/>
        </w:rPr>
      </w:pPr>
      <w:r>
        <w:rPr>
          <w:bCs/>
          <w:sz w:val="22"/>
          <w:szCs w:val="22"/>
          <w:u w:val="single"/>
        </w:rPr>
        <w:t xml:space="preserve">Project </w:t>
      </w:r>
      <w:r w:rsidR="00E13B86">
        <w:rPr>
          <w:bCs/>
          <w:sz w:val="22"/>
          <w:szCs w:val="22"/>
          <w:u w:val="single"/>
        </w:rPr>
        <w:t>Overview</w:t>
      </w:r>
    </w:p>
    <w:p w:rsidR="00444E21" w:rsidRDefault="001977BC" w:rsidP="00444E21">
      <w:pPr>
        <w:spacing w:after="60"/>
        <w:rPr>
          <w:sz w:val="22"/>
          <w:szCs w:val="22"/>
        </w:rPr>
      </w:pPr>
      <w:r>
        <w:rPr>
          <w:sz w:val="22"/>
          <w:szCs w:val="22"/>
        </w:rPr>
        <w:t>The existing peaking GT</w:t>
      </w:r>
      <w:r w:rsidR="00E13B86">
        <w:rPr>
          <w:sz w:val="22"/>
          <w:szCs w:val="22"/>
        </w:rPr>
        <w:t>s</w:t>
      </w:r>
      <w:r>
        <w:rPr>
          <w:sz w:val="22"/>
          <w:szCs w:val="22"/>
        </w:rPr>
        <w:t xml:space="preserve"> </w:t>
      </w:r>
      <w:r w:rsidR="006B7B3C">
        <w:rPr>
          <w:sz w:val="22"/>
          <w:szCs w:val="22"/>
        </w:rPr>
        <w:t xml:space="preserve">at both the Lauderdale and Port Everglades Plants </w:t>
      </w:r>
      <w:r>
        <w:rPr>
          <w:sz w:val="22"/>
          <w:szCs w:val="22"/>
        </w:rPr>
        <w:t xml:space="preserve">will be </w:t>
      </w:r>
      <w:r w:rsidR="002F3A7C">
        <w:rPr>
          <w:sz w:val="22"/>
          <w:szCs w:val="22"/>
        </w:rPr>
        <w:t>replaced</w:t>
      </w:r>
      <w:r w:rsidRPr="001977BC">
        <w:rPr>
          <w:sz w:val="22"/>
          <w:szCs w:val="22"/>
        </w:rPr>
        <w:t xml:space="preserve"> with </w:t>
      </w:r>
      <w:r w:rsidR="006B7B3C">
        <w:rPr>
          <w:sz w:val="22"/>
          <w:szCs w:val="22"/>
        </w:rPr>
        <w:t>five</w:t>
      </w:r>
      <w:r w:rsidRPr="001977BC">
        <w:rPr>
          <w:sz w:val="22"/>
          <w:szCs w:val="22"/>
        </w:rPr>
        <w:t xml:space="preserve"> nominal 200 MW </w:t>
      </w:r>
      <w:r>
        <w:rPr>
          <w:sz w:val="22"/>
          <w:szCs w:val="22"/>
        </w:rPr>
        <w:t>CT</w:t>
      </w:r>
      <w:r w:rsidR="00E13B86">
        <w:rPr>
          <w:sz w:val="22"/>
          <w:szCs w:val="22"/>
        </w:rPr>
        <w:t>s</w:t>
      </w:r>
      <w:r w:rsidR="006B7B3C">
        <w:rPr>
          <w:sz w:val="22"/>
          <w:szCs w:val="22"/>
        </w:rPr>
        <w:t xml:space="preserve"> at the Lauderdale Plant</w:t>
      </w:r>
      <w:r w:rsidRPr="001977BC">
        <w:rPr>
          <w:sz w:val="22"/>
          <w:szCs w:val="22"/>
        </w:rPr>
        <w:t xml:space="preserve">, </w:t>
      </w:r>
      <w:r>
        <w:rPr>
          <w:sz w:val="22"/>
          <w:szCs w:val="22"/>
        </w:rPr>
        <w:t xml:space="preserve">to provide equivalent </w:t>
      </w:r>
      <w:r w:rsidRPr="001977BC">
        <w:rPr>
          <w:sz w:val="22"/>
          <w:szCs w:val="22"/>
        </w:rPr>
        <w:t>peaking resources to reduce</w:t>
      </w:r>
      <w:r>
        <w:rPr>
          <w:sz w:val="22"/>
          <w:szCs w:val="22"/>
        </w:rPr>
        <w:t xml:space="preserve"> </w:t>
      </w:r>
      <w:r w:rsidRPr="001977BC">
        <w:rPr>
          <w:sz w:val="22"/>
          <w:szCs w:val="22"/>
        </w:rPr>
        <w:t>emissions</w:t>
      </w:r>
      <w:r>
        <w:rPr>
          <w:sz w:val="22"/>
          <w:szCs w:val="22"/>
        </w:rPr>
        <w:t xml:space="preserve"> while providing far superior emission profiles and efficiency</w:t>
      </w:r>
      <w:r w:rsidRPr="001977BC">
        <w:rPr>
          <w:sz w:val="22"/>
          <w:szCs w:val="22"/>
        </w:rPr>
        <w:t xml:space="preserve">. </w:t>
      </w:r>
      <w:r>
        <w:rPr>
          <w:sz w:val="22"/>
          <w:szCs w:val="22"/>
        </w:rPr>
        <w:t xml:space="preserve"> </w:t>
      </w:r>
      <w:r w:rsidRPr="001977BC">
        <w:rPr>
          <w:sz w:val="22"/>
          <w:szCs w:val="22"/>
        </w:rPr>
        <w:t>The new CT</w:t>
      </w:r>
      <w:r w:rsidR="0002303B">
        <w:rPr>
          <w:sz w:val="22"/>
          <w:szCs w:val="22"/>
        </w:rPr>
        <w:t>s</w:t>
      </w:r>
      <w:r w:rsidRPr="001977BC">
        <w:rPr>
          <w:sz w:val="22"/>
          <w:szCs w:val="22"/>
        </w:rPr>
        <w:t xml:space="preserve"> will be designated </w:t>
      </w:r>
      <w:r w:rsidRPr="001977BC">
        <w:rPr>
          <w:sz w:val="22"/>
          <w:szCs w:val="22"/>
        </w:rPr>
        <w:lastRenderedPageBreak/>
        <w:t xml:space="preserve">Units </w:t>
      </w:r>
      <w:r w:rsidR="00F11608">
        <w:rPr>
          <w:sz w:val="22"/>
          <w:szCs w:val="22"/>
        </w:rPr>
        <w:t>6A</w:t>
      </w:r>
      <w:r w:rsidRPr="001977BC">
        <w:rPr>
          <w:sz w:val="22"/>
          <w:szCs w:val="22"/>
        </w:rPr>
        <w:t xml:space="preserve"> through </w:t>
      </w:r>
      <w:r w:rsidR="00F11608">
        <w:rPr>
          <w:sz w:val="22"/>
          <w:szCs w:val="22"/>
        </w:rPr>
        <w:t>6</w:t>
      </w:r>
      <w:r w:rsidRPr="001977BC">
        <w:rPr>
          <w:sz w:val="22"/>
          <w:szCs w:val="22"/>
        </w:rPr>
        <w:t>E</w:t>
      </w:r>
      <w:r>
        <w:rPr>
          <w:sz w:val="22"/>
          <w:szCs w:val="22"/>
        </w:rPr>
        <w:t xml:space="preserve"> at the </w:t>
      </w:r>
      <w:r w:rsidR="00F11608">
        <w:rPr>
          <w:sz w:val="22"/>
          <w:szCs w:val="22"/>
        </w:rPr>
        <w:t>Lauderdale</w:t>
      </w:r>
      <w:r>
        <w:rPr>
          <w:sz w:val="22"/>
          <w:szCs w:val="22"/>
        </w:rPr>
        <w:t xml:space="preserve"> Plant</w:t>
      </w:r>
      <w:r w:rsidRPr="001977BC">
        <w:rPr>
          <w:sz w:val="22"/>
          <w:szCs w:val="22"/>
        </w:rPr>
        <w:t>.</w:t>
      </w:r>
      <w:r>
        <w:rPr>
          <w:sz w:val="22"/>
          <w:szCs w:val="22"/>
        </w:rPr>
        <w:t xml:space="preserve">  </w:t>
      </w:r>
      <w:r w:rsidRPr="001977BC">
        <w:rPr>
          <w:sz w:val="22"/>
          <w:szCs w:val="22"/>
        </w:rPr>
        <w:t xml:space="preserve">Dismantlement of the existing </w:t>
      </w:r>
      <w:r>
        <w:rPr>
          <w:sz w:val="22"/>
          <w:szCs w:val="22"/>
        </w:rPr>
        <w:t>GT</w:t>
      </w:r>
      <w:r w:rsidR="0002303B">
        <w:rPr>
          <w:sz w:val="22"/>
          <w:szCs w:val="22"/>
        </w:rPr>
        <w:t xml:space="preserve">s will occur after the new CTs </w:t>
      </w:r>
      <w:r w:rsidRPr="001977BC">
        <w:rPr>
          <w:sz w:val="22"/>
          <w:szCs w:val="22"/>
        </w:rPr>
        <w:t>are operational in order to</w:t>
      </w:r>
      <w:r>
        <w:rPr>
          <w:sz w:val="22"/>
          <w:szCs w:val="22"/>
        </w:rPr>
        <w:t xml:space="preserve"> </w:t>
      </w:r>
      <w:r w:rsidRPr="001977BC">
        <w:rPr>
          <w:sz w:val="22"/>
          <w:szCs w:val="22"/>
        </w:rPr>
        <w:t xml:space="preserve">maintain peak service capability in south Florida. </w:t>
      </w:r>
      <w:r>
        <w:rPr>
          <w:sz w:val="22"/>
          <w:szCs w:val="22"/>
        </w:rPr>
        <w:t xml:space="preserve"> However, t</w:t>
      </w:r>
      <w:r w:rsidRPr="001977BC">
        <w:rPr>
          <w:sz w:val="22"/>
          <w:szCs w:val="22"/>
        </w:rPr>
        <w:t>here will be no overlap of operation between the</w:t>
      </w:r>
      <w:r>
        <w:rPr>
          <w:sz w:val="22"/>
          <w:szCs w:val="22"/>
        </w:rPr>
        <w:t xml:space="preserve"> </w:t>
      </w:r>
      <w:r w:rsidRPr="001977BC">
        <w:rPr>
          <w:sz w:val="22"/>
          <w:szCs w:val="22"/>
        </w:rPr>
        <w:t xml:space="preserve">existing </w:t>
      </w:r>
      <w:r w:rsidR="0002303B">
        <w:rPr>
          <w:sz w:val="22"/>
          <w:szCs w:val="22"/>
        </w:rPr>
        <w:t xml:space="preserve">GTs </w:t>
      </w:r>
      <w:r w:rsidRPr="001977BC">
        <w:rPr>
          <w:sz w:val="22"/>
          <w:szCs w:val="22"/>
        </w:rPr>
        <w:t>and new CT</w:t>
      </w:r>
      <w:r w:rsidR="0002303B">
        <w:rPr>
          <w:sz w:val="22"/>
          <w:szCs w:val="22"/>
        </w:rPr>
        <w:t>s</w:t>
      </w:r>
      <w:r w:rsidRPr="001977BC">
        <w:rPr>
          <w:sz w:val="22"/>
          <w:szCs w:val="22"/>
        </w:rPr>
        <w:t>.</w:t>
      </w:r>
      <w:r w:rsidR="00444E21">
        <w:rPr>
          <w:sz w:val="22"/>
          <w:szCs w:val="22"/>
        </w:rPr>
        <w:t xml:space="preserve">  </w:t>
      </w:r>
    </w:p>
    <w:p w:rsidR="00444E21" w:rsidRPr="00444E21" w:rsidRDefault="00F3791F" w:rsidP="0028135C">
      <w:pPr>
        <w:spacing w:after="120"/>
        <w:rPr>
          <w:sz w:val="22"/>
          <w:szCs w:val="22"/>
        </w:rPr>
      </w:pPr>
      <w:r w:rsidRPr="00F3791F">
        <w:rPr>
          <w:sz w:val="22"/>
          <w:szCs w:val="22"/>
        </w:rPr>
        <w:t>The CT</w:t>
      </w:r>
      <w:r w:rsidR="0002303B">
        <w:rPr>
          <w:sz w:val="22"/>
          <w:szCs w:val="22"/>
        </w:rPr>
        <w:t>s</w:t>
      </w:r>
      <w:r w:rsidRPr="00F3791F">
        <w:rPr>
          <w:sz w:val="22"/>
          <w:szCs w:val="22"/>
        </w:rPr>
        <w:t xml:space="preserve"> being evaluated for the Project include the General Electric</w:t>
      </w:r>
      <w:r w:rsidR="00444E21">
        <w:rPr>
          <w:sz w:val="22"/>
          <w:szCs w:val="22"/>
        </w:rPr>
        <w:t xml:space="preserve"> (GE)</w:t>
      </w:r>
      <w:r w:rsidRPr="00F3791F">
        <w:rPr>
          <w:sz w:val="22"/>
          <w:szCs w:val="22"/>
        </w:rPr>
        <w:t xml:space="preserve"> 7FA.05 and 7FA.04 CT</w:t>
      </w:r>
      <w:r w:rsidR="00444E21">
        <w:rPr>
          <w:sz w:val="22"/>
          <w:szCs w:val="22"/>
        </w:rPr>
        <w:t xml:space="preserve"> models</w:t>
      </w:r>
      <w:r w:rsidRPr="00F3791F">
        <w:rPr>
          <w:sz w:val="22"/>
          <w:szCs w:val="22"/>
        </w:rPr>
        <w:t xml:space="preserve"> and</w:t>
      </w:r>
      <w:r w:rsidR="00444E21">
        <w:rPr>
          <w:sz w:val="22"/>
          <w:szCs w:val="22"/>
        </w:rPr>
        <w:t xml:space="preserve"> the </w:t>
      </w:r>
      <w:r w:rsidRPr="00F3791F">
        <w:rPr>
          <w:sz w:val="22"/>
          <w:szCs w:val="22"/>
        </w:rPr>
        <w:t>Siemens Power Generation, Inc. (Siemens) SGT6-5000F(5) CT</w:t>
      </w:r>
      <w:r w:rsidR="00444E21">
        <w:rPr>
          <w:sz w:val="22"/>
          <w:szCs w:val="22"/>
        </w:rPr>
        <w:t xml:space="preserve"> model</w:t>
      </w:r>
      <w:r w:rsidR="007025F6">
        <w:rPr>
          <w:sz w:val="22"/>
          <w:szCs w:val="22"/>
        </w:rPr>
        <w:t>, i.e., F5</w:t>
      </w:r>
      <w:r w:rsidRPr="00F3791F">
        <w:rPr>
          <w:sz w:val="22"/>
          <w:szCs w:val="22"/>
        </w:rPr>
        <w:t xml:space="preserve">, or other vendor equivalents. </w:t>
      </w:r>
      <w:r w:rsidR="00444E21">
        <w:rPr>
          <w:sz w:val="22"/>
          <w:szCs w:val="22"/>
        </w:rPr>
        <w:t xml:space="preserve"> </w:t>
      </w:r>
      <w:r w:rsidR="00444E21" w:rsidRPr="00444E21">
        <w:rPr>
          <w:sz w:val="22"/>
          <w:szCs w:val="22"/>
        </w:rPr>
        <w:t xml:space="preserve">Each CT may utilize inlet air cooling </w:t>
      </w:r>
      <w:r w:rsidR="00444E21">
        <w:rPr>
          <w:sz w:val="22"/>
          <w:szCs w:val="22"/>
        </w:rPr>
        <w:t>that</w:t>
      </w:r>
      <w:r w:rsidR="00444E21" w:rsidRPr="00444E21">
        <w:rPr>
          <w:sz w:val="22"/>
          <w:szCs w:val="22"/>
        </w:rPr>
        <w:t xml:space="preserve"> may consist of evaporative cooling or an alternative system.</w:t>
      </w:r>
      <w:r w:rsidR="00444E21">
        <w:rPr>
          <w:sz w:val="22"/>
          <w:szCs w:val="22"/>
        </w:rPr>
        <w:t xml:space="preserve">  </w:t>
      </w:r>
      <w:r w:rsidR="00444E21" w:rsidRPr="00444E21">
        <w:rPr>
          <w:sz w:val="22"/>
          <w:szCs w:val="22"/>
        </w:rPr>
        <w:t>The evaporating water cools the inlet air stream when the water droplets are</w:t>
      </w:r>
      <w:r w:rsidR="00444E21">
        <w:rPr>
          <w:sz w:val="22"/>
          <w:szCs w:val="22"/>
        </w:rPr>
        <w:t xml:space="preserve"> </w:t>
      </w:r>
      <w:r w:rsidR="00444E21" w:rsidRPr="00444E21">
        <w:rPr>
          <w:sz w:val="22"/>
          <w:szCs w:val="22"/>
        </w:rPr>
        <w:t xml:space="preserve">converted to water vapor. </w:t>
      </w:r>
      <w:r w:rsidR="00444E21">
        <w:rPr>
          <w:sz w:val="22"/>
          <w:szCs w:val="22"/>
        </w:rPr>
        <w:t xml:space="preserve"> </w:t>
      </w:r>
      <w:r w:rsidR="00444E21" w:rsidRPr="00444E21">
        <w:rPr>
          <w:sz w:val="22"/>
          <w:szCs w:val="22"/>
        </w:rPr>
        <w:t xml:space="preserve">Inlet air temperature is reduced </w:t>
      </w:r>
      <w:r w:rsidR="00444E21">
        <w:rPr>
          <w:sz w:val="22"/>
          <w:szCs w:val="22"/>
        </w:rPr>
        <w:t>which</w:t>
      </w:r>
      <w:r w:rsidR="00444E21" w:rsidRPr="00444E21">
        <w:rPr>
          <w:sz w:val="22"/>
          <w:szCs w:val="22"/>
        </w:rPr>
        <w:t xml:space="preserve"> result</w:t>
      </w:r>
      <w:r w:rsidR="00444E21">
        <w:rPr>
          <w:sz w:val="22"/>
          <w:szCs w:val="22"/>
        </w:rPr>
        <w:t>s</w:t>
      </w:r>
      <w:r w:rsidR="00444E21" w:rsidRPr="00444E21">
        <w:rPr>
          <w:sz w:val="22"/>
          <w:szCs w:val="22"/>
        </w:rPr>
        <w:t xml:space="preserve"> i</w:t>
      </w:r>
      <w:r w:rsidR="007167E3">
        <w:rPr>
          <w:sz w:val="22"/>
          <w:szCs w:val="22"/>
        </w:rPr>
        <w:t>n</w:t>
      </w:r>
      <w:r w:rsidR="00444E21" w:rsidRPr="00444E21">
        <w:rPr>
          <w:sz w:val="22"/>
          <w:szCs w:val="22"/>
        </w:rPr>
        <w:t xml:space="preserve"> a cooler, denser air stream. </w:t>
      </w:r>
      <w:r w:rsidR="00444E21">
        <w:rPr>
          <w:sz w:val="22"/>
          <w:szCs w:val="22"/>
        </w:rPr>
        <w:t xml:space="preserve"> Consequently, more</w:t>
      </w:r>
      <w:r w:rsidR="00444E21" w:rsidRPr="00444E21">
        <w:rPr>
          <w:sz w:val="22"/>
          <w:szCs w:val="22"/>
        </w:rPr>
        <w:t xml:space="preserve"> power </w:t>
      </w:r>
      <w:r w:rsidR="00444E21">
        <w:rPr>
          <w:sz w:val="22"/>
          <w:szCs w:val="22"/>
        </w:rPr>
        <w:t>can</w:t>
      </w:r>
      <w:r w:rsidR="00444E21" w:rsidRPr="00444E21">
        <w:rPr>
          <w:sz w:val="22"/>
          <w:szCs w:val="22"/>
        </w:rPr>
        <w:t xml:space="preserve"> be produced</w:t>
      </w:r>
      <w:r w:rsidR="00444E21">
        <w:rPr>
          <w:sz w:val="22"/>
          <w:szCs w:val="22"/>
        </w:rPr>
        <w:t xml:space="preserve"> than would be possible at ambient conditions</w:t>
      </w:r>
      <w:r w:rsidR="00444E21" w:rsidRPr="00444E21">
        <w:rPr>
          <w:sz w:val="22"/>
          <w:szCs w:val="22"/>
        </w:rPr>
        <w:t xml:space="preserve">. </w:t>
      </w:r>
      <w:r w:rsidR="00444E21">
        <w:rPr>
          <w:sz w:val="22"/>
          <w:szCs w:val="22"/>
        </w:rPr>
        <w:t xml:space="preserve"> </w:t>
      </w:r>
      <w:r w:rsidR="00444E21" w:rsidRPr="00444E21">
        <w:rPr>
          <w:sz w:val="22"/>
          <w:szCs w:val="22"/>
        </w:rPr>
        <w:t>The CT</w:t>
      </w:r>
      <w:r w:rsidR="0002303B">
        <w:rPr>
          <w:sz w:val="22"/>
          <w:szCs w:val="22"/>
        </w:rPr>
        <w:t>s</w:t>
      </w:r>
      <w:r w:rsidR="00444E21" w:rsidRPr="00444E21">
        <w:rPr>
          <w:sz w:val="22"/>
          <w:szCs w:val="22"/>
        </w:rPr>
        <w:t xml:space="preserve"> will </w:t>
      </w:r>
      <w:r w:rsidR="00444E21">
        <w:rPr>
          <w:sz w:val="22"/>
          <w:szCs w:val="22"/>
        </w:rPr>
        <w:t>fire</w:t>
      </w:r>
      <w:r w:rsidR="00444E21" w:rsidRPr="00444E21">
        <w:rPr>
          <w:sz w:val="22"/>
          <w:szCs w:val="22"/>
        </w:rPr>
        <w:t xml:space="preserve"> natural gas and </w:t>
      </w:r>
      <w:r w:rsidR="00A31D47" w:rsidRPr="00444E21">
        <w:rPr>
          <w:sz w:val="22"/>
          <w:szCs w:val="22"/>
        </w:rPr>
        <w:t>ultra-low</w:t>
      </w:r>
      <w:r w:rsidR="00444E21" w:rsidRPr="00444E21">
        <w:rPr>
          <w:sz w:val="22"/>
          <w:szCs w:val="22"/>
        </w:rPr>
        <w:t xml:space="preserve"> sulfur distillate</w:t>
      </w:r>
      <w:r w:rsidR="00444E21">
        <w:rPr>
          <w:sz w:val="22"/>
          <w:szCs w:val="22"/>
        </w:rPr>
        <w:t xml:space="preserve"> </w:t>
      </w:r>
      <w:r w:rsidR="00444E21" w:rsidRPr="00444E21">
        <w:rPr>
          <w:sz w:val="22"/>
          <w:szCs w:val="22"/>
        </w:rPr>
        <w:t>(ULSD)</w:t>
      </w:r>
      <w:r w:rsidR="00444E21">
        <w:rPr>
          <w:sz w:val="22"/>
          <w:szCs w:val="22"/>
        </w:rPr>
        <w:t xml:space="preserve"> fuel</w:t>
      </w:r>
      <w:r w:rsidR="00444E21" w:rsidRPr="00444E21">
        <w:rPr>
          <w:sz w:val="22"/>
          <w:szCs w:val="22"/>
        </w:rPr>
        <w:t xml:space="preserve"> oil.</w:t>
      </w:r>
      <w:r w:rsidR="00444E21">
        <w:rPr>
          <w:sz w:val="22"/>
          <w:szCs w:val="22"/>
        </w:rPr>
        <w:t xml:space="preserve">  FPL has requested that use of </w:t>
      </w:r>
      <w:r w:rsidR="00444E21" w:rsidRPr="00444E21">
        <w:rPr>
          <w:sz w:val="22"/>
          <w:szCs w:val="22"/>
        </w:rPr>
        <w:t>U</w:t>
      </w:r>
      <w:r w:rsidR="007167E3">
        <w:rPr>
          <w:sz w:val="22"/>
          <w:szCs w:val="22"/>
        </w:rPr>
        <w:t>LS</w:t>
      </w:r>
      <w:r w:rsidR="00444E21" w:rsidRPr="00444E21">
        <w:rPr>
          <w:sz w:val="22"/>
          <w:szCs w:val="22"/>
        </w:rPr>
        <w:t xml:space="preserve">D oil be </w:t>
      </w:r>
      <w:r w:rsidR="00444E21">
        <w:rPr>
          <w:sz w:val="22"/>
          <w:szCs w:val="22"/>
        </w:rPr>
        <w:t>allowed</w:t>
      </w:r>
      <w:r w:rsidR="00444E21" w:rsidRPr="00444E21">
        <w:rPr>
          <w:sz w:val="22"/>
          <w:szCs w:val="22"/>
        </w:rPr>
        <w:t xml:space="preserve"> for up to the equivalent of 500 hours per year (hr/yr) per CT at</w:t>
      </w:r>
      <w:r w:rsidR="00444E21">
        <w:rPr>
          <w:sz w:val="22"/>
          <w:szCs w:val="22"/>
        </w:rPr>
        <w:t xml:space="preserve"> </w:t>
      </w:r>
      <w:r w:rsidR="00444E21" w:rsidRPr="00444E21">
        <w:rPr>
          <w:sz w:val="22"/>
          <w:szCs w:val="22"/>
        </w:rPr>
        <w:t>base load conditions.</w:t>
      </w:r>
      <w:r w:rsidR="00CB7F13">
        <w:rPr>
          <w:sz w:val="22"/>
          <w:szCs w:val="22"/>
        </w:rPr>
        <w:t xml:space="preserve">  FPL has also</w:t>
      </w:r>
      <w:r w:rsidR="00CB7F13" w:rsidRPr="00C63B87">
        <w:rPr>
          <w:sz w:val="22"/>
          <w:szCs w:val="22"/>
        </w:rPr>
        <w:t xml:space="preserve"> </w:t>
      </w:r>
      <w:r w:rsidR="00AF34A7">
        <w:rPr>
          <w:sz w:val="22"/>
          <w:szCs w:val="22"/>
        </w:rPr>
        <w:t xml:space="preserve">requested that </w:t>
      </w:r>
      <w:r w:rsidR="00CB7F13">
        <w:rPr>
          <w:sz w:val="22"/>
          <w:szCs w:val="22"/>
        </w:rPr>
        <w:t>five</w:t>
      </w:r>
      <w:r w:rsidR="00CB7F13" w:rsidRPr="00C63B87">
        <w:rPr>
          <w:sz w:val="22"/>
          <w:szCs w:val="22"/>
        </w:rPr>
        <w:t xml:space="preserve"> </w:t>
      </w:r>
      <w:r w:rsidR="00CB7F13">
        <w:rPr>
          <w:sz w:val="22"/>
          <w:szCs w:val="22"/>
        </w:rPr>
        <w:t>CTs</w:t>
      </w:r>
      <w:r w:rsidR="00CB7F13" w:rsidRPr="00C63B87">
        <w:rPr>
          <w:sz w:val="22"/>
          <w:szCs w:val="22"/>
        </w:rPr>
        <w:t xml:space="preserve"> </w:t>
      </w:r>
      <w:r w:rsidR="00AF34A7">
        <w:rPr>
          <w:sz w:val="22"/>
          <w:szCs w:val="22"/>
        </w:rPr>
        <w:t>be allowed to operate up to</w:t>
      </w:r>
      <w:r w:rsidR="00CB7F13">
        <w:rPr>
          <w:sz w:val="22"/>
          <w:szCs w:val="22"/>
        </w:rPr>
        <w:t xml:space="preserve"> a total</w:t>
      </w:r>
      <w:r w:rsidR="00CB7F13" w:rsidRPr="00C63B87">
        <w:rPr>
          <w:sz w:val="22"/>
          <w:szCs w:val="22"/>
        </w:rPr>
        <w:t xml:space="preserve"> </w:t>
      </w:r>
      <w:r w:rsidR="00CB7F13">
        <w:rPr>
          <w:sz w:val="22"/>
          <w:szCs w:val="22"/>
        </w:rPr>
        <w:t xml:space="preserve">of </w:t>
      </w:r>
      <w:r w:rsidR="00CB7F13" w:rsidRPr="00C63B87">
        <w:rPr>
          <w:sz w:val="22"/>
          <w:szCs w:val="22"/>
        </w:rPr>
        <w:t>3,3</w:t>
      </w:r>
      <w:r w:rsidR="00CB7F13">
        <w:rPr>
          <w:sz w:val="22"/>
          <w:szCs w:val="22"/>
        </w:rPr>
        <w:t>9</w:t>
      </w:r>
      <w:r w:rsidR="00CB7F13" w:rsidRPr="00C63B87">
        <w:rPr>
          <w:sz w:val="22"/>
          <w:szCs w:val="22"/>
        </w:rPr>
        <w:t xml:space="preserve">0 </w:t>
      </w:r>
      <w:r w:rsidR="00AF34A7">
        <w:rPr>
          <w:sz w:val="22"/>
          <w:szCs w:val="22"/>
        </w:rPr>
        <w:t>hr/yr</w:t>
      </w:r>
      <w:r w:rsidR="00CB7F13" w:rsidRPr="00C63B87">
        <w:rPr>
          <w:sz w:val="22"/>
          <w:szCs w:val="22"/>
        </w:rPr>
        <w:t xml:space="preserve"> per turbine</w:t>
      </w:r>
      <w:r w:rsidR="00CB7F13">
        <w:rPr>
          <w:sz w:val="22"/>
          <w:szCs w:val="22"/>
        </w:rPr>
        <w:t xml:space="preserve"> on all fuels (natural gas and fuel oil)</w:t>
      </w:r>
      <w:r w:rsidR="00CB7F13" w:rsidRPr="00C63B87">
        <w:rPr>
          <w:sz w:val="22"/>
          <w:szCs w:val="22"/>
        </w:rPr>
        <w:t>.</w:t>
      </w:r>
    </w:p>
    <w:p w:rsidR="00156DF1" w:rsidRDefault="00AB73BD" w:rsidP="0028135C">
      <w:pPr>
        <w:spacing w:after="120"/>
        <w:rPr>
          <w:sz w:val="22"/>
          <w:szCs w:val="22"/>
        </w:rPr>
      </w:pPr>
      <w:r>
        <w:rPr>
          <w:sz w:val="22"/>
          <w:szCs w:val="22"/>
        </w:rPr>
        <w:t>FPL has indicated that they</w:t>
      </w:r>
      <w:r w:rsidRPr="00AB73BD">
        <w:rPr>
          <w:sz w:val="22"/>
          <w:szCs w:val="22"/>
        </w:rPr>
        <w:t xml:space="preserve"> may </w:t>
      </w:r>
      <w:r>
        <w:rPr>
          <w:sz w:val="22"/>
          <w:szCs w:val="22"/>
        </w:rPr>
        <w:t>use</w:t>
      </w:r>
      <w:r w:rsidRPr="00AB73BD">
        <w:rPr>
          <w:sz w:val="22"/>
          <w:szCs w:val="22"/>
        </w:rPr>
        <w:t xml:space="preserve"> four nominal 3,</w:t>
      </w:r>
      <w:r w:rsidR="00CF11B5">
        <w:rPr>
          <w:sz w:val="22"/>
          <w:szCs w:val="22"/>
        </w:rPr>
        <w:t>1</w:t>
      </w:r>
      <w:r w:rsidRPr="00AB73BD">
        <w:rPr>
          <w:sz w:val="22"/>
          <w:szCs w:val="22"/>
        </w:rPr>
        <w:t xml:space="preserve">00 kilowatt (kW) </w:t>
      </w:r>
      <w:r w:rsidR="00AF34A7">
        <w:rPr>
          <w:sz w:val="22"/>
          <w:szCs w:val="22"/>
        </w:rPr>
        <w:t xml:space="preserve">reciprocating internal combustion engines (RICE) </w:t>
      </w:r>
      <w:r w:rsidRPr="00AB73BD">
        <w:rPr>
          <w:sz w:val="22"/>
          <w:szCs w:val="22"/>
        </w:rPr>
        <w:t xml:space="preserve">emergency generators firing ULSD </w:t>
      </w:r>
      <w:r>
        <w:rPr>
          <w:sz w:val="22"/>
          <w:szCs w:val="22"/>
        </w:rPr>
        <w:t xml:space="preserve">fuel </w:t>
      </w:r>
      <w:r w:rsidRPr="00AB73BD">
        <w:rPr>
          <w:sz w:val="22"/>
          <w:szCs w:val="22"/>
        </w:rPr>
        <w:t>oil</w:t>
      </w:r>
      <w:r>
        <w:rPr>
          <w:sz w:val="22"/>
          <w:szCs w:val="22"/>
        </w:rPr>
        <w:t xml:space="preserve"> </w:t>
      </w:r>
      <w:r w:rsidRPr="00AB73BD">
        <w:rPr>
          <w:sz w:val="22"/>
          <w:szCs w:val="22"/>
        </w:rPr>
        <w:t>for black start capability</w:t>
      </w:r>
      <w:r>
        <w:rPr>
          <w:sz w:val="22"/>
          <w:szCs w:val="22"/>
        </w:rPr>
        <w:t>, i.e., t</w:t>
      </w:r>
      <w:r w:rsidRPr="00AB73BD">
        <w:rPr>
          <w:sz w:val="22"/>
          <w:szCs w:val="22"/>
        </w:rPr>
        <w:t>hese emergency generators will be used when electric power is not available</w:t>
      </w:r>
      <w:r>
        <w:rPr>
          <w:sz w:val="22"/>
          <w:szCs w:val="22"/>
        </w:rPr>
        <w:t xml:space="preserve"> </w:t>
      </w:r>
      <w:r w:rsidRPr="00AB73BD">
        <w:rPr>
          <w:sz w:val="22"/>
          <w:szCs w:val="22"/>
        </w:rPr>
        <w:t>to start the CT</w:t>
      </w:r>
      <w:r w:rsidR="0002303B">
        <w:rPr>
          <w:sz w:val="22"/>
          <w:szCs w:val="22"/>
        </w:rPr>
        <w:t>s</w:t>
      </w:r>
      <w:r w:rsidRPr="00AB73BD">
        <w:rPr>
          <w:sz w:val="22"/>
          <w:szCs w:val="22"/>
        </w:rPr>
        <w:t xml:space="preserve">. </w:t>
      </w:r>
      <w:r>
        <w:rPr>
          <w:sz w:val="22"/>
          <w:szCs w:val="22"/>
        </w:rPr>
        <w:t xml:space="preserve"> </w:t>
      </w:r>
      <w:r w:rsidRPr="00AB73BD">
        <w:rPr>
          <w:sz w:val="22"/>
          <w:szCs w:val="22"/>
        </w:rPr>
        <w:t xml:space="preserve">This primarily would occur during catastrophic events such as hurricanes. </w:t>
      </w:r>
      <w:r w:rsidR="0002303B">
        <w:rPr>
          <w:sz w:val="22"/>
          <w:szCs w:val="22"/>
        </w:rPr>
        <w:t xml:space="preserve"> </w:t>
      </w:r>
      <w:r>
        <w:rPr>
          <w:sz w:val="22"/>
          <w:szCs w:val="22"/>
        </w:rPr>
        <w:t>The generators would be limited to</w:t>
      </w:r>
      <w:r w:rsidRPr="00AB73BD">
        <w:rPr>
          <w:sz w:val="22"/>
          <w:szCs w:val="22"/>
        </w:rPr>
        <w:t xml:space="preserve"> 100 hr/yr </w:t>
      </w:r>
      <w:r w:rsidR="00AF34A7">
        <w:rPr>
          <w:sz w:val="22"/>
          <w:szCs w:val="22"/>
        </w:rPr>
        <w:t xml:space="preserve">of </w:t>
      </w:r>
      <w:r w:rsidRPr="00AB73BD">
        <w:rPr>
          <w:sz w:val="22"/>
          <w:szCs w:val="22"/>
        </w:rPr>
        <w:t xml:space="preserve">operation </w:t>
      </w:r>
      <w:r>
        <w:rPr>
          <w:sz w:val="22"/>
          <w:szCs w:val="22"/>
        </w:rPr>
        <w:t xml:space="preserve">for </w:t>
      </w:r>
      <w:r w:rsidRPr="00AB73BD">
        <w:rPr>
          <w:sz w:val="22"/>
          <w:szCs w:val="22"/>
        </w:rPr>
        <w:t>maintenance and reliability testing.</w:t>
      </w:r>
      <w:r>
        <w:rPr>
          <w:sz w:val="22"/>
          <w:szCs w:val="22"/>
        </w:rPr>
        <w:t xml:space="preserve">  </w:t>
      </w:r>
      <w:r w:rsidRPr="00AB73BD">
        <w:rPr>
          <w:sz w:val="22"/>
          <w:szCs w:val="22"/>
        </w:rPr>
        <w:t>Alternatively,</w:t>
      </w:r>
      <w:r>
        <w:rPr>
          <w:sz w:val="22"/>
          <w:szCs w:val="22"/>
        </w:rPr>
        <w:t xml:space="preserve"> FPL has requested that</w:t>
      </w:r>
      <w:r w:rsidRPr="00AB73BD">
        <w:rPr>
          <w:sz w:val="22"/>
          <w:szCs w:val="22"/>
        </w:rPr>
        <w:t xml:space="preserve"> two of the </w:t>
      </w:r>
      <w:r w:rsidR="0002303B" w:rsidRPr="002C3372">
        <w:rPr>
          <w:sz w:val="22"/>
          <w:szCs w:val="22"/>
        </w:rPr>
        <w:t xml:space="preserve">existing GTs </w:t>
      </w:r>
      <w:r w:rsidR="0002303B">
        <w:rPr>
          <w:sz w:val="22"/>
          <w:szCs w:val="22"/>
        </w:rPr>
        <w:t xml:space="preserve">from EU003 </w:t>
      </w:r>
      <w:r w:rsidRPr="00AB73BD">
        <w:rPr>
          <w:sz w:val="22"/>
          <w:szCs w:val="22"/>
        </w:rPr>
        <w:t xml:space="preserve">may </w:t>
      </w:r>
      <w:r>
        <w:rPr>
          <w:sz w:val="22"/>
          <w:szCs w:val="22"/>
        </w:rPr>
        <w:t>remain o</w:t>
      </w:r>
      <w:r w:rsidR="002F3A7C">
        <w:rPr>
          <w:sz w:val="22"/>
          <w:szCs w:val="22"/>
        </w:rPr>
        <w:t>n</w:t>
      </w:r>
      <w:r>
        <w:rPr>
          <w:sz w:val="22"/>
          <w:szCs w:val="22"/>
        </w:rPr>
        <w:t>-site to provide the necessary</w:t>
      </w:r>
      <w:r w:rsidRPr="00AB73BD">
        <w:rPr>
          <w:sz w:val="22"/>
          <w:szCs w:val="22"/>
        </w:rPr>
        <w:t xml:space="preserve"> black start capability.</w:t>
      </w:r>
      <w:r w:rsidR="00DF525B">
        <w:rPr>
          <w:sz w:val="22"/>
          <w:szCs w:val="22"/>
        </w:rPr>
        <w:t xml:space="preserve">  </w:t>
      </w:r>
      <w:r w:rsidR="0028135C">
        <w:rPr>
          <w:sz w:val="22"/>
          <w:szCs w:val="22"/>
        </w:rPr>
        <w:t>The existing GTs would also be limited to</w:t>
      </w:r>
      <w:r w:rsidR="0028135C" w:rsidRPr="00AB73BD">
        <w:rPr>
          <w:sz w:val="22"/>
          <w:szCs w:val="22"/>
        </w:rPr>
        <w:t xml:space="preserve"> 100 hr/yr </w:t>
      </w:r>
      <w:r w:rsidR="0028135C">
        <w:rPr>
          <w:sz w:val="22"/>
          <w:szCs w:val="22"/>
        </w:rPr>
        <w:t xml:space="preserve">of </w:t>
      </w:r>
      <w:r w:rsidR="0028135C" w:rsidRPr="00AB73BD">
        <w:rPr>
          <w:sz w:val="22"/>
          <w:szCs w:val="22"/>
        </w:rPr>
        <w:t xml:space="preserve">operation </w:t>
      </w:r>
      <w:r w:rsidR="0028135C">
        <w:rPr>
          <w:sz w:val="22"/>
          <w:szCs w:val="22"/>
        </w:rPr>
        <w:t xml:space="preserve">for </w:t>
      </w:r>
      <w:r w:rsidR="0028135C" w:rsidRPr="00AB73BD">
        <w:rPr>
          <w:sz w:val="22"/>
          <w:szCs w:val="22"/>
        </w:rPr>
        <w:t>maintenance and reliability testing</w:t>
      </w:r>
      <w:r w:rsidR="0028135C">
        <w:rPr>
          <w:sz w:val="22"/>
          <w:szCs w:val="22"/>
        </w:rPr>
        <w:t>.</w:t>
      </w:r>
    </w:p>
    <w:p w:rsidR="00D64B73" w:rsidRPr="00131643" w:rsidRDefault="00D64B73" w:rsidP="00AF34A7">
      <w:pPr>
        <w:spacing w:after="120"/>
        <w:rPr>
          <w:sz w:val="22"/>
          <w:szCs w:val="22"/>
        </w:rPr>
      </w:pPr>
      <w:r w:rsidRPr="00131643">
        <w:rPr>
          <w:sz w:val="22"/>
          <w:szCs w:val="22"/>
        </w:rPr>
        <w:t xml:space="preserve">FPL and also indicated that the Lauderdale project will utilize a 300 horsepower (hp) fire pump engine using ULSD oil.  According to FPL, this engine will be used when necessary during catastrophic events such as fires.  </w:t>
      </w:r>
      <w:r w:rsidR="0002303B">
        <w:rPr>
          <w:sz w:val="22"/>
          <w:szCs w:val="22"/>
        </w:rPr>
        <w:t xml:space="preserve">The permit will limit the fire pump engine to </w:t>
      </w:r>
      <w:r w:rsidR="0002303B" w:rsidRPr="00AB73BD">
        <w:rPr>
          <w:sz w:val="22"/>
          <w:szCs w:val="22"/>
        </w:rPr>
        <w:t xml:space="preserve">100 hr/yr operation </w:t>
      </w:r>
      <w:r w:rsidR="0002303B">
        <w:rPr>
          <w:sz w:val="22"/>
          <w:szCs w:val="22"/>
        </w:rPr>
        <w:t xml:space="preserve">for </w:t>
      </w:r>
      <w:r w:rsidR="0002303B" w:rsidRPr="00AB73BD">
        <w:rPr>
          <w:sz w:val="22"/>
          <w:szCs w:val="22"/>
        </w:rPr>
        <w:t>maintenance and reliability testing</w:t>
      </w:r>
      <w:r w:rsidR="0002303B">
        <w:rPr>
          <w:sz w:val="22"/>
          <w:szCs w:val="22"/>
        </w:rPr>
        <w:t xml:space="preserve">. </w:t>
      </w:r>
      <w:r w:rsidR="00131643" w:rsidRPr="00131643">
        <w:rPr>
          <w:sz w:val="22"/>
          <w:szCs w:val="22"/>
        </w:rPr>
        <w:t xml:space="preserve"> </w:t>
      </w:r>
      <w:r w:rsidRPr="00131643">
        <w:rPr>
          <w:sz w:val="22"/>
          <w:szCs w:val="22"/>
        </w:rPr>
        <w:t xml:space="preserve">Finally, </w:t>
      </w:r>
      <w:r w:rsidR="00131643" w:rsidRPr="00131643">
        <w:rPr>
          <w:sz w:val="22"/>
          <w:szCs w:val="22"/>
        </w:rPr>
        <w:t xml:space="preserve">the Lauderdale project will </w:t>
      </w:r>
      <w:r w:rsidR="00AF34A7">
        <w:rPr>
          <w:sz w:val="22"/>
          <w:szCs w:val="22"/>
        </w:rPr>
        <w:t>include</w:t>
      </w:r>
      <w:r w:rsidR="00131643" w:rsidRPr="00131643">
        <w:rPr>
          <w:sz w:val="22"/>
          <w:szCs w:val="22"/>
        </w:rPr>
        <w:t xml:space="preserve"> two 3-million gallon ULSD fuel oil storage tanks.  </w:t>
      </w:r>
      <w:r w:rsidR="00131643" w:rsidRPr="00131643">
        <w:rPr>
          <w:b/>
          <w:sz w:val="22"/>
          <w:szCs w:val="22"/>
        </w:rPr>
        <w:fldChar w:fldCharType="begin"/>
      </w:r>
      <w:r w:rsidR="00131643" w:rsidRPr="00131643">
        <w:rPr>
          <w:b/>
          <w:sz w:val="22"/>
          <w:szCs w:val="22"/>
        </w:rPr>
        <w:instrText xml:space="preserve"> REF _Ref365377806 \h  \* MERGEFORMAT </w:instrText>
      </w:r>
      <w:r w:rsidR="00131643" w:rsidRPr="00131643">
        <w:rPr>
          <w:b/>
          <w:sz w:val="22"/>
          <w:szCs w:val="22"/>
        </w:rPr>
      </w:r>
      <w:r w:rsidR="00131643" w:rsidRPr="00131643">
        <w:rPr>
          <w:b/>
          <w:sz w:val="22"/>
          <w:szCs w:val="22"/>
        </w:rPr>
        <w:fldChar w:fldCharType="separate"/>
      </w:r>
      <w:r w:rsidR="007F3589" w:rsidRPr="007F3589">
        <w:rPr>
          <w:b/>
          <w:sz w:val="22"/>
          <w:szCs w:val="22"/>
        </w:rPr>
        <w:t xml:space="preserve">Table </w:t>
      </w:r>
      <w:r w:rsidR="007F3589" w:rsidRPr="007F3589">
        <w:rPr>
          <w:b/>
          <w:noProof/>
          <w:sz w:val="22"/>
          <w:szCs w:val="22"/>
        </w:rPr>
        <w:t>3</w:t>
      </w:r>
      <w:r w:rsidR="00131643" w:rsidRPr="00131643">
        <w:rPr>
          <w:b/>
          <w:sz w:val="22"/>
          <w:szCs w:val="22"/>
        </w:rPr>
        <w:fldChar w:fldCharType="end"/>
      </w:r>
      <w:r w:rsidR="00131643" w:rsidRPr="00131643">
        <w:rPr>
          <w:sz w:val="22"/>
          <w:szCs w:val="22"/>
        </w:rPr>
        <w:t xml:space="preserve"> indicates the new emissions units involved with the Lauderdale project.  </w:t>
      </w:r>
    </w:p>
    <w:p w:rsidR="000761BC" w:rsidRPr="00875D54" w:rsidRDefault="00875D54" w:rsidP="00455144">
      <w:pPr>
        <w:pStyle w:val="Caption"/>
        <w:spacing w:before="0"/>
        <w:jc w:val="center"/>
        <w:rPr>
          <w:szCs w:val="22"/>
        </w:rPr>
      </w:pPr>
      <w:bookmarkStart w:id="7" w:name="_Ref365377806"/>
      <w:r w:rsidRPr="00875D54">
        <w:t xml:space="preserve">Table </w:t>
      </w:r>
      <w:fldSimple w:instr=" SEQ Table \* ARABIC ">
        <w:r w:rsidR="007F3589">
          <w:rPr>
            <w:noProof/>
          </w:rPr>
          <w:t>3</w:t>
        </w:r>
      </w:fldSimple>
      <w:bookmarkEnd w:id="7"/>
      <w:r w:rsidR="000761BC" w:rsidRPr="00875D54">
        <w:rPr>
          <w:szCs w:val="22"/>
        </w:rPr>
        <w:t xml:space="preserve"> – List of </w:t>
      </w:r>
      <w:r>
        <w:rPr>
          <w:szCs w:val="22"/>
        </w:rPr>
        <w:t xml:space="preserve">new </w:t>
      </w:r>
      <w:r w:rsidR="000761BC" w:rsidRPr="00875D54">
        <w:rPr>
          <w:szCs w:val="22"/>
        </w:rPr>
        <w:t xml:space="preserve">Emissions Units for </w:t>
      </w:r>
      <w:r>
        <w:rPr>
          <w:szCs w:val="22"/>
        </w:rPr>
        <w:t xml:space="preserve">the fpl </w:t>
      </w:r>
      <w:r w:rsidR="00F11608">
        <w:rPr>
          <w:szCs w:val="22"/>
        </w:rPr>
        <w:t>Lauderdale</w:t>
      </w:r>
      <w:r w:rsidR="000761BC" w:rsidRPr="00875D54">
        <w:rPr>
          <w:szCs w:val="22"/>
        </w:rPr>
        <w:t xml:space="preserve"> Project</w:t>
      </w:r>
      <w:r>
        <w:rPr>
          <w:szCs w:val="22"/>
        </w:rPr>
        <w:t>.</w:t>
      </w:r>
    </w:p>
    <w:tbl>
      <w:tblPr>
        <w:tblW w:w="9145" w:type="dxa"/>
        <w:tblInd w:w="115" w:type="dxa"/>
        <w:tblBorders>
          <w:top w:val="single" w:sz="8" w:space="0" w:color="auto"/>
          <w:left w:val="single" w:sz="8" w:space="0" w:color="auto"/>
          <w:bottom w:val="single" w:sz="8" w:space="0" w:color="auto"/>
          <w:right w:val="single" w:sz="8" w:space="0" w:color="auto"/>
          <w:insideH w:val="single" w:sz="4" w:space="0" w:color="auto"/>
          <w:insideV w:val="single" w:sz="8" w:space="0" w:color="auto"/>
        </w:tblBorders>
        <w:tblCellMar>
          <w:top w:w="43" w:type="dxa"/>
          <w:left w:w="72" w:type="dxa"/>
          <w:bottom w:w="43" w:type="dxa"/>
          <w:right w:w="72" w:type="dxa"/>
        </w:tblCellMar>
        <w:tblLook w:val="01E0" w:firstRow="1" w:lastRow="1" w:firstColumn="1" w:lastColumn="1" w:noHBand="0" w:noVBand="0"/>
      </w:tblPr>
      <w:tblGrid>
        <w:gridCol w:w="1487"/>
        <w:gridCol w:w="7658"/>
      </w:tblGrid>
      <w:tr w:rsidR="00156DF1" w:rsidRPr="000616EB" w:rsidTr="002E7738">
        <w:tc>
          <w:tcPr>
            <w:tcW w:w="1487" w:type="dxa"/>
            <w:tcBorders>
              <w:top w:val="single" w:sz="8" w:space="0" w:color="auto"/>
              <w:bottom w:val="single" w:sz="8" w:space="0" w:color="auto"/>
            </w:tcBorders>
            <w:shd w:val="clear" w:color="auto" w:fill="C6D9F1"/>
          </w:tcPr>
          <w:p w:rsidR="00156DF1" w:rsidRPr="00875D54" w:rsidRDefault="00875D54" w:rsidP="00285050">
            <w:pPr>
              <w:pStyle w:val="BodyText2"/>
              <w:widowControl w:val="0"/>
              <w:spacing w:after="0"/>
              <w:jc w:val="center"/>
              <w:rPr>
                <w:b/>
                <w:sz w:val="20"/>
              </w:rPr>
            </w:pPr>
            <w:r>
              <w:rPr>
                <w:b/>
                <w:sz w:val="20"/>
              </w:rPr>
              <w:t xml:space="preserve">New EU </w:t>
            </w:r>
            <w:r w:rsidR="00156DF1" w:rsidRPr="00875D54">
              <w:rPr>
                <w:b/>
                <w:sz w:val="20"/>
              </w:rPr>
              <w:t>ID No.</w:t>
            </w:r>
          </w:p>
        </w:tc>
        <w:tc>
          <w:tcPr>
            <w:tcW w:w="7658" w:type="dxa"/>
            <w:tcBorders>
              <w:top w:val="single" w:sz="8" w:space="0" w:color="auto"/>
              <w:bottom w:val="single" w:sz="8" w:space="0" w:color="auto"/>
            </w:tcBorders>
            <w:shd w:val="clear" w:color="auto" w:fill="C6D9F1"/>
          </w:tcPr>
          <w:p w:rsidR="00156DF1" w:rsidRPr="00875D54" w:rsidRDefault="00156DF1" w:rsidP="00156DF1">
            <w:pPr>
              <w:pStyle w:val="BodyText2"/>
              <w:widowControl w:val="0"/>
              <w:tabs>
                <w:tab w:val="right" w:pos="9054"/>
              </w:tabs>
              <w:spacing w:after="0"/>
              <w:ind w:left="2834"/>
              <w:rPr>
                <w:b/>
                <w:sz w:val="20"/>
              </w:rPr>
            </w:pPr>
            <w:r w:rsidRPr="00875D54">
              <w:rPr>
                <w:b/>
                <w:sz w:val="20"/>
              </w:rPr>
              <w:t>Description</w:t>
            </w:r>
          </w:p>
        </w:tc>
      </w:tr>
      <w:tr w:rsidR="00156DF1" w:rsidRPr="000616EB" w:rsidTr="002E7738">
        <w:tc>
          <w:tcPr>
            <w:tcW w:w="1487" w:type="dxa"/>
            <w:tcBorders>
              <w:top w:val="single" w:sz="8" w:space="0" w:color="auto"/>
            </w:tcBorders>
            <w:vAlign w:val="center"/>
          </w:tcPr>
          <w:p w:rsidR="00156DF1" w:rsidRPr="00875D54" w:rsidRDefault="00875D54" w:rsidP="0039523C">
            <w:pPr>
              <w:pStyle w:val="BodyText2"/>
              <w:widowControl w:val="0"/>
              <w:spacing w:after="0"/>
              <w:jc w:val="center"/>
              <w:rPr>
                <w:sz w:val="20"/>
              </w:rPr>
            </w:pPr>
            <w:r w:rsidRPr="00875D54">
              <w:rPr>
                <w:sz w:val="20"/>
              </w:rPr>
              <w:t>0</w:t>
            </w:r>
            <w:r w:rsidR="00F11608">
              <w:rPr>
                <w:sz w:val="20"/>
              </w:rPr>
              <w:t>45</w:t>
            </w:r>
          </w:p>
        </w:tc>
        <w:tc>
          <w:tcPr>
            <w:tcW w:w="7658" w:type="dxa"/>
            <w:tcBorders>
              <w:top w:val="single" w:sz="8" w:space="0" w:color="auto"/>
            </w:tcBorders>
          </w:tcPr>
          <w:p w:rsidR="00156DF1" w:rsidRPr="00875D54" w:rsidRDefault="00875D54" w:rsidP="0039523C">
            <w:pPr>
              <w:pStyle w:val="BodyText2"/>
              <w:widowControl w:val="0"/>
              <w:spacing w:after="0"/>
              <w:jc w:val="left"/>
              <w:rPr>
                <w:sz w:val="20"/>
              </w:rPr>
            </w:pPr>
            <w:r w:rsidRPr="00875D54">
              <w:rPr>
                <w:sz w:val="20"/>
              </w:rPr>
              <w:t>S</w:t>
            </w:r>
            <w:r w:rsidR="00156DF1" w:rsidRPr="00875D54">
              <w:rPr>
                <w:sz w:val="20"/>
              </w:rPr>
              <w:t>imple cycle combustion turbine-electrical generator</w:t>
            </w:r>
            <w:r w:rsidRPr="00875D54">
              <w:rPr>
                <w:sz w:val="20"/>
              </w:rPr>
              <w:t xml:space="preserve"> (Unit </w:t>
            </w:r>
            <w:r w:rsidR="0039523C">
              <w:rPr>
                <w:sz w:val="20"/>
              </w:rPr>
              <w:t>6A</w:t>
            </w:r>
            <w:r w:rsidRPr="00875D54">
              <w:rPr>
                <w:sz w:val="20"/>
              </w:rPr>
              <w:t>)</w:t>
            </w:r>
          </w:p>
        </w:tc>
      </w:tr>
      <w:tr w:rsidR="00156DF1" w:rsidRPr="000616EB" w:rsidTr="002E7738">
        <w:tc>
          <w:tcPr>
            <w:tcW w:w="1487" w:type="dxa"/>
            <w:vAlign w:val="center"/>
          </w:tcPr>
          <w:p w:rsidR="00156DF1" w:rsidRPr="00875D54" w:rsidRDefault="00875D54" w:rsidP="0039523C">
            <w:pPr>
              <w:pStyle w:val="BodyText2"/>
              <w:widowControl w:val="0"/>
              <w:spacing w:after="0"/>
              <w:jc w:val="center"/>
              <w:rPr>
                <w:sz w:val="20"/>
              </w:rPr>
            </w:pPr>
            <w:r w:rsidRPr="00875D54">
              <w:rPr>
                <w:sz w:val="20"/>
              </w:rPr>
              <w:t>0</w:t>
            </w:r>
            <w:r w:rsidR="00F11608">
              <w:rPr>
                <w:sz w:val="20"/>
              </w:rPr>
              <w:t>46</w:t>
            </w:r>
          </w:p>
        </w:tc>
        <w:tc>
          <w:tcPr>
            <w:tcW w:w="7658" w:type="dxa"/>
          </w:tcPr>
          <w:p w:rsidR="00156DF1" w:rsidRPr="00875D54" w:rsidRDefault="00875D54" w:rsidP="0039523C">
            <w:pPr>
              <w:pStyle w:val="BodyText2"/>
              <w:widowControl w:val="0"/>
              <w:spacing w:after="0"/>
              <w:jc w:val="left"/>
              <w:rPr>
                <w:sz w:val="20"/>
              </w:rPr>
            </w:pPr>
            <w:r w:rsidRPr="00875D54">
              <w:rPr>
                <w:sz w:val="20"/>
              </w:rPr>
              <w:t>S</w:t>
            </w:r>
            <w:r w:rsidR="00156DF1" w:rsidRPr="00875D54">
              <w:rPr>
                <w:sz w:val="20"/>
              </w:rPr>
              <w:t>imple cycle combustion turbine-electrical generator</w:t>
            </w:r>
            <w:r w:rsidRPr="00875D54">
              <w:rPr>
                <w:sz w:val="20"/>
              </w:rPr>
              <w:t xml:space="preserve"> (Unit </w:t>
            </w:r>
            <w:r w:rsidR="0039523C">
              <w:rPr>
                <w:sz w:val="20"/>
              </w:rPr>
              <w:t>6B</w:t>
            </w:r>
            <w:r w:rsidRPr="00875D54">
              <w:rPr>
                <w:sz w:val="20"/>
              </w:rPr>
              <w:t>)</w:t>
            </w:r>
          </w:p>
        </w:tc>
      </w:tr>
      <w:tr w:rsidR="00156DF1" w:rsidRPr="000616EB" w:rsidTr="002E7738">
        <w:tc>
          <w:tcPr>
            <w:tcW w:w="1487" w:type="dxa"/>
            <w:vAlign w:val="center"/>
          </w:tcPr>
          <w:p w:rsidR="00156DF1" w:rsidRPr="00875D54" w:rsidRDefault="00875D54" w:rsidP="0039523C">
            <w:pPr>
              <w:pStyle w:val="BodyText2"/>
              <w:widowControl w:val="0"/>
              <w:spacing w:after="0"/>
              <w:jc w:val="center"/>
              <w:rPr>
                <w:sz w:val="20"/>
              </w:rPr>
            </w:pPr>
            <w:r w:rsidRPr="00875D54">
              <w:rPr>
                <w:sz w:val="20"/>
              </w:rPr>
              <w:t>0</w:t>
            </w:r>
            <w:r w:rsidR="00F11608">
              <w:rPr>
                <w:sz w:val="20"/>
              </w:rPr>
              <w:t>47</w:t>
            </w:r>
          </w:p>
        </w:tc>
        <w:tc>
          <w:tcPr>
            <w:tcW w:w="7658" w:type="dxa"/>
          </w:tcPr>
          <w:p w:rsidR="00156DF1" w:rsidRPr="00875D54" w:rsidRDefault="00875D54" w:rsidP="0039523C">
            <w:pPr>
              <w:pStyle w:val="BodyText2"/>
              <w:widowControl w:val="0"/>
              <w:spacing w:after="0"/>
              <w:jc w:val="left"/>
              <w:rPr>
                <w:sz w:val="20"/>
              </w:rPr>
            </w:pPr>
            <w:r w:rsidRPr="00875D54">
              <w:rPr>
                <w:sz w:val="20"/>
              </w:rPr>
              <w:t xml:space="preserve">Simple cycle combustion turbine-electrical generator (Unit </w:t>
            </w:r>
            <w:r w:rsidR="0039523C">
              <w:rPr>
                <w:sz w:val="20"/>
              </w:rPr>
              <w:t>6C</w:t>
            </w:r>
            <w:r w:rsidRPr="00875D54">
              <w:rPr>
                <w:sz w:val="20"/>
              </w:rPr>
              <w:t>)</w:t>
            </w:r>
          </w:p>
        </w:tc>
      </w:tr>
      <w:tr w:rsidR="00F11608" w:rsidRPr="000616EB" w:rsidTr="002E7738">
        <w:tc>
          <w:tcPr>
            <w:tcW w:w="1487" w:type="dxa"/>
            <w:vAlign w:val="center"/>
          </w:tcPr>
          <w:p w:rsidR="00F11608" w:rsidRPr="00875D54" w:rsidRDefault="00F11608" w:rsidP="0039523C">
            <w:pPr>
              <w:pStyle w:val="BodyText2"/>
              <w:widowControl w:val="0"/>
              <w:spacing w:after="0"/>
              <w:jc w:val="center"/>
              <w:rPr>
                <w:sz w:val="20"/>
              </w:rPr>
            </w:pPr>
            <w:r w:rsidRPr="00875D54">
              <w:rPr>
                <w:sz w:val="20"/>
              </w:rPr>
              <w:t>0</w:t>
            </w:r>
            <w:r>
              <w:rPr>
                <w:sz w:val="20"/>
              </w:rPr>
              <w:t>48</w:t>
            </w:r>
          </w:p>
        </w:tc>
        <w:tc>
          <w:tcPr>
            <w:tcW w:w="7658" w:type="dxa"/>
          </w:tcPr>
          <w:p w:rsidR="00F11608" w:rsidRPr="00875D54" w:rsidRDefault="00F11608" w:rsidP="0039523C">
            <w:pPr>
              <w:pStyle w:val="BodyText2"/>
              <w:widowControl w:val="0"/>
              <w:spacing w:after="0"/>
              <w:jc w:val="left"/>
              <w:rPr>
                <w:sz w:val="20"/>
              </w:rPr>
            </w:pPr>
            <w:r w:rsidRPr="00875D54">
              <w:rPr>
                <w:sz w:val="20"/>
              </w:rPr>
              <w:t xml:space="preserve">Simple cycle combustion turbine-electrical generator (Unit </w:t>
            </w:r>
            <w:r w:rsidR="0039523C">
              <w:rPr>
                <w:sz w:val="20"/>
              </w:rPr>
              <w:t>6D</w:t>
            </w:r>
            <w:r w:rsidRPr="00875D54">
              <w:rPr>
                <w:sz w:val="20"/>
              </w:rPr>
              <w:t>)</w:t>
            </w:r>
          </w:p>
        </w:tc>
      </w:tr>
      <w:tr w:rsidR="00F11608" w:rsidRPr="000616EB" w:rsidTr="002E7738">
        <w:tc>
          <w:tcPr>
            <w:tcW w:w="1487" w:type="dxa"/>
            <w:vAlign w:val="center"/>
          </w:tcPr>
          <w:p w:rsidR="00F11608" w:rsidRPr="00875D54" w:rsidRDefault="00F11608" w:rsidP="0039523C">
            <w:pPr>
              <w:pStyle w:val="BodyText2"/>
              <w:widowControl w:val="0"/>
              <w:spacing w:after="0"/>
              <w:jc w:val="center"/>
              <w:rPr>
                <w:sz w:val="20"/>
              </w:rPr>
            </w:pPr>
            <w:r w:rsidRPr="00875D54">
              <w:rPr>
                <w:sz w:val="20"/>
              </w:rPr>
              <w:t>0</w:t>
            </w:r>
            <w:r>
              <w:rPr>
                <w:sz w:val="20"/>
              </w:rPr>
              <w:t>49</w:t>
            </w:r>
          </w:p>
        </w:tc>
        <w:tc>
          <w:tcPr>
            <w:tcW w:w="7658" w:type="dxa"/>
          </w:tcPr>
          <w:p w:rsidR="00F11608" w:rsidRPr="00875D54" w:rsidRDefault="00F11608" w:rsidP="0039523C">
            <w:pPr>
              <w:pStyle w:val="BodyText2"/>
              <w:widowControl w:val="0"/>
              <w:spacing w:after="0"/>
              <w:jc w:val="left"/>
              <w:rPr>
                <w:sz w:val="20"/>
              </w:rPr>
            </w:pPr>
            <w:r w:rsidRPr="00875D54">
              <w:rPr>
                <w:sz w:val="20"/>
              </w:rPr>
              <w:t xml:space="preserve">Simple cycle combustion turbine-electrical generator (Unit </w:t>
            </w:r>
            <w:r w:rsidR="0039523C">
              <w:rPr>
                <w:sz w:val="20"/>
              </w:rPr>
              <w:t>6E</w:t>
            </w:r>
            <w:r w:rsidRPr="00875D54">
              <w:rPr>
                <w:sz w:val="20"/>
              </w:rPr>
              <w:t>)</w:t>
            </w:r>
          </w:p>
        </w:tc>
      </w:tr>
      <w:tr w:rsidR="00156DF1" w:rsidRPr="00E20F00" w:rsidTr="002E7738">
        <w:tc>
          <w:tcPr>
            <w:tcW w:w="1487" w:type="dxa"/>
            <w:vAlign w:val="center"/>
          </w:tcPr>
          <w:p w:rsidR="00156DF1" w:rsidRPr="00875D54" w:rsidRDefault="00875D54" w:rsidP="0039523C">
            <w:pPr>
              <w:pStyle w:val="BodyText2"/>
              <w:widowControl w:val="0"/>
              <w:spacing w:after="0"/>
              <w:jc w:val="center"/>
              <w:rPr>
                <w:sz w:val="20"/>
                <w:highlight w:val="yellow"/>
              </w:rPr>
            </w:pPr>
            <w:r w:rsidRPr="00875D54">
              <w:rPr>
                <w:sz w:val="20"/>
              </w:rPr>
              <w:t>0</w:t>
            </w:r>
            <w:r w:rsidR="00F11608">
              <w:rPr>
                <w:sz w:val="20"/>
              </w:rPr>
              <w:t>50</w:t>
            </w:r>
          </w:p>
        </w:tc>
        <w:tc>
          <w:tcPr>
            <w:tcW w:w="7658" w:type="dxa"/>
          </w:tcPr>
          <w:p w:rsidR="00156DF1" w:rsidRPr="00875D54" w:rsidRDefault="00C21FF5" w:rsidP="00702807">
            <w:pPr>
              <w:pStyle w:val="BodyText2"/>
              <w:widowControl w:val="0"/>
              <w:spacing w:after="0"/>
              <w:jc w:val="left"/>
              <w:rPr>
                <w:sz w:val="20"/>
                <w:highlight w:val="yellow"/>
              </w:rPr>
            </w:pPr>
            <w:r>
              <w:rPr>
                <w:sz w:val="20"/>
              </w:rPr>
              <w:t>Four</w:t>
            </w:r>
            <w:r w:rsidR="00875D54" w:rsidRPr="00875D54">
              <w:rPr>
                <w:sz w:val="20"/>
              </w:rPr>
              <w:t xml:space="preserve"> nominal 3,</w:t>
            </w:r>
            <w:r w:rsidR="00CF11B5">
              <w:rPr>
                <w:sz w:val="20"/>
              </w:rPr>
              <w:t>1</w:t>
            </w:r>
            <w:r w:rsidR="00875D54" w:rsidRPr="00875D54">
              <w:rPr>
                <w:sz w:val="20"/>
              </w:rPr>
              <w:t xml:space="preserve">00 kW </w:t>
            </w:r>
            <w:r w:rsidR="00AF34A7">
              <w:rPr>
                <w:sz w:val="20"/>
              </w:rPr>
              <w:t xml:space="preserve">RICE </w:t>
            </w:r>
            <w:r w:rsidR="00875D54" w:rsidRPr="00875D54">
              <w:rPr>
                <w:sz w:val="20"/>
              </w:rPr>
              <w:t>emergency generators</w:t>
            </w:r>
            <w:r w:rsidR="00AF34A7">
              <w:rPr>
                <w:sz w:val="20"/>
              </w:rPr>
              <w:t xml:space="preserve">.  </w:t>
            </w:r>
            <w:r w:rsidR="00AF34A7" w:rsidRPr="00AF34A7">
              <w:rPr>
                <w:b/>
                <w:sz w:val="20"/>
              </w:rPr>
              <w:t xml:space="preserve">In lieu of these units, FPL may elect to retain </w:t>
            </w:r>
            <w:r w:rsidR="00702807">
              <w:rPr>
                <w:b/>
                <w:sz w:val="20"/>
              </w:rPr>
              <w:t>two</w:t>
            </w:r>
            <w:r w:rsidR="00AF34A7" w:rsidRPr="00AF34A7">
              <w:rPr>
                <w:b/>
                <w:sz w:val="20"/>
              </w:rPr>
              <w:t xml:space="preserve"> existing GTs to provide black start capability.</w:t>
            </w:r>
          </w:p>
        </w:tc>
      </w:tr>
      <w:tr w:rsidR="0039523C" w:rsidRPr="00E20F00" w:rsidTr="002E7738">
        <w:tc>
          <w:tcPr>
            <w:tcW w:w="1487" w:type="dxa"/>
            <w:vAlign w:val="center"/>
          </w:tcPr>
          <w:p w:rsidR="0039523C" w:rsidRPr="00875D54" w:rsidRDefault="0039523C" w:rsidP="0039523C">
            <w:pPr>
              <w:pStyle w:val="BodyText2"/>
              <w:widowControl w:val="0"/>
              <w:spacing w:after="0"/>
              <w:jc w:val="center"/>
              <w:rPr>
                <w:sz w:val="20"/>
              </w:rPr>
            </w:pPr>
            <w:r>
              <w:rPr>
                <w:sz w:val="20"/>
              </w:rPr>
              <w:t>051</w:t>
            </w:r>
          </w:p>
        </w:tc>
        <w:tc>
          <w:tcPr>
            <w:tcW w:w="7658" w:type="dxa"/>
          </w:tcPr>
          <w:p w:rsidR="0039523C" w:rsidRDefault="0072033E" w:rsidP="00CF11B5">
            <w:pPr>
              <w:pStyle w:val="BodyText2"/>
              <w:widowControl w:val="0"/>
              <w:spacing w:after="0"/>
              <w:jc w:val="left"/>
              <w:rPr>
                <w:sz w:val="20"/>
              </w:rPr>
            </w:pPr>
            <w:r>
              <w:rPr>
                <w:sz w:val="20"/>
              </w:rPr>
              <w:t xml:space="preserve">300 hp </w:t>
            </w:r>
            <w:r w:rsidR="0039523C">
              <w:rPr>
                <w:sz w:val="20"/>
              </w:rPr>
              <w:t>E</w:t>
            </w:r>
            <w:r w:rsidR="0039523C" w:rsidRPr="00F11608">
              <w:rPr>
                <w:sz w:val="20"/>
              </w:rPr>
              <w:t xml:space="preserve">mergency </w:t>
            </w:r>
            <w:r w:rsidR="0039523C">
              <w:rPr>
                <w:sz w:val="20"/>
              </w:rPr>
              <w:t>d</w:t>
            </w:r>
            <w:r w:rsidR="0039523C" w:rsidRPr="00F11608">
              <w:rPr>
                <w:sz w:val="20"/>
              </w:rPr>
              <w:t xml:space="preserve">iesel </w:t>
            </w:r>
            <w:r w:rsidR="0039523C">
              <w:rPr>
                <w:sz w:val="20"/>
              </w:rPr>
              <w:t>f</w:t>
            </w:r>
            <w:r w:rsidR="0039523C" w:rsidRPr="00F11608">
              <w:rPr>
                <w:sz w:val="20"/>
              </w:rPr>
              <w:t xml:space="preserve">ire </w:t>
            </w:r>
            <w:r w:rsidR="0039523C">
              <w:rPr>
                <w:sz w:val="20"/>
              </w:rPr>
              <w:t>p</w:t>
            </w:r>
            <w:r w:rsidR="0039523C" w:rsidRPr="00F11608">
              <w:rPr>
                <w:sz w:val="20"/>
              </w:rPr>
              <w:t xml:space="preserve">ump </w:t>
            </w:r>
            <w:r w:rsidR="0039523C">
              <w:rPr>
                <w:sz w:val="20"/>
              </w:rPr>
              <w:t>e</w:t>
            </w:r>
            <w:r w:rsidR="0039523C" w:rsidRPr="00F11608">
              <w:rPr>
                <w:sz w:val="20"/>
              </w:rPr>
              <w:t>ngine</w:t>
            </w:r>
          </w:p>
        </w:tc>
      </w:tr>
      <w:tr w:rsidR="0039523C" w:rsidRPr="00E20F00" w:rsidTr="002E7738">
        <w:tc>
          <w:tcPr>
            <w:tcW w:w="1487" w:type="dxa"/>
            <w:vAlign w:val="center"/>
          </w:tcPr>
          <w:p w:rsidR="0039523C" w:rsidRDefault="0039523C" w:rsidP="0039523C">
            <w:pPr>
              <w:jc w:val="center"/>
            </w:pPr>
            <w:r w:rsidRPr="0039523C">
              <w:t>052</w:t>
            </w:r>
          </w:p>
        </w:tc>
        <w:tc>
          <w:tcPr>
            <w:tcW w:w="7658" w:type="dxa"/>
          </w:tcPr>
          <w:p w:rsidR="0039523C" w:rsidRDefault="00C065E6" w:rsidP="00AF34A7">
            <w:r>
              <w:t>Two 3-</w:t>
            </w:r>
            <w:r w:rsidR="0039523C" w:rsidRPr="0039523C">
              <w:t>million gallon ULSD</w:t>
            </w:r>
            <w:r>
              <w:t xml:space="preserve"> fuel</w:t>
            </w:r>
            <w:r w:rsidR="0039523C" w:rsidRPr="0039523C">
              <w:t xml:space="preserve"> oil storage tanks</w:t>
            </w:r>
          </w:p>
        </w:tc>
      </w:tr>
    </w:tbl>
    <w:p w:rsidR="00746205" w:rsidRPr="00874C42" w:rsidRDefault="00746205" w:rsidP="00C070A4">
      <w:pPr>
        <w:widowControl w:val="0"/>
        <w:numPr>
          <w:ilvl w:val="1"/>
          <w:numId w:val="2"/>
        </w:numPr>
        <w:tabs>
          <w:tab w:val="left" w:pos="720"/>
        </w:tabs>
        <w:spacing w:before="120" w:after="120"/>
        <w:ind w:left="720" w:hanging="720"/>
        <w:rPr>
          <w:b/>
          <w:bCs/>
          <w:sz w:val="22"/>
          <w:szCs w:val="22"/>
        </w:rPr>
      </w:pPr>
      <w:r w:rsidRPr="00874C42">
        <w:rPr>
          <w:b/>
          <w:bCs/>
          <w:sz w:val="22"/>
          <w:szCs w:val="22"/>
        </w:rPr>
        <w:t>Processing Schedule</w:t>
      </w:r>
    </w:p>
    <w:p w:rsidR="00A105B2" w:rsidRDefault="00455144" w:rsidP="00455144">
      <w:pPr>
        <w:pStyle w:val="BodyText"/>
        <w:widowControl w:val="0"/>
        <w:numPr>
          <w:ilvl w:val="12"/>
          <w:numId w:val="0"/>
        </w:numPr>
        <w:tabs>
          <w:tab w:val="left" w:pos="1980"/>
        </w:tabs>
        <w:spacing w:after="60"/>
        <w:ind w:left="1987" w:hanging="1987"/>
        <w:rPr>
          <w:sz w:val="22"/>
          <w:szCs w:val="22"/>
        </w:rPr>
      </w:pPr>
      <w:r>
        <w:rPr>
          <w:sz w:val="22"/>
          <w:szCs w:val="22"/>
        </w:rPr>
        <w:t>July 31</w:t>
      </w:r>
      <w:r w:rsidR="00A105B2">
        <w:rPr>
          <w:sz w:val="22"/>
          <w:szCs w:val="22"/>
        </w:rPr>
        <w:t>, 20</w:t>
      </w:r>
      <w:r>
        <w:rPr>
          <w:sz w:val="22"/>
          <w:szCs w:val="22"/>
        </w:rPr>
        <w:t>13</w:t>
      </w:r>
      <w:r w:rsidR="00A105B2">
        <w:rPr>
          <w:sz w:val="22"/>
          <w:szCs w:val="22"/>
        </w:rPr>
        <w:tab/>
        <w:t xml:space="preserve">The Department </w:t>
      </w:r>
      <w:r>
        <w:rPr>
          <w:sz w:val="22"/>
          <w:szCs w:val="22"/>
        </w:rPr>
        <w:t xml:space="preserve">received a PSD air construction permit application from FPL for the </w:t>
      </w:r>
      <w:r w:rsidR="007944FF">
        <w:rPr>
          <w:sz w:val="22"/>
          <w:szCs w:val="22"/>
        </w:rPr>
        <w:t>Lauderdale</w:t>
      </w:r>
      <w:r>
        <w:rPr>
          <w:sz w:val="22"/>
          <w:szCs w:val="22"/>
        </w:rPr>
        <w:t xml:space="preserve"> peaking unit replacement project.</w:t>
      </w:r>
      <w:r w:rsidR="003B15E4" w:rsidRPr="003B15E4">
        <w:rPr>
          <w:sz w:val="22"/>
          <w:szCs w:val="22"/>
        </w:rPr>
        <w:t xml:space="preserve"> </w:t>
      </w:r>
    </w:p>
    <w:p w:rsidR="00746205" w:rsidRPr="00050E4F" w:rsidRDefault="00455144" w:rsidP="00455144">
      <w:pPr>
        <w:pStyle w:val="BodyText"/>
        <w:widowControl w:val="0"/>
        <w:numPr>
          <w:ilvl w:val="12"/>
          <w:numId w:val="0"/>
        </w:numPr>
        <w:tabs>
          <w:tab w:val="left" w:pos="1980"/>
        </w:tabs>
        <w:spacing w:after="60"/>
        <w:ind w:left="1987" w:hanging="1987"/>
        <w:rPr>
          <w:sz w:val="22"/>
          <w:szCs w:val="22"/>
        </w:rPr>
      </w:pPr>
      <w:r>
        <w:rPr>
          <w:sz w:val="22"/>
          <w:szCs w:val="22"/>
        </w:rPr>
        <w:t>August 23</w:t>
      </w:r>
      <w:r w:rsidR="00671AD0" w:rsidRPr="00050E4F">
        <w:rPr>
          <w:sz w:val="22"/>
          <w:szCs w:val="22"/>
        </w:rPr>
        <w:t>, 201</w:t>
      </w:r>
      <w:r>
        <w:rPr>
          <w:sz w:val="22"/>
          <w:szCs w:val="22"/>
        </w:rPr>
        <w:t>3</w:t>
      </w:r>
      <w:r w:rsidR="00746205" w:rsidRPr="00050E4F">
        <w:rPr>
          <w:sz w:val="22"/>
          <w:szCs w:val="22"/>
        </w:rPr>
        <w:tab/>
      </w:r>
      <w:r>
        <w:rPr>
          <w:sz w:val="22"/>
          <w:szCs w:val="22"/>
        </w:rPr>
        <w:t xml:space="preserve">The </w:t>
      </w:r>
      <w:r w:rsidRPr="00050E4F">
        <w:rPr>
          <w:sz w:val="22"/>
          <w:szCs w:val="22"/>
        </w:rPr>
        <w:t xml:space="preserve">Department </w:t>
      </w:r>
      <w:r>
        <w:rPr>
          <w:sz w:val="22"/>
          <w:szCs w:val="22"/>
        </w:rPr>
        <w:t xml:space="preserve">issued a </w:t>
      </w:r>
      <w:r w:rsidRPr="00050E4F">
        <w:rPr>
          <w:sz w:val="22"/>
          <w:szCs w:val="22"/>
        </w:rPr>
        <w:t>request</w:t>
      </w:r>
      <w:r>
        <w:rPr>
          <w:sz w:val="22"/>
          <w:szCs w:val="22"/>
        </w:rPr>
        <w:t xml:space="preserve"> for additional </w:t>
      </w:r>
      <w:r w:rsidRPr="00050E4F">
        <w:rPr>
          <w:sz w:val="22"/>
          <w:szCs w:val="22"/>
        </w:rPr>
        <w:t>information</w:t>
      </w:r>
      <w:r>
        <w:rPr>
          <w:sz w:val="22"/>
          <w:szCs w:val="22"/>
        </w:rPr>
        <w:t xml:space="preserve"> (RAI).</w:t>
      </w:r>
    </w:p>
    <w:p w:rsidR="00131643" w:rsidRDefault="00064288" w:rsidP="00455144">
      <w:pPr>
        <w:pStyle w:val="BodyText"/>
        <w:widowControl w:val="0"/>
        <w:numPr>
          <w:ilvl w:val="12"/>
          <w:numId w:val="0"/>
        </w:numPr>
        <w:tabs>
          <w:tab w:val="left" w:pos="1980"/>
        </w:tabs>
        <w:ind w:left="1987" w:hanging="1987"/>
        <w:rPr>
          <w:sz w:val="22"/>
          <w:szCs w:val="22"/>
        </w:rPr>
      </w:pPr>
      <w:r w:rsidRPr="00064288">
        <w:rPr>
          <w:sz w:val="22"/>
          <w:szCs w:val="22"/>
        </w:rPr>
        <w:t>February 2</w:t>
      </w:r>
      <w:r w:rsidR="0091500A">
        <w:rPr>
          <w:sz w:val="22"/>
          <w:szCs w:val="22"/>
        </w:rPr>
        <w:t>7</w:t>
      </w:r>
      <w:bookmarkStart w:id="8" w:name="_GoBack"/>
      <w:bookmarkEnd w:id="8"/>
      <w:r w:rsidR="00D903DF" w:rsidRPr="00064288">
        <w:rPr>
          <w:sz w:val="22"/>
          <w:szCs w:val="22"/>
        </w:rPr>
        <w:t>, 20</w:t>
      </w:r>
      <w:r w:rsidR="00455144" w:rsidRPr="00064288">
        <w:rPr>
          <w:sz w:val="22"/>
          <w:szCs w:val="22"/>
        </w:rPr>
        <w:t>1</w:t>
      </w:r>
      <w:r w:rsidR="0002303B" w:rsidRPr="00064288">
        <w:rPr>
          <w:sz w:val="22"/>
          <w:szCs w:val="22"/>
        </w:rPr>
        <w:t>4</w:t>
      </w:r>
      <w:r w:rsidR="00746205" w:rsidRPr="00064288">
        <w:rPr>
          <w:sz w:val="22"/>
          <w:szCs w:val="22"/>
        </w:rPr>
        <w:tab/>
      </w:r>
      <w:r w:rsidR="00A105B2" w:rsidRPr="00064288">
        <w:rPr>
          <w:sz w:val="22"/>
          <w:szCs w:val="22"/>
        </w:rPr>
        <w:t xml:space="preserve">The </w:t>
      </w:r>
      <w:r w:rsidR="00746205" w:rsidRPr="00064288">
        <w:rPr>
          <w:sz w:val="22"/>
          <w:szCs w:val="22"/>
        </w:rPr>
        <w:t xml:space="preserve">Department </w:t>
      </w:r>
      <w:r w:rsidR="00455144" w:rsidRPr="00064288">
        <w:rPr>
          <w:sz w:val="22"/>
          <w:szCs w:val="22"/>
        </w:rPr>
        <w:t>issued draft PSD air construction permit package</w:t>
      </w:r>
    </w:p>
    <w:p w:rsidR="007975B0" w:rsidRPr="00746205" w:rsidRDefault="007975B0" w:rsidP="00131643">
      <w:pPr>
        <w:widowControl w:val="0"/>
        <w:numPr>
          <w:ilvl w:val="0"/>
          <w:numId w:val="2"/>
        </w:numPr>
        <w:tabs>
          <w:tab w:val="left" w:pos="720"/>
        </w:tabs>
        <w:spacing w:after="120"/>
        <w:ind w:left="720" w:hanging="720"/>
        <w:rPr>
          <w:b/>
          <w:caps/>
          <w:sz w:val="22"/>
          <w:szCs w:val="22"/>
        </w:rPr>
      </w:pPr>
      <w:r>
        <w:rPr>
          <w:b/>
          <w:caps/>
          <w:sz w:val="22"/>
          <w:szCs w:val="22"/>
        </w:rPr>
        <w:t xml:space="preserve">PSD </w:t>
      </w:r>
      <w:r w:rsidR="00584D97">
        <w:rPr>
          <w:b/>
          <w:caps/>
          <w:sz w:val="22"/>
          <w:szCs w:val="22"/>
        </w:rPr>
        <w:t xml:space="preserve">Applicability </w:t>
      </w:r>
      <w:r>
        <w:rPr>
          <w:b/>
          <w:caps/>
          <w:sz w:val="22"/>
          <w:szCs w:val="22"/>
        </w:rPr>
        <w:t>Review</w:t>
      </w:r>
    </w:p>
    <w:p w:rsidR="00F54733" w:rsidRPr="00193F10" w:rsidRDefault="00F54733" w:rsidP="00C070A4">
      <w:pPr>
        <w:widowControl w:val="0"/>
        <w:numPr>
          <w:ilvl w:val="1"/>
          <w:numId w:val="2"/>
        </w:numPr>
        <w:tabs>
          <w:tab w:val="left" w:pos="720"/>
        </w:tabs>
        <w:spacing w:after="120"/>
        <w:ind w:left="720" w:hanging="720"/>
        <w:rPr>
          <w:b/>
          <w:sz w:val="22"/>
        </w:rPr>
      </w:pPr>
      <w:r w:rsidRPr="00193F10">
        <w:rPr>
          <w:b/>
          <w:sz w:val="22"/>
        </w:rPr>
        <w:t xml:space="preserve">General </w:t>
      </w:r>
      <w:r>
        <w:rPr>
          <w:b/>
          <w:sz w:val="22"/>
        </w:rPr>
        <w:t xml:space="preserve">PSD </w:t>
      </w:r>
      <w:r w:rsidRPr="00193F10">
        <w:rPr>
          <w:b/>
          <w:sz w:val="22"/>
        </w:rPr>
        <w:t>Applicability</w:t>
      </w:r>
    </w:p>
    <w:p w:rsidR="00FE53A4" w:rsidRDefault="00F54733" w:rsidP="00FE53A4">
      <w:pPr>
        <w:widowControl w:val="0"/>
        <w:spacing w:after="120"/>
        <w:rPr>
          <w:rFonts w:eastAsia="Calibri"/>
          <w:sz w:val="22"/>
          <w:szCs w:val="22"/>
        </w:rPr>
      </w:pPr>
      <w:r w:rsidRPr="005C0768">
        <w:rPr>
          <w:rFonts w:eastAsia="Calibri"/>
          <w:sz w:val="22"/>
          <w:szCs w:val="22"/>
        </w:rPr>
        <w:t xml:space="preserve">The Department regulates major stationary sources in accordance with Florida’s PSD program pursuant to </w:t>
      </w:r>
      <w:r w:rsidRPr="005C0768">
        <w:rPr>
          <w:rFonts w:eastAsia="Calibri"/>
          <w:sz w:val="22"/>
          <w:szCs w:val="22"/>
        </w:rPr>
        <w:lastRenderedPageBreak/>
        <w:t xml:space="preserve">Rule 62-212.400, F.A.C.  PSD preconstruction review is required in areas that are currently in attainment with the state and federal </w:t>
      </w:r>
      <w:r w:rsidR="00874C42">
        <w:rPr>
          <w:rFonts w:eastAsia="Calibri"/>
          <w:sz w:val="22"/>
          <w:szCs w:val="22"/>
        </w:rPr>
        <w:t>ambient air quality standards (</w:t>
      </w:r>
      <w:r w:rsidRPr="005C0768">
        <w:rPr>
          <w:rFonts w:eastAsia="Calibri"/>
          <w:sz w:val="22"/>
          <w:szCs w:val="22"/>
        </w:rPr>
        <w:t>AAQS</w:t>
      </w:r>
      <w:r w:rsidR="00874C42">
        <w:rPr>
          <w:rFonts w:eastAsia="Calibri"/>
          <w:sz w:val="22"/>
          <w:szCs w:val="22"/>
        </w:rPr>
        <w:t>)</w:t>
      </w:r>
      <w:r w:rsidRPr="005C0768">
        <w:rPr>
          <w:rFonts w:eastAsia="Calibri"/>
          <w:sz w:val="22"/>
          <w:szCs w:val="22"/>
        </w:rPr>
        <w:t xml:space="preserve"> or areas designated as “unclassifiable” for these regulated pollutants.  </w:t>
      </w:r>
      <w:r w:rsidR="00FE53A4">
        <w:rPr>
          <w:rFonts w:eastAsia="Calibri"/>
          <w:sz w:val="22"/>
          <w:szCs w:val="22"/>
        </w:rPr>
        <w:t xml:space="preserve">Commonly addressed </w:t>
      </w:r>
      <w:r w:rsidR="00FE53A4" w:rsidRPr="005C0768">
        <w:rPr>
          <w:rFonts w:eastAsia="Calibri"/>
          <w:sz w:val="22"/>
          <w:szCs w:val="22"/>
        </w:rPr>
        <w:t xml:space="preserve">PSD pollutants </w:t>
      </w:r>
      <w:r w:rsidR="00FE53A4">
        <w:rPr>
          <w:rFonts w:eastAsia="Calibri"/>
          <w:sz w:val="22"/>
          <w:szCs w:val="22"/>
        </w:rPr>
        <w:t xml:space="preserve">in the power industry </w:t>
      </w:r>
      <w:r w:rsidR="00FE53A4" w:rsidRPr="005C0768">
        <w:rPr>
          <w:rFonts w:eastAsia="Calibri"/>
          <w:sz w:val="22"/>
          <w:szCs w:val="22"/>
        </w:rPr>
        <w:t xml:space="preserve">include: </w:t>
      </w:r>
      <w:r w:rsidR="00546117">
        <w:rPr>
          <w:rFonts w:eastAsia="Calibri"/>
          <w:sz w:val="22"/>
          <w:szCs w:val="22"/>
        </w:rPr>
        <w:t>carbon monoxide (</w:t>
      </w:r>
      <w:r w:rsidR="00FE53A4" w:rsidRPr="005C0768">
        <w:rPr>
          <w:rFonts w:eastAsia="Calibri"/>
          <w:sz w:val="22"/>
          <w:szCs w:val="22"/>
        </w:rPr>
        <w:t>CO</w:t>
      </w:r>
      <w:r w:rsidR="00546117">
        <w:rPr>
          <w:rFonts w:eastAsia="Calibri"/>
          <w:sz w:val="22"/>
          <w:szCs w:val="22"/>
        </w:rPr>
        <w:t>)</w:t>
      </w:r>
      <w:r w:rsidR="00FE53A4">
        <w:rPr>
          <w:rFonts w:eastAsia="Calibri"/>
          <w:sz w:val="22"/>
          <w:szCs w:val="22"/>
        </w:rPr>
        <w:t>,</w:t>
      </w:r>
      <w:r w:rsidR="00FE53A4" w:rsidRPr="005C0768">
        <w:rPr>
          <w:rFonts w:eastAsia="Calibri"/>
          <w:sz w:val="22"/>
          <w:szCs w:val="22"/>
        </w:rPr>
        <w:t xml:space="preserve"> NO</w:t>
      </w:r>
      <w:r w:rsidR="00FE53A4" w:rsidRPr="007B78BD">
        <w:rPr>
          <w:rFonts w:eastAsia="Calibri"/>
          <w:sz w:val="22"/>
          <w:szCs w:val="22"/>
          <w:vertAlign w:val="subscript"/>
        </w:rPr>
        <w:t>X</w:t>
      </w:r>
      <w:r w:rsidR="00FE53A4">
        <w:rPr>
          <w:rFonts w:eastAsia="Calibri"/>
          <w:sz w:val="22"/>
          <w:szCs w:val="22"/>
        </w:rPr>
        <w:t xml:space="preserve">, </w:t>
      </w:r>
      <w:r w:rsidR="00714AC0">
        <w:rPr>
          <w:rFonts w:eastAsia="Calibri"/>
          <w:sz w:val="22"/>
          <w:szCs w:val="22"/>
        </w:rPr>
        <w:t>particulate matter (</w:t>
      </w:r>
      <w:r w:rsidR="00FE53A4">
        <w:rPr>
          <w:rFonts w:eastAsia="Calibri"/>
          <w:sz w:val="22"/>
          <w:szCs w:val="22"/>
        </w:rPr>
        <w:t>PM</w:t>
      </w:r>
      <w:r w:rsidR="00714AC0">
        <w:rPr>
          <w:rFonts w:eastAsia="Calibri"/>
          <w:sz w:val="22"/>
          <w:szCs w:val="22"/>
        </w:rPr>
        <w:t>)</w:t>
      </w:r>
      <w:r w:rsidR="00FE53A4">
        <w:rPr>
          <w:rFonts w:eastAsia="Calibri"/>
          <w:sz w:val="22"/>
          <w:szCs w:val="22"/>
        </w:rPr>
        <w:t>,</w:t>
      </w:r>
      <w:r w:rsidR="00FE53A4" w:rsidRPr="005C0768">
        <w:rPr>
          <w:rFonts w:eastAsia="Calibri"/>
          <w:sz w:val="22"/>
          <w:szCs w:val="22"/>
        </w:rPr>
        <w:t xml:space="preserve"> </w:t>
      </w:r>
      <w:r w:rsidR="00714AC0">
        <w:rPr>
          <w:rFonts w:eastAsia="Calibri"/>
          <w:sz w:val="22"/>
          <w:szCs w:val="22"/>
        </w:rPr>
        <w:t>PM with a mean diameter of 10 microns or less (</w:t>
      </w:r>
      <w:r w:rsidR="00FE53A4" w:rsidRPr="005C0768">
        <w:rPr>
          <w:rFonts w:eastAsia="Calibri"/>
          <w:sz w:val="22"/>
          <w:szCs w:val="22"/>
        </w:rPr>
        <w:t>PM</w:t>
      </w:r>
      <w:r w:rsidR="00FE53A4" w:rsidRPr="00DB5285">
        <w:rPr>
          <w:rFonts w:eastAsia="Calibri"/>
          <w:sz w:val="22"/>
          <w:szCs w:val="22"/>
          <w:vertAlign w:val="subscript"/>
        </w:rPr>
        <w:t>10</w:t>
      </w:r>
      <w:r w:rsidR="00714AC0">
        <w:rPr>
          <w:rFonts w:eastAsia="Calibri"/>
          <w:sz w:val="22"/>
          <w:szCs w:val="22"/>
        </w:rPr>
        <w:t>)</w:t>
      </w:r>
      <w:r w:rsidR="00FE53A4">
        <w:rPr>
          <w:rFonts w:eastAsia="Calibri"/>
          <w:sz w:val="22"/>
          <w:szCs w:val="22"/>
        </w:rPr>
        <w:t>,</w:t>
      </w:r>
      <w:r w:rsidR="00FE53A4" w:rsidRPr="005C0768">
        <w:rPr>
          <w:rFonts w:eastAsia="Calibri"/>
          <w:sz w:val="22"/>
          <w:szCs w:val="22"/>
        </w:rPr>
        <w:t xml:space="preserve"> </w:t>
      </w:r>
      <w:r w:rsidR="00714AC0">
        <w:rPr>
          <w:rFonts w:eastAsia="Calibri"/>
          <w:sz w:val="22"/>
          <w:szCs w:val="22"/>
        </w:rPr>
        <w:t>PM with a mean diameter of 2.5 microns or less (</w:t>
      </w:r>
      <w:r w:rsidR="00714AC0" w:rsidRPr="005C0768">
        <w:rPr>
          <w:rFonts w:eastAsia="Calibri"/>
          <w:sz w:val="22"/>
          <w:szCs w:val="22"/>
        </w:rPr>
        <w:t>PM</w:t>
      </w:r>
      <w:r w:rsidR="00714AC0">
        <w:rPr>
          <w:rFonts w:eastAsia="Calibri"/>
          <w:sz w:val="22"/>
          <w:szCs w:val="22"/>
          <w:vertAlign w:val="subscript"/>
        </w:rPr>
        <w:t>2.5</w:t>
      </w:r>
      <w:r w:rsidR="00714AC0">
        <w:rPr>
          <w:rFonts w:eastAsia="Calibri"/>
          <w:sz w:val="22"/>
          <w:szCs w:val="22"/>
        </w:rPr>
        <w:t xml:space="preserve">), </w:t>
      </w:r>
      <w:r w:rsidR="00CC5837">
        <w:rPr>
          <w:rFonts w:eastAsia="Calibri"/>
          <w:sz w:val="22"/>
          <w:szCs w:val="22"/>
        </w:rPr>
        <w:t>sulfur dioxide (SO</w:t>
      </w:r>
      <w:r w:rsidR="00CC5837" w:rsidRPr="00CC5837">
        <w:rPr>
          <w:rFonts w:eastAsia="Calibri"/>
          <w:sz w:val="22"/>
          <w:szCs w:val="22"/>
          <w:vertAlign w:val="subscript"/>
        </w:rPr>
        <w:t>2</w:t>
      </w:r>
      <w:r w:rsidR="00CC5837">
        <w:rPr>
          <w:rFonts w:eastAsia="Calibri"/>
          <w:sz w:val="22"/>
          <w:szCs w:val="22"/>
        </w:rPr>
        <w:t xml:space="preserve">), </w:t>
      </w:r>
      <w:r w:rsidR="00FE53A4" w:rsidRPr="005C0768">
        <w:rPr>
          <w:rFonts w:eastAsia="Calibri"/>
          <w:sz w:val="22"/>
          <w:szCs w:val="22"/>
        </w:rPr>
        <w:t>volatil</w:t>
      </w:r>
      <w:r w:rsidR="00FE53A4">
        <w:rPr>
          <w:rFonts w:eastAsia="Calibri"/>
          <w:sz w:val="22"/>
          <w:szCs w:val="22"/>
        </w:rPr>
        <w:t>e organic compounds (VOC), lead (Pb),</w:t>
      </w:r>
      <w:r w:rsidR="00FE53A4" w:rsidRPr="005C0768">
        <w:rPr>
          <w:rFonts w:eastAsia="Calibri"/>
          <w:sz w:val="22"/>
          <w:szCs w:val="22"/>
        </w:rPr>
        <w:t xml:space="preserve"> </w:t>
      </w:r>
      <w:r w:rsidR="00FE53A4">
        <w:rPr>
          <w:rFonts w:eastAsia="Calibri"/>
          <w:sz w:val="22"/>
          <w:szCs w:val="22"/>
        </w:rPr>
        <w:t>f</w:t>
      </w:r>
      <w:r w:rsidR="00FE53A4" w:rsidRPr="005C0768">
        <w:rPr>
          <w:rFonts w:eastAsia="Calibri"/>
          <w:sz w:val="22"/>
          <w:szCs w:val="22"/>
        </w:rPr>
        <w:t>luorides</w:t>
      </w:r>
      <w:r w:rsidR="00FE53A4">
        <w:rPr>
          <w:rFonts w:eastAsia="Calibri"/>
          <w:sz w:val="22"/>
          <w:szCs w:val="22"/>
        </w:rPr>
        <w:t xml:space="preserve"> (F),</w:t>
      </w:r>
      <w:r w:rsidR="00FE53A4" w:rsidRPr="005C0768">
        <w:rPr>
          <w:rFonts w:eastAsia="Calibri"/>
          <w:sz w:val="22"/>
          <w:szCs w:val="22"/>
        </w:rPr>
        <w:t xml:space="preserve"> sulfuric acid mist (SAM)</w:t>
      </w:r>
      <w:r w:rsidR="00FE53A4">
        <w:rPr>
          <w:rFonts w:eastAsia="Calibri"/>
          <w:sz w:val="22"/>
          <w:szCs w:val="22"/>
        </w:rPr>
        <w:t xml:space="preserve">, and mercury (Hg).  </w:t>
      </w:r>
    </w:p>
    <w:p w:rsidR="00FE53A4" w:rsidRPr="004E4744" w:rsidRDefault="00CC5837" w:rsidP="00FE53A4">
      <w:pPr>
        <w:widowControl w:val="0"/>
        <w:spacing w:after="120"/>
        <w:rPr>
          <w:rFonts w:eastAsia="Calibri"/>
          <w:sz w:val="22"/>
          <w:szCs w:val="22"/>
        </w:rPr>
      </w:pPr>
      <w:r>
        <w:rPr>
          <w:rFonts w:eastAsia="Calibri"/>
          <w:sz w:val="22"/>
          <w:szCs w:val="22"/>
        </w:rPr>
        <w:t xml:space="preserve">Additional </w:t>
      </w:r>
      <w:r w:rsidR="00FE53A4">
        <w:rPr>
          <w:rFonts w:eastAsia="Calibri"/>
          <w:sz w:val="22"/>
          <w:szCs w:val="22"/>
        </w:rPr>
        <w:t>PSD pollutants that are more common to certain other industries include:</w:t>
      </w:r>
      <w:r w:rsidR="00FE53A4" w:rsidRPr="005C0768">
        <w:rPr>
          <w:rFonts w:eastAsia="Calibri"/>
          <w:sz w:val="22"/>
          <w:szCs w:val="22"/>
        </w:rPr>
        <w:t xml:space="preserve"> </w:t>
      </w:r>
      <w:r w:rsidR="00FE53A4">
        <w:rPr>
          <w:rFonts w:eastAsia="Calibri"/>
          <w:sz w:val="22"/>
          <w:szCs w:val="22"/>
        </w:rPr>
        <w:t>hydrogen sulfide (</w:t>
      </w:r>
      <w:r w:rsidR="00FE53A4" w:rsidRPr="005C0768">
        <w:rPr>
          <w:rFonts w:eastAsia="Calibri"/>
          <w:sz w:val="22"/>
          <w:szCs w:val="22"/>
        </w:rPr>
        <w:t>H</w:t>
      </w:r>
      <w:r w:rsidR="00FE53A4" w:rsidRPr="007B78BD">
        <w:rPr>
          <w:rFonts w:eastAsia="Calibri"/>
          <w:sz w:val="22"/>
          <w:szCs w:val="22"/>
          <w:vertAlign w:val="subscript"/>
        </w:rPr>
        <w:t>2</w:t>
      </w:r>
      <w:r w:rsidR="00FE53A4" w:rsidRPr="005C0768">
        <w:rPr>
          <w:rFonts w:eastAsia="Calibri"/>
          <w:sz w:val="22"/>
          <w:szCs w:val="22"/>
        </w:rPr>
        <w:t>S</w:t>
      </w:r>
      <w:r w:rsidR="00FE53A4">
        <w:rPr>
          <w:rFonts w:eastAsia="Calibri"/>
          <w:sz w:val="22"/>
          <w:szCs w:val="22"/>
        </w:rPr>
        <w:t xml:space="preserve">), </w:t>
      </w:r>
      <w:r w:rsidR="00FE53A4" w:rsidRPr="005C0768">
        <w:rPr>
          <w:rFonts w:eastAsia="Calibri"/>
          <w:sz w:val="22"/>
          <w:szCs w:val="22"/>
        </w:rPr>
        <w:t>TRS including H</w:t>
      </w:r>
      <w:r w:rsidR="00FE53A4" w:rsidRPr="007B78BD">
        <w:rPr>
          <w:rFonts w:eastAsia="Calibri"/>
          <w:sz w:val="22"/>
          <w:szCs w:val="22"/>
          <w:vertAlign w:val="subscript"/>
        </w:rPr>
        <w:t>2</w:t>
      </w:r>
      <w:r w:rsidR="00FE53A4" w:rsidRPr="005C0768">
        <w:rPr>
          <w:rFonts w:eastAsia="Calibri"/>
          <w:sz w:val="22"/>
          <w:szCs w:val="22"/>
        </w:rPr>
        <w:t>S</w:t>
      </w:r>
      <w:r w:rsidR="00FE53A4">
        <w:rPr>
          <w:rFonts w:eastAsia="Calibri"/>
          <w:sz w:val="22"/>
          <w:szCs w:val="22"/>
        </w:rPr>
        <w:t>, reduced sulfur compounds (RSC) including H</w:t>
      </w:r>
      <w:r w:rsidR="00FE53A4" w:rsidRPr="00F81267">
        <w:rPr>
          <w:rFonts w:eastAsia="Calibri"/>
          <w:sz w:val="22"/>
          <w:szCs w:val="22"/>
          <w:vertAlign w:val="subscript"/>
        </w:rPr>
        <w:t>2</w:t>
      </w:r>
      <w:r w:rsidR="00FE53A4">
        <w:rPr>
          <w:rFonts w:eastAsia="Calibri"/>
          <w:sz w:val="22"/>
          <w:szCs w:val="22"/>
        </w:rPr>
        <w:t>S, municipal waste combustor (</w:t>
      </w:r>
      <w:r w:rsidR="00FE53A4" w:rsidRPr="005C0768">
        <w:rPr>
          <w:rFonts w:eastAsia="Calibri"/>
          <w:sz w:val="22"/>
          <w:szCs w:val="22"/>
        </w:rPr>
        <w:t>MWC</w:t>
      </w:r>
      <w:r w:rsidR="00FE53A4">
        <w:rPr>
          <w:rFonts w:eastAsia="Calibri"/>
          <w:sz w:val="22"/>
          <w:szCs w:val="22"/>
        </w:rPr>
        <w:t>)</w:t>
      </w:r>
      <w:r w:rsidR="00FE53A4" w:rsidRPr="005C0768">
        <w:rPr>
          <w:rFonts w:eastAsia="Calibri"/>
          <w:sz w:val="22"/>
          <w:szCs w:val="22"/>
        </w:rPr>
        <w:t xml:space="preserve"> organics measured as total tetra- through octa-chlorinated dibenzo-p-dioxins and dibenzofurans (</w:t>
      </w:r>
      <w:r w:rsidR="00FE53A4">
        <w:rPr>
          <w:rFonts w:eastAsia="Calibri"/>
          <w:sz w:val="22"/>
          <w:szCs w:val="22"/>
        </w:rPr>
        <w:t xml:space="preserve">dioxin/furan), </w:t>
      </w:r>
      <w:r w:rsidR="00FE53A4" w:rsidRPr="005C0768">
        <w:rPr>
          <w:rFonts w:eastAsia="Calibri"/>
          <w:sz w:val="22"/>
          <w:szCs w:val="22"/>
        </w:rPr>
        <w:t xml:space="preserve">MWC metals measured as PM; MWC acid gases </w:t>
      </w:r>
      <w:r w:rsidR="00FE53A4" w:rsidRPr="004E4744">
        <w:rPr>
          <w:rFonts w:eastAsia="Calibri"/>
          <w:sz w:val="22"/>
          <w:szCs w:val="22"/>
        </w:rPr>
        <w:t>measured as SO</w:t>
      </w:r>
      <w:r w:rsidR="00FE53A4" w:rsidRPr="004E4744">
        <w:rPr>
          <w:rFonts w:eastAsia="Calibri"/>
          <w:sz w:val="22"/>
          <w:szCs w:val="22"/>
          <w:vertAlign w:val="subscript"/>
        </w:rPr>
        <w:t>2</w:t>
      </w:r>
      <w:r w:rsidR="00FE53A4" w:rsidRPr="004E4744">
        <w:rPr>
          <w:rFonts w:eastAsia="Calibri"/>
          <w:sz w:val="22"/>
          <w:szCs w:val="22"/>
        </w:rPr>
        <w:t xml:space="preserve"> and HCl, </w:t>
      </w:r>
      <w:r w:rsidR="00FE53A4">
        <w:rPr>
          <w:rFonts w:eastAsia="Calibri"/>
          <w:sz w:val="22"/>
          <w:szCs w:val="22"/>
        </w:rPr>
        <w:t xml:space="preserve">and </w:t>
      </w:r>
      <w:r w:rsidR="00FE53A4" w:rsidRPr="004E4744">
        <w:rPr>
          <w:sz w:val="22"/>
          <w:szCs w:val="22"/>
        </w:rPr>
        <w:t>MSW landfill emissions as non-</w:t>
      </w:r>
      <w:r w:rsidR="00FE53A4">
        <w:rPr>
          <w:sz w:val="22"/>
          <w:szCs w:val="22"/>
        </w:rPr>
        <w:t>methane organic compounds (NMOC)</w:t>
      </w:r>
      <w:r w:rsidR="00FE53A4" w:rsidRPr="004E4744">
        <w:rPr>
          <w:rFonts w:eastAsia="Calibri"/>
          <w:sz w:val="22"/>
          <w:szCs w:val="22"/>
        </w:rPr>
        <w:t xml:space="preserve">.  </w:t>
      </w:r>
    </w:p>
    <w:p w:rsidR="00FE53A4" w:rsidRDefault="00FE53A4" w:rsidP="00FE53A4">
      <w:pPr>
        <w:pStyle w:val="Default"/>
        <w:spacing w:after="60"/>
        <w:rPr>
          <w:sz w:val="22"/>
          <w:szCs w:val="22"/>
        </w:rPr>
      </w:pPr>
      <w:r w:rsidRPr="005C0768">
        <w:rPr>
          <w:rFonts w:eastAsia="Calibri"/>
          <w:sz w:val="22"/>
          <w:szCs w:val="22"/>
        </w:rPr>
        <w:t>As defined in Rule 62-210.200(1</w:t>
      </w:r>
      <w:r>
        <w:rPr>
          <w:rFonts w:eastAsia="Calibri"/>
          <w:sz w:val="22"/>
          <w:szCs w:val="22"/>
        </w:rPr>
        <w:t>8</w:t>
      </w:r>
      <w:r w:rsidRPr="005C0768">
        <w:rPr>
          <w:rFonts w:eastAsia="Calibri"/>
          <w:sz w:val="22"/>
          <w:szCs w:val="22"/>
        </w:rPr>
        <w:t xml:space="preserve">9)(a)1, F.A.C., </w:t>
      </w:r>
      <w:r>
        <w:rPr>
          <w:sz w:val="22"/>
          <w:szCs w:val="22"/>
        </w:rPr>
        <w:t>a stationary source is a “major stationary source” (major PSD source) if it emits or has the potential to emit (PTE):</w:t>
      </w:r>
    </w:p>
    <w:p w:rsidR="00FE53A4" w:rsidRPr="00D94522" w:rsidRDefault="00FE53A4" w:rsidP="00C070A4">
      <w:pPr>
        <w:pStyle w:val="Default"/>
        <w:numPr>
          <w:ilvl w:val="0"/>
          <w:numId w:val="12"/>
        </w:numPr>
        <w:spacing w:after="60"/>
        <w:ind w:left="360"/>
        <w:rPr>
          <w:rFonts w:eastAsia="Calibri"/>
          <w:sz w:val="22"/>
          <w:szCs w:val="22"/>
        </w:rPr>
      </w:pPr>
      <w:r>
        <w:rPr>
          <w:sz w:val="22"/>
          <w:szCs w:val="22"/>
        </w:rPr>
        <w:t>250 tons per year (</w:t>
      </w:r>
      <w:r w:rsidR="00546117">
        <w:rPr>
          <w:sz w:val="22"/>
          <w:szCs w:val="22"/>
        </w:rPr>
        <w:t>TPY</w:t>
      </w:r>
      <w:r>
        <w:rPr>
          <w:sz w:val="22"/>
          <w:szCs w:val="22"/>
        </w:rPr>
        <w:t xml:space="preserve">) or more of any PSD pollutant; </w:t>
      </w:r>
      <w:r w:rsidRPr="00AF28AC">
        <w:rPr>
          <w:sz w:val="22"/>
          <w:szCs w:val="22"/>
          <w:u w:val="single"/>
        </w:rPr>
        <w:t>or</w:t>
      </w:r>
      <w:r>
        <w:rPr>
          <w:sz w:val="22"/>
          <w:szCs w:val="22"/>
        </w:rPr>
        <w:t xml:space="preserve"> </w:t>
      </w:r>
    </w:p>
    <w:p w:rsidR="00FE53A4" w:rsidRDefault="00FE53A4" w:rsidP="00C070A4">
      <w:pPr>
        <w:pStyle w:val="Default"/>
        <w:numPr>
          <w:ilvl w:val="0"/>
          <w:numId w:val="12"/>
        </w:numPr>
        <w:spacing w:after="120"/>
        <w:ind w:left="360"/>
        <w:rPr>
          <w:rFonts w:eastAsia="Calibri"/>
          <w:sz w:val="22"/>
          <w:szCs w:val="22"/>
        </w:rPr>
      </w:pPr>
      <w:r>
        <w:rPr>
          <w:sz w:val="22"/>
          <w:szCs w:val="22"/>
        </w:rPr>
        <w:t xml:space="preserve">100 </w:t>
      </w:r>
      <w:r w:rsidR="00546117">
        <w:rPr>
          <w:sz w:val="22"/>
          <w:szCs w:val="22"/>
        </w:rPr>
        <w:t>TPY</w:t>
      </w:r>
      <w:r>
        <w:rPr>
          <w:sz w:val="22"/>
          <w:szCs w:val="22"/>
        </w:rPr>
        <w:t xml:space="preserve"> or more of any PSD pollutant </w:t>
      </w:r>
      <w:r w:rsidRPr="00AF28AC">
        <w:rPr>
          <w:sz w:val="22"/>
          <w:szCs w:val="22"/>
          <w:u w:val="single"/>
        </w:rPr>
        <w:t>and</w:t>
      </w:r>
      <w:r>
        <w:rPr>
          <w:sz w:val="22"/>
          <w:szCs w:val="22"/>
        </w:rPr>
        <w:t xml:space="preserve"> the facility belongs to one of the 28 listed PSD major facility categories.  </w:t>
      </w:r>
    </w:p>
    <w:p w:rsidR="00F54733" w:rsidRDefault="00714AC0" w:rsidP="00F54733">
      <w:pPr>
        <w:widowControl w:val="0"/>
        <w:spacing w:after="120"/>
        <w:rPr>
          <w:rFonts w:eastAsia="Calibri"/>
          <w:sz w:val="22"/>
          <w:szCs w:val="22"/>
        </w:rPr>
      </w:pPr>
      <w:r w:rsidRPr="00B81C9A">
        <w:rPr>
          <w:rFonts w:eastAsia="Calibri"/>
          <w:sz w:val="22"/>
          <w:szCs w:val="22"/>
        </w:rPr>
        <w:t xml:space="preserve">The list given in the citation includes the category of “fossil fuel-fired steam electric plants of more than 250 million British thermal units per hour heat input”.  </w:t>
      </w:r>
      <w:r w:rsidR="00546117">
        <w:rPr>
          <w:rFonts w:eastAsia="Calibri"/>
          <w:sz w:val="22"/>
          <w:szCs w:val="22"/>
        </w:rPr>
        <w:t>This</w:t>
      </w:r>
      <w:r w:rsidRPr="00B81C9A">
        <w:rPr>
          <w:rFonts w:eastAsia="Calibri"/>
          <w:sz w:val="22"/>
          <w:szCs w:val="22"/>
        </w:rPr>
        <w:t xml:space="preserve"> category applies to the </w:t>
      </w:r>
      <w:r w:rsidR="007944FF">
        <w:rPr>
          <w:rFonts w:eastAsia="Calibri"/>
          <w:sz w:val="22"/>
          <w:szCs w:val="22"/>
        </w:rPr>
        <w:t>Lauderdale</w:t>
      </w:r>
      <w:r>
        <w:rPr>
          <w:rFonts w:eastAsia="Calibri"/>
          <w:sz w:val="22"/>
          <w:szCs w:val="22"/>
        </w:rPr>
        <w:t xml:space="preserve"> Plant</w:t>
      </w:r>
      <w:r w:rsidRPr="00B81C9A">
        <w:rPr>
          <w:rFonts w:eastAsia="Calibri"/>
          <w:sz w:val="22"/>
          <w:szCs w:val="22"/>
        </w:rPr>
        <w:t xml:space="preserve"> before and after the proposed project.  The </w:t>
      </w:r>
      <w:r w:rsidR="007944FF">
        <w:rPr>
          <w:rFonts w:eastAsia="Calibri"/>
          <w:sz w:val="22"/>
          <w:szCs w:val="22"/>
        </w:rPr>
        <w:t>Lauderdale</w:t>
      </w:r>
      <w:r>
        <w:rPr>
          <w:rFonts w:eastAsia="Calibri"/>
          <w:sz w:val="22"/>
          <w:szCs w:val="22"/>
        </w:rPr>
        <w:t xml:space="preserve"> Plant </w:t>
      </w:r>
      <w:r w:rsidRPr="00B81C9A">
        <w:rPr>
          <w:rFonts w:eastAsia="Calibri"/>
          <w:sz w:val="22"/>
          <w:szCs w:val="22"/>
        </w:rPr>
        <w:t xml:space="preserve">is a major stationary source based on actual emissions of and potential to emit </w:t>
      </w:r>
      <w:r>
        <w:rPr>
          <w:rFonts w:eastAsia="Calibri"/>
          <w:sz w:val="22"/>
          <w:szCs w:val="22"/>
        </w:rPr>
        <w:t>100</w:t>
      </w:r>
      <w:r w:rsidRPr="00B81C9A">
        <w:rPr>
          <w:rFonts w:eastAsia="Calibri"/>
          <w:sz w:val="22"/>
          <w:szCs w:val="22"/>
        </w:rPr>
        <w:t xml:space="preserve"> </w:t>
      </w:r>
      <w:r w:rsidR="00546117">
        <w:rPr>
          <w:rFonts w:eastAsia="Calibri"/>
          <w:sz w:val="22"/>
          <w:szCs w:val="22"/>
        </w:rPr>
        <w:t>TPY</w:t>
      </w:r>
      <w:r w:rsidRPr="00B81C9A">
        <w:rPr>
          <w:rFonts w:eastAsia="Calibri"/>
          <w:sz w:val="22"/>
          <w:szCs w:val="22"/>
        </w:rPr>
        <w:t xml:space="preserve"> or more of several individual PSD pollutants.</w:t>
      </w:r>
      <w:r w:rsidR="00F54733" w:rsidRPr="005C0768">
        <w:rPr>
          <w:rFonts w:eastAsia="Calibri"/>
          <w:sz w:val="22"/>
          <w:szCs w:val="22"/>
        </w:rPr>
        <w:t xml:space="preserve">  </w:t>
      </w:r>
    </w:p>
    <w:p w:rsidR="00F54733" w:rsidRPr="005C0768" w:rsidRDefault="00F54733" w:rsidP="001D6791">
      <w:pPr>
        <w:widowControl w:val="0"/>
        <w:spacing w:after="120"/>
        <w:rPr>
          <w:rFonts w:eastAsia="Calibri"/>
          <w:sz w:val="22"/>
          <w:szCs w:val="22"/>
        </w:rPr>
      </w:pPr>
      <w:r w:rsidRPr="005C0768">
        <w:rPr>
          <w:rFonts w:eastAsia="Calibri"/>
          <w:sz w:val="22"/>
          <w:szCs w:val="22"/>
        </w:rPr>
        <w:t>For major stationary sources</w:t>
      </w:r>
      <w:r>
        <w:rPr>
          <w:rFonts w:eastAsia="Calibri"/>
          <w:sz w:val="22"/>
          <w:szCs w:val="22"/>
        </w:rPr>
        <w:t xml:space="preserve"> such as </w:t>
      </w:r>
      <w:r w:rsidR="00137D0C">
        <w:rPr>
          <w:rFonts w:eastAsia="Calibri"/>
          <w:sz w:val="22"/>
          <w:szCs w:val="22"/>
        </w:rPr>
        <w:t xml:space="preserve">the </w:t>
      </w:r>
      <w:r w:rsidR="007944FF">
        <w:rPr>
          <w:rFonts w:eastAsia="Calibri"/>
          <w:sz w:val="22"/>
          <w:szCs w:val="22"/>
        </w:rPr>
        <w:t>Lauderdale</w:t>
      </w:r>
      <w:r w:rsidR="00714AC0">
        <w:rPr>
          <w:rFonts w:eastAsia="Calibri"/>
          <w:sz w:val="22"/>
          <w:szCs w:val="22"/>
        </w:rPr>
        <w:t xml:space="preserve"> Plant</w:t>
      </w:r>
      <w:r w:rsidRPr="005C0768">
        <w:rPr>
          <w:rFonts w:eastAsia="Calibri"/>
          <w:sz w:val="22"/>
          <w:szCs w:val="22"/>
        </w:rPr>
        <w:t xml:space="preserve">, PSD applicability </w:t>
      </w:r>
      <w:r>
        <w:rPr>
          <w:rFonts w:eastAsia="Calibri"/>
          <w:sz w:val="22"/>
          <w:szCs w:val="22"/>
        </w:rPr>
        <w:t xml:space="preserve">for modification projects </w:t>
      </w:r>
      <w:r w:rsidRPr="005C0768">
        <w:rPr>
          <w:rFonts w:eastAsia="Calibri"/>
          <w:sz w:val="22"/>
          <w:szCs w:val="22"/>
        </w:rPr>
        <w:t>is based on thresholds known as the significant emission rates (SER</w:t>
      </w:r>
      <w:r>
        <w:rPr>
          <w:rFonts w:eastAsia="Calibri"/>
          <w:sz w:val="22"/>
          <w:szCs w:val="22"/>
        </w:rPr>
        <w:t xml:space="preserve">) as defined in Rule 62-210.200(274), </w:t>
      </w:r>
      <w:r w:rsidRPr="005C0768">
        <w:rPr>
          <w:rFonts w:eastAsia="Calibri"/>
          <w:sz w:val="22"/>
          <w:szCs w:val="22"/>
        </w:rPr>
        <w:t xml:space="preserve">F.A.C.  </w:t>
      </w:r>
      <w:r>
        <w:rPr>
          <w:rFonts w:eastAsia="Calibri"/>
          <w:sz w:val="22"/>
          <w:szCs w:val="22"/>
        </w:rPr>
        <w:t>Any “net e</w:t>
      </w:r>
      <w:r w:rsidRPr="005C0768">
        <w:rPr>
          <w:rFonts w:eastAsia="Calibri"/>
          <w:sz w:val="22"/>
          <w:szCs w:val="22"/>
        </w:rPr>
        <w:t xml:space="preserve">missions </w:t>
      </w:r>
      <w:r>
        <w:rPr>
          <w:rFonts w:eastAsia="Calibri"/>
          <w:sz w:val="22"/>
          <w:szCs w:val="22"/>
        </w:rPr>
        <w:t xml:space="preserve">increase” as defined in Rule 62-210.200(204), F.A.C. </w:t>
      </w:r>
      <w:r w:rsidRPr="005C0768">
        <w:rPr>
          <w:rFonts w:eastAsia="Calibri"/>
          <w:sz w:val="22"/>
          <w:szCs w:val="22"/>
        </w:rPr>
        <w:t xml:space="preserve">of </w:t>
      </w:r>
      <w:r>
        <w:rPr>
          <w:rFonts w:eastAsia="Calibri"/>
          <w:sz w:val="22"/>
          <w:szCs w:val="22"/>
        </w:rPr>
        <w:t xml:space="preserve">a </w:t>
      </w:r>
      <w:r w:rsidRPr="005C0768">
        <w:rPr>
          <w:rFonts w:eastAsia="Calibri"/>
          <w:sz w:val="22"/>
          <w:szCs w:val="22"/>
        </w:rPr>
        <w:t>PSD pollutant from the project that equal</w:t>
      </w:r>
      <w:r>
        <w:rPr>
          <w:rFonts w:eastAsia="Calibri"/>
          <w:sz w:val="22"/>
          <w:szCs w:val="22"/>
        </w:rPr>
        <w:t>s</w:t>
      </w:r>
      <w:r w:rsidRPr="005C0768">
        <w:rPr>
          <w:rFonts w:eastAsia="Calibri"/>
          <w:sz w:val="22"/>
          <w:szCs w:val="22"/>
        </w:rPr>
        <w:t xml:space="preserve"> or exceed</w:t>
      </w:r>
      <w:r>
        <w:rPr>
          <w:rFonts w:eastAsia="Calibri"/>
          <w:sz w:val="22"/>
          <w:szCs w:val="22"/>
        </w:rPr>
        <w:t>s</w:t>
      </w:r>
      <w:r w:rsidRPr="005C0768">
        <w:rPr>
          <w:rFonts w:eastAsia="Calibri"/>
          <w:sz w:val="22"/>
          <w:szCs w:val="22"/>
        </w:rPr>
        <w:t xml:space="preserve"> the</w:t>
      </w:r>
      <w:r>
        <w:rPr>
          <w:rFonts w:eastAsia="Calibri"/>
          <w:sz w:val="22"/>
          <w:szCs w:val="22"/>
        </w:rPr>
        <w:t xml:space="preserve"> respective </w:t>
      </w:r>
      <w:r w:rsidRPr="005C0768">
        <w:rPr>
          <w:rFonts w:eastAsia="Calibri"/>
          <w:sz w:val="22"/>
          <w:szCs w:val="22"/>
        </w:rPr>
        <w:t xml:space="preserve">SER </w:t>
      </w:r>
      <w:r>
        <w:rPr>
          <w:rFonts w:eastAsia="Calibri"/>
          <w:sz w:val="22"/>
          <w:szCs w:val="22"/>
        </w:rPr>
        <w:t xml:space="preserve">is </w:t>
      </w:r>
      <w:r w:rsidRPr="005C0768">
        <w:rPr>
          <w:rFonts w:eastAsia="Calibri"/>
          <w:sz w:val="22"/>
          <w:szCs w:val="22"/>
        </w:rPr>
        <w:t>considered “significant”.  SER also means any emissions rate or any net emissions increase of a PSD pollutant associated with a major stationary source or major modification which would construct within 10 k</w:t>
      </w:r>
      <w:r>
        <w:rPr>
          <w:rFonts w:eastAsia="Calibri"/>
          <w:sz w:val="22"/>
          <w:szCs w:val="22"/>
        </w:rPr>
        <w:t>m</w:t>
      </w:r>
      <w:r w:rsidRPr="005C0768">
        <w:rPr>
          <w:rFonts w:eastAsia="Calibri"/>
          <w:sz w:val="22"/>
          <w:szCs w:val="22"/>
        </w:rPr>
        <w:t xml:space="preserve"> of a Class I area and have an impact on such area equal to or greater than 1 gram per cubic meter, 24-hour average.  </w:t>
      </w:r>
    </w:p>
    <w:p w:rsidR="00F54733" w:rsidRPr="00714AC0" w:rsidRDefault="00F54733" w:rsidP="009F6836">
      <w:pPr>
        <w:widowControl w:val="0"/>
        <w:spacing w:after="120"/>
        <w:rPr>
          <w:rFonts w:eastAsia="Calibri"/>
          <w:sz w:val="22"/>
          <w:szCs w:val="22"/>
        </w:rPr>
      </w:pPr>
      <w:r w:rsidRPr="005C0768">
        <w:rPr>
          <w:rFonts w:eastAsia="Calibri"/>
          <w:sz w:val="22"/>
          <w:szCs w:val="22"/>
        </w:rPr>
        <w:t xml:space="preserve">Although a facility may be “major” </w:t>
      </w:r>
      <w:r>
        <w:rPr>
          <w:rFonts w:eastAsia="Calibri"/>
          <w:sz w:val="22"/>
          <w:szCs w:val="22"/>
        </w:rPr>
        <w:t xml:space="preserve">(i.e. emits or has the potential to emit 100 or 250 TPY as applicable) </w:t>
      </w:r>
      <w:r w:rsidRPr="005C0768">
        <w:rPr>
          <w:rFonts w:eastAsia="Calibri"/>
          <w:sz w:val="22"/>
          <w:szCs w:val="22"/>
        </w:rPr>
        <w:t xml:space="preserve">for only one PSD pollutant, a project must include BACT controls for any PSD pollutant that exceeds the corresponding </w:t>
      </w:r>
      <w:r w:rsidR="00546117">
        <w:rPr>
          <w:rFonts w:eastAsia="Calibri"/>
          <w:sz w:val="22"/>
          <w:szCs w:val="22"/>
        </w:rPr>
        <w:t>SER</w:t>
      </w:r>
      <w:r w:rsidR="001D6791">
        <w:rPr>
          <w:rFonts w:eastAsia="Calibri"/>
          <w:sz w:val="22"/>
          <w:szCs w:val="22"/>
        </w:rPr>
        <w:t xml:space="preserve"> </w:t>
      </w:r>
      <w:r w:rsidRPr="005C0768">
        <w:rPr>
          <w:rFonts w:eastAsia="Calibri"/>
          <w:sz w:val="22"/>
          <w:szCs w:val="22"/>
        </w:rPr>
        <w:t xml:space="preserve">given </w:t>
      </w:r>
      <w:r w:rsidRPr="00714AC0">
        <w:rPr>
          <w:rFonts w:eastAsia="Calibri"/>
          <w:sz w:val="22"/>
          <w:szCs w:val="22"/>
        </w:rPr>
        <w:t xml:space="preserve">in </w:t>
      </w:r>
      <w:r w:rsidR="00714AC0" w:rsidRPr="0078280E">
        <w:rPr>
          <w:rFonts w:eastAsia="Calibri"/>
          <w:b/>
          <w:sz w:val="22"/>
          <w:szCs w:val="22"/>
        </w:rPr>
        <w:fldChar w:fldCharType="begin"/>
      </w:r>
      <w:r w:rsidR="00714AC0" w:rsidRPr="0078280E">
        <w:rPr>
          <w:rFonts w:eastAsia="Calibri"/>
          <w:b/>
          <w:sz w:val="22"/>
          <w:szCs w:val="22"/>
        </w:rPr>
        <w:instrText xml:space="preserve"> REF _Ref365378550 \h  \* MERGEFORMAT </w:instrText>
      </w:r>
      <w:r w:rsidR="00714AC0" w:rsidRPr="0078280E">
        <w:rPr>
          <w:rFonts w:eastAsia="Calibri"/>
          <w:b/>
          <w:sz w:val="22"/>
          <w:szCs w:val="22"/>
        </w:rPr>
      </w:r>
      <w:r w:rsidR="00714AC0" w:rsidRPr="0078280E">
        <w:rPr>
          <w:rFonts w:eastAsia="Calibri"/>
          <w:b/>
          <w:sz w:val="22"/>
          <w:szCs w:val="22"/>
        </w:rPr>
        <w:fldChar w:fldCharType="separate"/>
      </w:r>
      <w:r w:rsidR="007F3589" w:rsidRPr="007F3589">
        <w:rPr>
          <w:b/>
          <w:sz w:val="22"/>
          <w:szCs w:val="22"/>
        </w:rPr>
        <w:t xml:space="preserve">Table </w:t>
      </w:r>
      <w:r w:rsidR="007F3589" w:rsidRPr="007F3589">
        <w:rPr>
          <w:b/>
          <w:noProof/>
          <w:sz w:val="22"/>
          <w:szCs w:val="22"/>
        </w:rPr>
        <w:t>4</w:t>
      </w:r>
      <w:r w:rsidR="00714AC0" w:rsidRPr="0078280E">
        <w:rPr>
          <w:rFonts w:eastAsia="Calibri"/>
          <w:b/>
          <w:sz w:val="22"/>
          <w:szCs w:val="22"/>
        </w:rPr>
        <w:fldChar w:fldCharType="end"/>
      </w:r>
      <w:r w:rsidRPr="00714AC0">
        <w:rPr>
          <w:rFonts w:eastAsia="Calibri"/>
          <w:sz w:val="22"/>
          <w:szCs w:val="22"/>
        </w:rPr>
        <w:t>.</w:t>
      </w:r>
    </w:p>
    <w:p w:rsidR="00714AC0" w:rsidRPr="004E4744" w:rsidRDefault="00714AC0" w:rsidP="00714AC0">
      <w:pPr>
        <w:widowControl w:val="0"/>
        <w:spacing w:after="120"/>
        <w:rPr>
          <w:rFonts w:eastAsia="Calibri"/>
          <w:sz w:val="22"/>
          <w:szCs w:val="22"/>
        </w:rPr>
      </w:pPr>
      <w:r>
        <w:rPr>
          <w:rFonts w:eastAsia="Calibri"/>
          <w:sz w:val="22"/>
          <w:szCs w:val="22"/>
        </w:rPr>
        <w:t>According to 40 CFR 52.21, six greenhouse gases (</w:t>
      </w:r>
      <w:r w:rsidRPr="00ED735F">
        <w:rPr>
          <w:rFonts w:eastAsia="Calibri"/>
          <w:sz w:val="22"/>
          <w:szCs w:val="22"/>
        </w:rPr>
        <w:t>GHG</w:t>
      </w:r>
      <w:r>
        <w:rPr>
          <w:rFonts w:eastAsia="Calibri"/>
          <w:sz w:val="22"/>
          <w:szCs w:val="22"/>
        </w:rPr>
        <w:t>),</w:t>
      </w:r>
      <w:r w:rsidRPr="00ED735F">
        <w:rPr>
          <w:rFonts w:eastAsia="Calibri"/>
          <w:sz w:val="22"/>
          <w:szCs w:val="22"/>
        </w:rPr>
        <w:t xml:space="preserve"> </w:t>
      </w:r>
      <w:r>
        <w:rPr>
          <w:rFonts w:eastAsia="Calibri"/>
          <w:sz w:val="22"/>
          <w:szCs w:val="22"/>
        </w:rPr>
        <w:t xml:space="preserve">are </w:t>
      </w:r>
      <w:r w:rsidRPr="00ED735F">
        <w:rPr>
          <w:rFonts w:eastAsia="Calibri"/>
          <w:sz w:val="22"/>
          <w:szCs w:val="22"/>
        </w:rPr>
        <w:t>also subject to regulation</w:t>
      </w:r>
      <w:r>
        <w:rPr>
          <w:rFonts w:eastAsia="Calibri"/>
          <w:sz w:val="22"/>
          <w:szCs w:val="22"/>
        </w:rPr>
        <w:t xml:space="preserve"> a</w:t>
      </w:r>
      <w:r w:rsidRPr="00ED735F">
        <w:rPr>
          <w:rFonts w:eastAsia="Calibri"/>
          <w:sz w:val="22"/>
          <w:szCs w:val="22"/>
        </w:rPr>
        <w:t>t new stationary source</w:t>
      </w:r>
      <w:r>
        <w:rPr>
          <w:rFonts w:eastAsia="Calibri"/>
          <w:sz w:val="22"/>
          <w:szCs w:val="22"/>
        </w:rPr>
        <w:t>s</w:t>
      </w:r>
      <w:r w:rsidRPr="00ED735F">
        <w:rPr>
          <w:rFonts w:eastAsia="Calibri"/>
          <w:sz w:val="22"/>
          <w:szCs w:val="22"/>
        </w:rPr>
        <w:t xml:space="preserve"> that will emit or have the potential to emit 100,000 </w:t>
      </w:r>
      <w:r w:rsidR="00546117">
        <w:rPr>
          <w:rFonts w:eastAsia="Calibri"/>
          <w:sz w:val="22"/>
          <w:szCs w:val="22"/>
        </w:rPr>
        <w:t>TPY</w:t>
      </w:r>
      <w:r>
        <w:rPr>
          <w:rFonts w:eastAsia="Calibri"/>
          <w:sz w:val="22"/>
          <w:szCs w:val="22"/>
        </w:rPr>
        <w:t xml:space="preserve"> expressed as the carbon dioxide equivalent emissions (</w:t>
      </w:r>
      <w:r w:rsidRPr="00ED735F">
        <w:rPr>
          <w:rFonts w:eastAsia="Calibri"/>
          <w:sz w:val="22"/>
          <w:szCs w:val="22"/>
        </w:rPr>
        <w:t>CO</w:t>
      </w:r>
      <w:r w:rsidRPr="00ED735F">
        <w:rPr>
          <w:rFonts w:eastAsia="Calibri"/>
          <w:sz w:val="22"/>
          <w:szCs w:val="22"/>
          <w:vertAlign w:val="subscript"/>
        </w:rPr>
        <w:t>2</w:t>
      </w:r>
      <w:r w:rsidRPr="00ED735F">
        <w:rPr>
          <w:rFonts w:eastAsia="Calibri"/>
          <w:sz w:val="22"/>
          <w:szCs w:val="22"/>
        </w:rPr>
        <w:t>e</w:t>
      </w:r>
      <w:r>
        <w:rPr>
          <w:rFonts w:eastAsia="Calibri"/>
          <w:sz w:val="22"/>
          <w:szCs w:val="22"/>
        </w:rPr>
        <w:t xml:space="preserve">).  </w:t>
      </w:r>
      <w:r w:rsidR="00546117">
        <w:rPr>
          <w:rFonts w:eastAsia="Calibri"/>
          <w:sz w:val="22"/>
          <w:szCs w:val="22"/>
        </w:rPr>
        <w:t>The PSD SER for CO</w:t>
      </w:r>
      <w:r w:rsidR="00546117" w:rsidRPr="00546117">
        <w:rPr>
          <w:rFonts w:eastAsia="Calibri"/>
          <w:sz w:val="22"/>
          <w:szCs w:val="22"/>
          <w:vertAlign w:val="subscript"/>
        </w:rPr>
        <w:t>2</w:t>
      </w:r>
      <w:r w:rsidR="00546117">
        <w:rPr>
          <w:rFonts w:eastAsia="Calibri"/>
          <w:sz w:val="22"/>
          <w:szCs w:val="22"/>
        </w:rPr>
        <w:t xml:space="preserve">e is 75,000 TPY.  </w:t>
      </w:r>
      <w:r>
        <w:rPr>
          <w:rFonts w:eastAsia="Calibri"/>
          <w:sz w:val="22"/>
          <w:szCs w:val="22"/>
        </w:rPr>
        <w:t xml:space="preserve">This requirement </w:t>
      </w:r>
      <w:r w:rsidRPr="00ED735F">
        <w:rPr>
          <w:rFonts w:eastAsia="Calibri"/>
          <w:sz w:val="22"/>
          <w:szCs w:val="22"/>
        </w:rPr>
        <w:t>has not been incorporated into Department rules</w:t>
      </w:r>
      <w:r>
        <w:rPr>
          <w:rFonts w:eastAsia="Calibri"/>
          <w:sz w:val="22"/>
          <w:szCs w:val="22"/>
        </w:rPr>
        <w:t xml:space="preserve"> but is a separate requirement of the EPA.  </w:t>
      </w:r>
    </w:p>
    <w:p w:rsidR="00714AC0" w:rsidRPr="00151783" w:rsidRDefault="00714AC0" w:rsidP="00714AC0">
      <w:pPr>
        <w:pStyle w:val="Caption"/>
        <w:spacing w:before="0"/>
        <w:jc w:val="center"/>
        <w:rPr>
          <w:rFonts w:ascii="Times New Roman Bold" w:hAnsi="Times New Roman Bold"/>
          <w:caps w:val="0"/>
          <w:color w:val="000000"/>
          <w:szCs w:val="22"/>
        </w:rPr>
      </w:pPr>
      <w:bookmarkStart w:id="9" w:name="_Ref365378550"/>
      <w:r>
        <w:t xml:space="preserve">Table </w:t>
      </w:r>
      <w:fldSimple w:instr=" SEQ Table \* ARABIC ">
        <w:r w:rsidR="007F3589">
          <w:rPr>
            <w:noProof/>
          </w:rPr>
          <w:t>4</w:t>
        </w:r>
      </w:fldSimple>
      <w:bookmarkEnd w:id="9"/>
      <w:r>
        <w:t xml:space="preserve"> </w:t>
      </w:r>
      <w:r w:rsidRPr="00151783">
        <w:rPr>
          <w:rFonts w:ascii="Times New Roman Bold" w:hAnsi="Times New Roman Bold"/>
          <w:color w:val="000000"/>
          <w:szCs w:val="22"/>
        </w:rPr>
        <w:t xml:space="preserve">– List of SER by PSD-Pollutant. </w:t>
      </w:r>
      <w:r w:rsidRPr="00151783">
        <w:rPr>
          <w:rFonts w:ascii="Times New Roman Bold" w:hAnsi="Times New Roman Bold"/>
          <w:color w:val="000000"/>
          <w:szCs w:val="22"/>
          <w:vertAlign w:val="superscript"/>
        </w:rPr>
        <w:t>1</w:t>
      </w:r>
    </w:p>
    <w:tbl>
      <w:tblPr>
        <w:tblW w:w="9291" w:type="dxa"/>
        <w:tblInd w:w="-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60"/>
        <w:gridCol w:w="2367"/>
        <w:gridCol w:w="2067"/>
        <w:gridCol w:w="2697"/>
      </w:tblGrid>
      <w:tr w:rsidR="00714AC0" w:rsidRPr="005C0768" w:rsidTr="002E7738">
        <w:trPr>
          <w:trHeight w:val="290"/>
        </w:trPr>
        <w:tc>
          <w:tcPr>
            <w:tcW w:w="2160" w:type="dxa"/>
            <w:tcBorders>
              <w:top w:val="single" w:sz="12" w:space="0" w:color="auto"/>
              <w:left w:val="single" w:sz="12" w:space="0" w:color="auto"/>
              <w:bottom w:val="single" w:sz="4" w:space="0" w:color="auto"/>
              <w:right w:val="single" w:sz="4" w:space="0" w:color="auto"/>
            </w:tcBorders>
            <w:shd w:val="clear" w:color="auto" w:fill="C6D9F1"/>
            <w:vAlign w:val="center"/>
            <w:hideMark/>
          </w:tcPr>
          <w:p w:rsidR="00714AC0" w:rsidRPr="00714AC0" w:rsidRDefault="00714AC0" w:rsidP="00714AC0">
            <w:pPr>
              <w:autoSpaceDE w:val="0"/>
              <w:autoSpaceDN w:val="0"/>
              <w:adjustRightInd w:val="0"/>
              <w:spacing w:before="20" w:after="20"/>
              <w:jc w:val="center"/>
              <w:rPr>
                <w:b/>
                <w:color w:val="000000"/>
              </w:rPr>
            </w:pPr>
            <w:r w:rsidRPr="00714AC0">
              <w:rPr>
                <w:b/>
                <w:color w:val="000000"/>
              </w:rPr>
              <w:t>Pollutant</w:t>
            </w:r>
          </w:p>
        </w:tc>
        <w:tc>
          <w:tcPr>
            <w:tcW w:w="2367" w:type="dxa"/>
            <w:tcBorders>
              <w:top w:val="single" w:sz="12" w:space="0" w:color="auto"/>
              <w:left w:val="single" w:sz="4" w:space="0" w:color="auto"/>
              <w:bottom w:val="single" w:sz="4" w:space="0" w:color="auto"/>
              <w:right w:val="single" w:sz="4" w:space="0" w:color="auto"/>
            </w:tcBorders>
            <w:shd w:val="clear" w:color="auto" w:fill="C6D9F1"/>
            <w:vAlign w:val="center"/>
            <w:hideMark/>
          </w:tcPr>
          <w:p w:rsidR="00714AC0" w:rsidRPr="00714AC0" w:rsidRDefault="00714AC0" w:rsidP="00714AC0">
            <w:pPr>
              <w:autoSpaceDE w:val="0"/>
              <w:autoSpaceDN w:val="0"/>
              <w:adjustRightInd w:val="0"/>
              <w:spacing w:before="20" w:after="20"/>
              <w:jc w:val="center"/>
              <w:rPr>
                <w:b/>
                <w:color w:val="000000"/>
              </w:rPr>
            </w:pPr>
            <w:r w:rsidRPr="00714AC0">
              <w:rPr>
                <w:b/>
                <w:color w:val="000000"/>
              </w:rPr>
              <w:t>SER (TPY)</w:t>
            </w:r>
          </w:p>
        </w:tc>
        <w:tc>
          <w:tcPr>
            <w:tcW w:w="2067" w:type="dxa"/>
            <w:tcBorders>
              <w:top w:val="single" w:sz="12" w:space="0" w:color="auto"/>
              <w:left w:val="single" w:sz="4" w:space="0" w:color="auto"/>
              <w:bottom w:val="single" w:sz="4" w:space="0" w:color="auto"/>
              <w:right w:val="single" w:sz="4" w:space="0" w:color="auto"/>
            </w:tcBorders>
            <w:shd w:val="clear" w:color="auto" w:fill="C6D9F1"/>
            <w:vAlign w:val="center"/>
            <w:hideMark/>
          </w:tcPr>
          <w:p w:rsidR="00714AC0" w:rsidRPr="00714AC0" w:rsidRDefault="00714AC0" w:rsidP="00714AC0">
            <w:pPr>
              <w:autoSpaceDE w:val="0"/>
              <w:autoSpaceDN w:val="0"/>
              <w:adjustRightInd w:val="0"/>
              <w:spacing w:before="20" w:after="20"/>
              <w:jc w:val="center"/>
              <w:rPr>
                <w:b/>
                <w:color w:val="000000"/>
              </w:rPr>
            </w:pPr>
            <w:r w:rsidRPr="00714AC0">
              <w:rPr>
                <w:b/>
                <w:color w:val="000000"/>
              </w:rPr>
              <w:t>Pollutant</w:t>
            </w:r>
          </w:p>
        </w:tc>
        <w:tc>
          <w:tcPr>
            <w:tcW w:w="2697" w:type="dxa"/>
            <w:tcBorders>
              <w:top w:val="single" w:sz="12" w:space="0" w:color="auto"/>
              <w:left w:val="single" w:sz="4" w:space="0" w:color="auto"/>
              <w:bottom w:val="single" w:sz="4" w:space="0" w:color="auto"/>
              <w:right w:val="single" w:sz="12" w:space="0" w:color="auto"/>
            </w:tcBorders>
            <w:shd w:val="clear" w:color="auto" w:fill="C6D9F1"/>
            <w:vAlign w:val="center"/>
            <w:hideMark/>
          </w:tcPr>
          <w:p w:rsidR="00714AC0" w:rsidRPr="00714AC0" w:rsidRDefault="00714AC0" w:rsidP="00714AC0">
            <w:pPr>
              <w:autoSpaceDE w:val="0"/>
              <w:autoSpaceDN w:val="0"/>
              <w:adjustRightInd w:val="0"/>
              <w:spacing w:before="20" w:after="20"/>
              <w:jc w:val="center"/>
              <w:rPr>
                <w:b/>
                <w:color w:val="000000"/>
              </w:rPr>
            </w:pPr>
            <w:r w:rsidRPr="00714AC0">
              <w:rPr>
                <w:b/>
                <w:color w:val="000000"/>
              </w:rPr>
              <w:t>SER (TPY)</w:t>
            </w:r>
          </w:p>
        </w:tc>
      </w:tr>
      <w:tr w:rsidR="00714AC0" w:rsidRPr="005C0768" w:rsidTr="002E7738">
        <w:trPr>
          <w:trHeight w:val="264"/>
        </w:trPr>
        <w:tc>
          <w:tcPr>
            <w:tcW w:w="2160" w:type="dxa"/>
            <w:tcBorders>
              <w:top w:val="single" w:sz="4" w:space="0" w:color="auto"/>
              <w:left w:val="single" w:sz="12"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CO</w:t>
            </w:r>
          </w:p>
        </w:tc>
        <w:tc>
          <w:tcPr>
            <w:tcW w:w="2367" w:type="dxa"/>
            <w:tcBorders>
              <w:top w:val="single" w:sz="4" w:space="0" w:color="auto"/>
              <w:left w:val="single" w:sz="4" w:space="0" w:color="auto"/>
              <w:bottom w:val="single" w:sz="6" w:space="0" w:color="000000"/>
              <w:right w:val="single" w:sz="4"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100</w:t>
            </w:r>
          </w:p>
        </w:tc>
        <w:tc>
          <w:tcPr>
            <w:tcW w:w="2067" w:type="dxa"/>
            <w:tcBorders>
              <w:top w:val="single" w:sz="4" w:space="0" w:color="auto"/>
              <w:left w:val="single" w:sz="4"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NO</w:t>
            </w:r>
            <w:r w:rsidRPr="00714AC0">
              <w:rPr>
                <w:color w:val="000000"/>
                <w:vertAlign w:val="subscript"/>
              </w:rPr>
              <w:t>X</w:t>
            </w:r>
          </w:p>
        </w:tc>
        <w:tc>
          <w:tcPr>
            <w:tcW w:w="2697" w:type="dxa"/>
            <w:tcBorders>
              <w:top w:val="single" w:sz="4" w:space="0" w:color="auto"/>
              <w:left w:val="single" w:sz="4" w:space="0" w:color="auto"/>
              <w:bottom w:val="single" w:sz="6" w:space="0" w:color="000000"/>
              <w:right w:val="single" w:sz="12"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40</w:t>
            </w:r>
          </w:p>
        </w:tc>
      </w:tr>
      <w:tr w:rsidR="00714AC0" w:rsidRPr="005C0768" w:rsidTr="002E7738">
        <w:trPr>
          <w:trHeight w:val="264"/>
        </w:trPr>
        <w:tc>
          <w:tcPr>
            <w:tcW w:w="2160" w:type="dxa"/>
            <w:tcBorders>
              <w:top w:val="single" w:sz="6" w:space="0" w:color="000000"/>
              <w:left w:val="single" w:sz="12"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PM/PM</w:t>
            </w:r>
            <w:r w:rsidRPr="00714AC0">
              <w:rPr>
                <w:vertAlign w:val="subscript"/>
              </w:rPr>
              <w:t>10</w:t>
            </w:r>
            <w:r w:rsidRPr="00714AC0">
              <w:rPr>
                <w:color w:val="000000"/>
              </w:rPr>
              <w:t>/PM</w:t>
            </w:r>
            <w:r w:rsidRPr="00714AC0">
              <w:rPr>
                <w:color w:val="000000"/>
                <w:vertAlign w:val="subscript"/>
              </w:rPr>
              <w:t>2.5</w:t>
            </w:r>
          </w:p>
        </w:tc>
        <w:tc>
          <w:tcPr>
            <w:tcW w:w="2367"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25/15/10</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 xml:space="preserve">Ozone (VOC) </w:t>
            </w:r>
            <w:r w:rsidRPr="00714AC0">
              <w:rPr>
                <w:b/>
                <w:color w:val="000000"/>
                <w:vertAlign w:val="superscript"/>
              </w:rPr>
              <w:t>2</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40</w:t>
            </w:r>
          </w:p>
        </w:tc>
      </w:tr>
      <w:tr w:rsidR="00714AC0" w:rsidRPr="005C0768" w:rsidTr="002E7738">
        <w:trPr>
          <w:trHeight w:val="264"/>
        </w:trPr>
        <w:tc>
          <w:tcPr>
            <w:tcW w:w="2160" w:type="dxa"/>
            <w:tcBorders>
              <w:top w:val="single" w:sz="6" w:space="0" w:color="000000"/>
              <w:left w:val="single" w:sz="12"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PM</w:t>
            </w:r>
            <w:r w:rsidRPr="00714AC0">
              <w:rPr>
                <w:color w:val="000000"/>
                <w:vertAlign w:val="subscript"/>
              </w:rPr>
              <w:t>2.5</w:t>
            </w:r>
            <w:r w:rsidRPr="00714AC0">
              <w:rPr>
                <w:color w:val="000000"/>
              </w:rPr>
              <w:t xml:space="preserve"> (NO</w:t>
            </w:r>
            <w:r w:rsidRPr="00714AC0">
              <w:rPr>
                <w:vertAlign w:val="subscript"/>
              </w:rPr>
              <w:t>X</w:t>
            </w:r>
            <w:r w:rsidRPr="00714AC0">
              <w:rPr>
                <w:color w:val="000000"/>
              </w:rPr>
              <w:t>)</w:t>
            </w:r>
          </w:p>
        </w:tc>
        <w:tc>
          <w:tcPr>
            <w:tcW w:w="2367"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714AC0" w:rsidRPr="00714AC0" w:rsidRDefault="00714AC0" w:rsidP="00280926">
            <w:pPr>
              <w:autoSpaceDE w:val="0"/>
              <w:autoSpaceDN w:val="0"/>
              <w:adjustRightInd w:val="0"/>
              <w:spacing w:before="20" w:after="20"/>
              <w:jc w:val="center"/>
              <w:rPr>
                <w:color w:val="000000"/>
              </w:rPr>
            </w:pPr>
            <w:r w:rsidRPr="00714AC0">
              <w:rPr>
                <w:color w:val="000000"/>
              </w:rPr>
              <w:t>40</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PM</w:t>
            </w:r>
            <w:r w:rsidRPr="00714AC0">
              <w:rPr>
                <w:color w:val="000000"/>
                <w:vertAlign w:val="subscript"/>
              </w:rPr>
              <w:t>2.5</w:t>
            </w:r>
            <w:r w:rsidRPr="00714AC0">
              <w:rPr>
                <w:color w:val="000000"/>
              </w:rPr>
              <w:t xml:space="preserve"> (SO</w:t>
            </w:r>
            <w:r w:rsidRPr="00714AC0">
              <w:rPr>
                <w:vertAlign w:val="subscript"/>
              </w:rPr>
              <w:t>2</w:t>
            </w:r>
            <w:r w:rsidRPr="00714AC0">
              <w:rPr>
                <w:color w:val="000000"/>
              </w:rPr>
              <w:t>)</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40</w:t>
            </w:r>
          </w:p>
        </w:tc>
      </w:tr>
      <w:tr w:rsidR="00714AC0" w:rsidRPr="005C0768" w:rsidTr="002E7738">
        <w:trPr>
          <w:trHeight w:val="246"/>
        </w:trPr>
        <w:tc>
          <w:tcPr>
            <w:tcW w:w="2160" w:type="dxa"/>
            <w:tcBorders>
              <w:top w:val="single" w:sz="6" w:space="0" w:color="000000"/>
              <w:left w:val="single" w:sz="12"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Ozone (NO</w:t>
            </w:r>
            <w:r w:rsidRPr="00714AC0">
              <w:rPr>
                <w:vertAlign w:val="subscript"/>
              </w:rPr>
              <w:t>X</w:t>
            </w:r>
            <w:r w:rsidRPr="00714AC0">
              <w:rPr>
                <w:color w:val="000000"/>
              </w:rPr>
              <w:t xml:space="preserve">) </w:t>
            </w:r>
            <w:r w:rsidRPr="00714AC0">
              <w:rPr>
                <w:b/>
                <w:color w:val="000000"/>
                <w:vertAlign w:val="superscript"/>
              </w:rPr>
              <w:t>2</w:t>
            </w:r>
          </w:p>
        </w:tc>
        <w:tc>
          <w:tcPr>
            <w:tcW w:w="2367" w:type="dxa"/>
            <w:tcBorders>
              <w:top w:val="single" w:sz="4" w:space="0" w:color="auto"/>
              <w:left w:val="single" w:sz="4" w:space="0" w:color="auto"/>
              <w:bottom w:val="single" w:sz="6" w:space="0" w:color="000000"/>
              <w:right w:val="single" w:sz="4"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40</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SAM</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7</w:t>
            </w:r>
          </w:p>
        </w:tc>
      </w:tr>
      <w:tr w:rsidR="00714AC0" w:rsidRPr="005C0768" w:rsidTr="002E7738">
        <w:trPr>
          <w:trHeight w:val="255"/>
        </w:trPr>
        <w:tc>
          <w:tcPr>
            <w:tcW w:w="2160" w:type="dxa"/>
            <w:tcBorders>
              <w:top w:val="single" w:sz="6" w:space="0" w:color="000000"/>
              <w:left w:val="single" w:sz="12"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SO</w:t>
            </w:r>
            <w:r w:rsidRPr="00714AC0">
              <w:rPr>
                <w:color w:val="000000"/>
                <w:vertAlign w:val="subscript"/>
              </w:rPr>
              <w:t>2</w:t>
            </w:r>
          </w:p>
        </w:tc>
        <w:tc>
          <w:tcPr>
            <w:tcW w:w="2367"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40</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Pb</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0.6</w:t>
            </w:r>
          </w:p>
        </w:tc>
      </w:tr>
      <w:tr w:rsidR="00714AC0" w:rsidRPr="005C0768" w:rsidTr="002E7738">
        <w:trPr>
          <w:trHeight w:val="255"/>
        </w:trPr>
        <w:tc>
          <w:tcPr>
            <w:tcW w:w="2160" w:type="dxa"/>
            <w:tcBorders>
              <w:top w:val="single" w:sz="6" w:space="0" w:color="000000"/>
              <w:left w:val="single" w:sz="12"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Hg</w:t>
            </w:r>
          </w:p>
        </w:tc>
        <w:tc>
          <w:tcPr>
            <w:tcW w:w="2367" w:type="dxa"/>
            <w:tcBorders>
              <w:top w:val="single" w:sz="6" w:space="0" w:color="000000"/>
              <w:left w:val="single" w:sz="4" w:space="0" w:color="auto"/>
              <w:bottom w:val="single" w:sz="6" w:space="0" w:color="000000"/>
              <w:right w:val="single" w:sz="4"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 xml:space="preserve">0.1 </w:t>
            </w:r>
          </w:p>
        </w:tc>
        <w:tc>
          <w:tcPr>
            <w:tcW w:w="2067" w:type="dxa"/>
            <w:tcBorders>
              <w:top w:val="single" w:sz="6" w:space="0" w:color="000000"/>
              <w:left w:val="single" w:sz="4" w:space="0" w:color="auto"/>
              <w:bottom w:val="single" w:sz="6" w:space="0" w:color="000000"/>
              <w:right w:val="single" w:sz="4" w:space="0" w:color="auto"/>
            </w:tcBorders>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GHG (CO</w:t>
            </w:r>
            <w:r w:rsidRPr="00714AC0">
              <w:rPr>
                <w:color w:val="000000"/>
                <w:vertAlign w:val="subscript"/>
              </w:rPr>
              <w:t>2</w:t>
            </w:r>
            <w:r w:rsidRPr="00714AC0">
              <w:rPr>
                <w:color w:val="000000"/>
              </w:rPr>
              <w:t>e)</w:t>
            </w:r>
          </w:p>
        </w:tc>
        <w:tc>
          <w:tcPr>
            <w:tcW w:w="2697" w:type="dxa"/>
            <w:tcBorders>
              <w:top w:val="single" w:sz="6" w:space="0" w:color="000000"/>
              <w:left w:val="single" w:sz="4" w:space="0" w:color="auto"/>
              <w:bottom w:val="single" w:sz="6" w:space="0" w:color="000000"/>
              <w:right w:val="single" w:sz="12" w:space="0" w:color="auto"/>
            </w:tcBorders>
            <w:shd w:val="clear" w:color="auto" w:fill="DAEEF3"/>
            <w:vAlign w:val="center"/>
            <w:hideMark/>
          </w:tcPr>
          <w:p w:rsidR="00714AC0" w:rsidRPr="00714AC0" w:rsidRDefault="00714AC0" w:rsidP="00714AC0">
            <w:pPr>
              <w:autoSpaceDE w:val="0"/>
              <w:autoSpaceDN w:val="0"/>
              <w:adjustRightInd w:val="0"/>
              <w:spacing w:before="20" w:after="20"/>
              <w:jc w:val="center"/>
              <w:rPr>
                <w:color w:val="000000"/>
              </w:rPr>
            </w:pPr>
            <w:r w:rsidRPr="00714AC0">
              <w:rPr>
                <w:color w:val="000000"/>
              </w:rPr>
              <w:t>75,000</w:t>
            </w:r>
            <w:r w:rsidRPr="00714AC0">
              <w:rPr>
                <w:b/>
                <w:caps/>
                <w:color w:val="000000"/>
                <w:vertAlign w:val="superscript"/>
              </w:rPr>
              <w:t xml:space="preserve"> 3</w:t>
            </w:r>
          </w:p>
        </w:tc>
      </w:tr>
      <w:tr w:rsidR="00714AC0" w:rsidRPr="005C0768" w:rsidTr="002E7738">
        <w:trPr>
          <w:trHeight w:val="311"/>
        </w:trPr>
        <w:tc>
          <w:tcPr>
            <w:tcW w:w="9291" w:type="dxa"/>
            <w:gridSpan w:val="4"/>
            <w:tcBorders>
              <w:top w:val="single" w:sz="4" w:space="0" w:color="auto"/>
              <w:left w:val="single" w:sz="12" w:space="0" w:color="auto"/>
              <w:bottom w:val="single" w:sz="12" w:space="0" w:color="auto"/>
              <w:right w:val="single" w:sz="12" w:space="0" w:color="auto"/>
            </w:tcBorders>
            <w:hideMark/>
          </w:tcPr>
          <w:p w:rsidR="00714AC0" w:rsidRPr="00036EE7" w:rsidRDefault="00714AC0" w:rsidP="00C070A4">
            <w:pPr>
              <w:numPr>
                <w:ilvl w:val="0"/>
                <w:numId w:val="8"/>
              </w:numPr>
              <w:tabs>
                <w:tab w:val="clear" w:pos="1080"/>
                <w:tab w:val="num" w:pos="342"/>
              </w:tabs>
              <w:autoSpaceDE w:val="0"/>
              <w:autoSpaceDN w:val="0"/>
              <w:adjustRightInd w:val="0"/>
              <w:spacing w:before="20"/>
              <w:ind w:left="342" w:hanging="328"/>
              <w:rPr>
                <w:color w:val="000000"/>
                <w:sz w:val="18"/>
                <w:szCs w:val="18"/>
              </w:rPr>
            </w:pPr>
            <w:r w:rsidRPr="00036EE7">
              <w:rPr>
                <w:color w:val="000000"/>
                <w:sz w:val="18"/>
                <w:szCs w:val="18"/>
              </w:rPr>
              <w:t>Excluding fluoride and those pollutants defined for Pulp and Paper, MWC, MSW landfills.</w:t>
            </w:r>
          </w:p>
          <w:p w:rsidR="00714AC0" w:rsidRPr="00036EE7" w:rsidRDefault="00714AC0" w:rsidP="00C070A4">
            <w:pPr>
              <w:numPr>
                <w:ilvl w:val="0"/>
                <w:numId w:val="8"/>
              </w:numPr>
              <w:tabs>
                <w:tab w:val="clear" w:pos="1080"/>
                <w:tab w:val="num" w:pos="342"/>
              </w:tabs>
              <w:autoSpaceDE w:val="0"/>
              <w:autoSpaceDN w:val="0"/>
              <w:adjustRightInd w:val="0"/>
              <w:ind w:left="342" w:hanging="328"/>
              <w:rPr>
                <w:color w:val="000000"/>
                <w:sz w:val="18"/>
                <w:szCs w:val="18"/>
              </w:rPr>
            </w:pPr>
            <w:r w:rsidRPr="00036EE7">
              <w:rPr>
                <w:color w:val="000000"/>
                <w:sz w:val="18"/>
                <w:szCs w:val="18"/>
              </w:rPr>
              <w:t>Ozone (O</w:t>
            </w:r>
            <w:r w:rsidRPr="00036EE7">
              <w:rPr>
                <w:color w:val="000000"/>
                <w:sz w:val="18"/>
                <w:szCs w:val="18"/>
                <w:vertAlign w:val="subscript"/>
              </w:rPr>
              <w:t>3</w:t>
            </w:r>
            <w:r w:rsidRPr="00036EE7">
              <w:rPr>
                <w:color w:val="000000"/>
                <w:sz w:val="18"/>
                <w:szCs w:val="18"/>
              </w:rPr>
              <w:t>) is regulated by its precursors (VOC and NO</w:t>
            </w:r>
            <w:r w:rsidRPr="00036EE7">
              <w:rPr>
                <w:color w:val="000000"/>
                <w:sz w:val="18"/>
                <w:szCs w:val="18"/>
                <w:vertAlign w:val="subscript"/>
              </w:rPr>
              <w:t>X</w:t>
            </w:r>
            <w:r w:rsidRPr="00036EE7">
              <w:rPr>
                <w:color w:val="000000"/>
                <w:sz w:val="18"/>
                <w:szCs w:val="18"/>
              </w:rPr>
              <w:t>).  PSD for PM</w:t>
            </w:r>
            <w:r w:rsidRPr="00036EE7">
              <w:rPr>
                <w:color w:val="000000"/>
                <w:sz w:val="18"/>
                <w:szCs w:val="18"/>
                <w:vertAlign w:val="subscript"/>
              </w:rPr>
              <w:t>2.5</w:t>
            </w:r>
            <w:r w:rsidRPr="00036EE7">
              <w:rPr>
                <w:color w:val="000000"/>
                <w:sz w:val="18"/>
                <w:szCs w:val="18"/>
              </w:rPr>
              <w:t xml:space="preserve"> can be triggered by its precursors (NO</w:t>
            </w:r>
            <w:r w:rsidRPr="00036EE7">
              <w:rPr>
                <w:color w:val="000000"/>
                <w:sz w:val="18"/>
                <w:szCs w:val="18"/>
                <w:vertAlign w:val="subscript"/>
              </w:rPr>
              <w:t>X</w:t>
            </w:r>
            <w:r w:rsidRPr="00036EE7">
              <w:rPr>
                <w:color w:val="000000"/>
                <w:sz w:val="18"/>
                <w:szCs w:val="18"/>
              </w:rPr>
              <w:t xml:space="preserve"> and SO</w:t>
            </w:r>
            <w:r w:rsidRPr="00036EE7">
              <w:rPr>
                <w:color w:val="000000"/>
                <w:sz w:val="18"/>
                <w:szCs w:val="18"/>
                <w:vertAlign w:val="subscript"/>
              </w:rPr>
              <w:t>2</w:t>
            </w:r>
            <w:r w:rsidRPr="00036EE7">
              <w:rPr>
                <w:color w:val="000000"/>
                <w:sz w:val="18"/>
                <w:szCs w:val="18"/>
              </w:rPr>
              <w:t>).</w:t>
            </w:r>
          </w:p>
          <w:p w:rsidR="00714AC0" w:rsidRPr="00B11687" w:rsidRDefault="00714AC0" w:rsidP="00C070A4">
            <w:pPr>
              <w:keepNext/>
              <w:numPr>
                <w:ilvl w:val="0"/>
                <w:numId w:val="8"/>
              </w:numPr>
              <w:tabs>
                <w:tab w:val="clear" w:pos="1080"/>
                <w:tab w:val="num" w:pos="342"/>
              </w:tabs>
              <w:autoSpaceDE w:val="0"/>
              <w:autoSpaceDN w:val="0"/>
              <w:adjustRightInd w:val="0"/>
              <w:spacing w:after="20"/>
              <w:ind w:left="342" w:hanging="328"/>
              <w:outlineLvl w:val="0"/>
              <w:rPr>
                <w:color w:val="000000"/>
                <w:sz w:val="18"/>
                <w:szCs w:val="18"/>
              </w:rPr>
            </w:pPr>
            <w:r w:rsidRPr="004A7F6E">
              <w:rPr>
                <w:color w:val="000000"/>
                <w:sz w:val="18"/>
                <w:szCs w:val="18"/>
              </w:rPr>
              <w:lastRenderedPageBreak/>
              <w:t>GHG is subject to federal regulation for projects at this stationary source that will result in an emissions increase 75,000 TPY of GHG (as CO2e) or more.  GHG regulations have not been incorporated into Department rules.</w:t>
            </w:r>
            <w:r w:rsidR="00546117">
              <w:rPr>
                <w:color w:val="000000"/>
                <w:sz w:val="18"/>
                <w:szCs w:val="18"/>
              </w:rPr>
              <w:t xml:space="preserve">  FPL has submitted an PSD GHG application to EPA region 4 in Atlanta, GA.</w:t>
            </w:r>
          </w:p>
        </w:tc>
      </w:tr>
    </w:tbl>
    <w:p w:rsidR="00714AC0" w:rsidRPr="00534004" w:rsidRDefault="00714AC0" w:rsidP="00714AC0">
      <w:pPr>
        <w:widowControl w:val="0"/>
        <w:spacing w:before="120" w:after="120"/>
        <w:rPr>
          <w:sz w:val="22"/>
          <w:szCs w:val="22"/>
        </w:rPr>
      </w:pPr>
      <w:r w:rsidRPr="00290299">
        <w:rPr>
          <w:sz w:val="22"/>
          <w:szCs w:val="22"/>
        </w:rPr>
        <w:lastRenderedPageBreak/>
        <w:t xml:space="preserve">The project is located in </w:t>
      </w:r>
      <w:r w:rsidR="001D5904">
        <w:rPr>
          <w:sz w:val="22"/>
          <w:szCs w:val="22"/>
        </w:rPr>
        <w:t>Broward</w:t>
      </w:r>
      <w:r>
        <w:rPr>
          <w:sz w:val="22"/>
          <w:szCs w:val="22"/>
        </w:rPr>
        <w:t xml:space="preserve"> </w:t>
      </w:r>
      <w:r w:rsidRPr="00290299">
        <w:rPr>
          <w:sz w:val="22"/>
          <w:szCs w:val="22"/>
        </w:rPr>
        <w:t>County, which is in an area that is currently in attainment with the state and federal AAQS or otherwise designated as uncla</w:t>
      </w:r>
      <w:r w:rsidRPr="00AD0C6C">
        <w:rPr>
          <w:sz w:val="22"/>
          <w:szCs w:val="22"/>
        </w:rPr>
        <w:t xml:space="preserve">ssifiable.  </w:t>
      </w:r>
      <w:r w:rsidRPr="00534004">
        <w:rPr>
          <w:sz w:val="22"/>
          <w:szCs w:val="22"/>
        </w:rPr>
        <w:t>The</w:t>
      </w:r>
      <w:r>
        <w:rPr>
          <w:sz w:val="22"/>
          <w:szCs w:val="22"/>
        </w:rPr>
        <w:t xml:space="preserve"> </w:t>
      </w:r>
      <w:r w:rsidR="007944FF">
        <w:rPr>
          <w:sz w:val="22"/>
          <w:szCs w:val="22"/>
        </w:rPr>
        <w:t>Lauderdale</w:t>
      </w:r>
      <w:r>
        <w:rPr>
          <w:sz w:val="22"/>
          <w:szCs w:val="22"/>
        </w:rPr>
        <w:t xml:space="preserve"> peaking unit project </w:t>
      </w:r>
      <w:r w:rsidRPr="00534004">
        <w:rPr>
          <w:sz w:val="22"/>
          <w:szCs w:val="22"/>
        </w:rPr>
        <w:t xml:space="preserve">will </w:t>
      </w:r>
      <w:r>
        <w:rPr>
          <w:sz w:val="22"/>
          <w:szCs w:val="22"/>
        </w:rPr>
        <w:t xml:space="preserve">emit the following PSD-pollutants </w:t>
      </w:r>
      <w:r w:rsidRPr="00534004">
        <w:rPr>
          <w:sz w:val="22"/>
          <w:szCs w:val="22"/>
        </w:rPr>
        <w:t>SO</w:t>
      </w:r>
      <w:r w:rsidRPr="00534004">
        <w:rPr>
          <w:sz w:val="22"/>
          <w:szCs w:val="22"/>
          <w:vertAlign w:val="subscript"/>
        </w:rPr>
        <w:t>2</w:t>
      </w:r>
      <w:r w:rsidRPr="00534004">
        <w:rPr>
          <w:sz w:val="22"/>
          <w:szCs w:val="22"/>
        </w:rPr>
        <w:t>, NO</w:t>
      </w:r>
      <w:r w:rsidRPr="00534004">
        <w:rPr>
          <w:sz w:val="22"/>
          <w:szCs w:val="22"/>
          <w:vertAlign w:val="subscript"/>
        </w:rPr>
        <w:t>X</w:t>
      </w:r>
      <w:r w:rsidRPr="00534004">
        <w:rPr>
          <w:sz w:val="22"/>
          <w:szCs w:val="22"/>
        </w:rPr>
        <w:t>, CO, PM</w:t>
      </w:r>
      <w:r>
        <w:rPr>
          <w:sz w:val="22"/>
          <w:szCs w:val="22"/>
        </w:rPr>
        <w:t xml:space="preserve">, </w:t>
      </w:r>
      <w:r w:rsidRPr="00534004">
        <w:rPr>
          <w:sz w:val="22"/>
          <w:szCs w:val="22"/>
        </w:rPr>
        <w:t>PM</w:t>
      </w:r>
      <w:r w:rsidRPr="00534004">
        <w:rPr>
          <w:sz w:val="22"/>
          <w:szCs w:val="22"/>
          <w:vertAlign w:val="subscript"/>
        </w:rPr>
        <w:t>10</w:t>
      </w:r>
      <w:r w:rsidRPr="00534004">
        <w:rPr>
          <w:sz w:val="22"/>
          <w:szCs w:val="22"/>
        </w:rPr>
        <w:t>, PM</w:t>
      </w:r>
      <w:r>
        <w:rPr>
          <w:sz w:val="22"/>
          <w:szCs w:val="22"/>
          <w:vertAlign w:val="subscript"/>
        </w:rPr>
        <w:t>2.5</w:t>
      </w:r>
      <w:r w:rsidRPr="00534004">
        <w:rPr>
          <w:sz w:val="22"/>
          <w:szCs w:val="22"/>
        </w:rPr>
        <w:t>, SAM</w:t>
      </w:r>
      <w:r>
        <w:rPr>
          <w:sz w:val="22"/>
          <w:szCs w:val="22"/>
        </w:rPr>
        <w:t xml:space="preserve">, </w:t>
      </w:r>
      <w:r w:rsidRPr="00534004">
        <w:rPr>
          <w:sz w:val="22"/>
          <w:szCs w:val="22"/>
        </w:rPr>
        <w:t>VOC</w:t>
      </w:r>
      <w:r w:rsidR="00661700">
        <w:rPr>
          <w:sz w:val="22"/>
          <w:szCs w:val="22"/>
        </w:rPr>
        <w:t>, lead (Pb)</w:t>
      </w:r>
      <w:r>
        <w:rPr>
          <w:sz w:val="22"/>
          <w:szCs w:val="22"/>
        </w:rPr>
        <w:t xml:space="preserve"> and CO</w:t>
      </w:r>
      <w:r w:rsidRPr="00BB029E">
        <w:rPr>
          <w:sz w:val="22"/>
          <w:szCs w:val="22"/>
          <w:vertAlign w:val="subscript"/>
        </w:rPr>
        <w:t>2</w:t>
      </w:r>
      <w:r>
        <w:rPr>
          <w:sz w:val="22"/>
          <w:szCs w:val="22"/>
        </w:rPr>
        <w:t>e</w:t>
      </w:r>
      <w:r w:rsidRPr="00534004">
        <w:rPr>
          <w:sz w:val="22"/>
          <w:szCs w:val="22"/>
        </w:rPr>
        <w:t xml:space="preserve">.  </w:t>
      </w:r>
    </w:p>
    <w:p w:rsidR="00F01B4A" w:rsidRPr="00290299" w:rsidRDefault="00F01B4A" w:rsidP="00C070A4">
      <w:pPr>
        <w:widowControl w:val="0"/>
        <w:numPr>
          <w:ilvl w:val="1"/>
          <w:numId w:val="2"/>
        </w:numPr>
        <w:tabs>
          <w:tab w:val="left" w:pos="720"/>
        </w:tabs>
        <w:spacing w:after="120"/>
        <w:ind w:left="720" w:hanging="720"/>
        <w:rPr>
          <w:b/>
          <w:sz w:val="22"/>
          <w:szCs w:val="22"/>
        </w:rPr>
      </w:pPr>
      <w:r w:rsidRPr="00290299">
        <w:rPr>
          <w:b/>
          <w:sz w:val="22"/>
          <w:szCs w:val="22"/>
        </w:rPr>
        <w:t>PSD Applicability for the Project</w:t>
      </w:r>
    </w:p>
    <w:p w:rsidR="00280926" w:rsidRDefault="00280926" w:rsidP="00F01B4A">
      <w:pPr>
        <w:pStyle w:val="BodyText"/>
        <w:widowControl w:val="0"/>
        <w:rPr>
          <w:sz w:val="22"/>
          <w:szCs w:val="22"/>
        </w:rPr>
      </w:pPr>
      <w:r w:rsidRPr="0078280E">
        <w:rPr>
          <w:b/>
          <w:sz w:val="22"/>
          <w:szCs w:val="22"/>
        </w:rPr>
        <w:fldChar w:fldCharType="begin"/>
      </w:r>
      <w:r w:rsidRPr="0078280E">
        <w:rPr>
          <w:b/>
          <w:sz w:val="22"/>
          <w:szCs w:val="22"/>
        </w:rPr>
        <w:instrText xml:space="preserve"> REF _Ref365379149 \h  \* MERGEFORMAT </w:instrText>
      </w:r>
      <w:r w:rsidRPr="0078280E">
        <w:rPr>
          <w:b/>
          <w:sz w:val="22"/>
          <w:szCs w:val="22"/>
        </w:rPr>
      </w:r>
      <w:r w:rsidRPr="0078280E">
        <w:rPr>
          <w:b/>
          <w:sz w:val="22"/>
          <w:szCs w:val="22"/>
        </w:rPr>
        <w:fldChar w:fldCharType="separate"/>
      </w:r>
      <w:r w:rsidR="007F3589" w:rsidRPr="007F3589">
        <w:rPr>
          <w:b/>
          <w:sz w:val="22"/>
          <w:szCs w:val="22"/>
        </w:rPr>
        <w:t xml:space="preserve">Table </w:t>
      </w:r>
      <w:r w:rsidR="007F3589" w:rsidRPr="007F3589">
        <w:rPr>
          <w:b/>
          <w:noProof/>
          <w:sz w:val="22"/>
          <w:szCs w:val="22"/>
        </w:rPr>
        <w:t>5</w:t>
      </w:r>
      <w:r w:rsidRPr="0078280E">
        <w:rPr>
          <w:b/>
          <w:sz w:val="22"/>
          <w:szCs w:val="22"/>
        </w:rPr>
        <w:fldChar w:fldCharType="end"/>
      </w:r>
      <w:r w:rsidR="004346F3">
        <w:rPr>
          <w:sz w:val="22"/>
        </w:rPr>
        <w:t xml:space="preserve"> provides PSD applicability calculations</w:t>
      </w:r>
      <w:r>
        <w:rPr>
          <w:sz w:val="22"/>
        </w:rPr>
        <w:t xml:space="preserve"> from FPL</w:t>
      </w:r>
      <w:r w:rsidR="004346F3">
        <w:rPr>
          <w:sz w:val="22"/>
        </w:rPr>
        <w:t xml:space="preserve"> based on the </w:t>
      </w:r>
      <w:r w:rsidR="004346F3" w:rsidRPr="005A1CB8">
        <w:rPr>
          <w:sz w:val="22"/>
        </w:rPr>
        <w:t>net</w:t>
      </w:r>
      <w:r w:rsidR="004346F3">
        <w:rPr>
          <w:sz w:val="22"/>
        </w:rPr>
        <w:t xml:space="preserve"> emission increases </w:t>
      </w:r>
      <w:r w:rsidR="005A1CB8">
        <w:rPr>
          <w:sz w:val="22"/>
        </w:rPr>
        <w:t xml:space="preserve">expected to </w:t>
      </w:r>
      <w:r w:rsidR="004346F3">
        <w:rPr>
          <w:sz w:val="22"/>
        </w:rPr>
        <w:t xml:space="preserve">result from the </w:t>
      </w:r>
      <w:r w:rsidR="007944FF">
        <w:rPr>
          <w:sz w:val="22"/>
        </w:rPr>
        <w:t>Lauderdale</w:t>
      </w:r>
      <w:r>
        <w:rPr>
          <w:sz w:val="22"/>
        </w:rPr>
        <w:t xml:space="preserve"> peaking unit</w:t>
      </w:r>
      <w:r w:rsidR="005A1CB8">
        <w:rPr>
          <w:sz w:val="22"/>
        </w:rPr>
        <w:t xml:space="preserve"> project.</w:t>
      </w:r>
      <w:r w:rsidR="004346F3">
        <w:rPr>
          <w:sz w:val="22"/>
        </w:rPr>
        <w:t xml:space="preserve"> </w:t>
      </w:r>
      <w:r w:rsidR="0078280E">
        <w:rPr>
          <w:sz w:val="22"/>
        </w:rPr>
        <w:t xml:space="preserve"> </w:t>
      </w:r>
      <w:r w:rsidR="00546117">
        <w:rPr>
          <w:sz w:val="22"/>
        </w:rPr>
        <w:t xml:space="preserve">The net </w:t>
      </w:r>
      <w:r w:rsidR="00330FA5">
        <w:rPr>
          <w:sz w:val="22"/>
        </w:rPr>
        <w:t>emissions take</w:t>
      </w:r>
      <w:r w:rsidR="00546117">
        <w:rPr>
          <w:sz w:val="22"/>
        </w:rPr>
        <w:t xml:space="preserve"> into account the emission of the new units involved in the project minus the emission </w:t>
      </w:r>
      <w:r w:rsidR="00330FA5">
        <w:rPr>
          <w:sz w:val="22"/>
        </w:rPr>
        <w:t xml:space="preserve">of the existing peaking units. </w:t>
      </w:r>
      <w:r w:rsidR="004346F3">
        <w:rPr>
          <w:sz w:val="22"/>
        </w:rPr>
        <w:t xml:space="preserve"> </w:t>
      </w:r>
      <w:r w:rsidR="005A1CB8">
        <w:rPr>
          <w:sz w:val="22"/>
        </w:rPr>
        <w:t xml:space="preserve">GHG emissions expressed as </w:t>
      </w:r>
      <w:r w:rsidR="004346F3">
        <w:rPr>
          <w:sz w:val="22"/>
          <w:szCs w:val="22"/>
        </w:rPr>
        <w:t>CO</w:t>
      </w:r>
      <w:r w:rsidR="004346F3" w:rsidRPr="00842A0B">
        <w:rPr>
          <w:sz w:val="22"/>
          <w:szCs w:val="22"/>
          <w:vertAlign w:val="subscript"/>
        </w:rPr>
        <w:t>2</w:t>
      </w:r>
      <w:r w:rsidR="004346F3">
        <w:rPr>
          <w:sz w:val="22"/>
          <w:szCs w:val="22"/>
        </w:rPr>
        <w:t>e</w:t>
      </w:r>
      <w:r w:rsidR="005A1CB8">
        <w:rPr>
          <w:sz w:val="22"/>
          <w:szCs w:val="22"/>
        </w:rPr>
        <w:t xml:space="preserve"> emissions</w:t>
      </w:r>
      <w:r w:rsidR="004346F3">
        <w:rPr>
          <w:sz w:val="22"/>
          <w:szCs w:val="22"/>
        </w:rPr>
        <w:t xml:space="preserve"> are also included for comparison with federal greenhouse gas PSD applicability criteria.</w:t>
      </w:r>
    </w:p>
    <w:p w:rsidR="004346F3" w:rsidRPr="00661700" w:rsidRDefault="00280926" w:rsidP="00661700">
      <w:pPr>
        <w:pStyle w:val="BodyText"/>
        <w:widowControl w:val="0"/>
        <w:jc w:val="center"/>
        <w:rPr>
          <w:rFonts w:ascii="Times New Roman Bold" w:hAnsi="Times New Roman Bold"/>
          <w:b/>
          <w:caps/>
          <w:sz w:val="22"/>
          <w:szCs w:val="22"/>
        </w:rPr>
      </w:pPr>
      <w:bookmarkStart w:id="10" w:name="_Ref365379149"/>
      <w:r w:rsidRPr="00661700">
        <w:rPr>
          <w:rFonts w:ascii="Times New Roman Bold" w:hAnsi="Times New Roman Bold"/>
          <w:b/>
          <w:caps/>
          <w:sz w:val="22"/>
          <w:szCs w:val="22"/>
        </w:rPr>
        <w:t xml:space="preserve">Table </w:t>
      </w:r>
      <w:r w:rsidRPr="00661700">
        <w:rPr>
          <w:rFonts w:ascii="Times New Roman Bold" w:hAnsi="Times New Roman Bold"/>
          <w:b/>
          <w:caps/>
          <w:sz w:val="22"/>
          <w:szCs w:val="22"/>
        </w:rPr>
        <w:fldChar w:fldCharType="begin"/>
      </w:r>
      <w:r w:rsidRPr="00661700">
        <w:rPr>
          <w:rFonts w:ascii="Times New Roman Bold" w:hAnsi="Times New Roman Bold"/>
          <w:b/>
          <w:caps/>
          <w:sz w:val="22"/>
          <w:szCs w:val="22"/>
        </w:rPr>
        <w:instrText xml:space="preserve"> SEQ Table \* ARABIC </w:instrText>
      </w:r>
      <w:r w:rsidRPr="00661700">
        <w:rPr>
          <w:rFonts w:ascii="Times New Roman Bold" w:hAnsi="Times New Roman Bold"/>
          <w:b/>
          <w:caps/>
          <w:sz w:val="22"/>
          <w:szCs w:val="22"/>
        </w:rPr>
        <w:fldChar w:fldCharType="separate"/>
      </w:r>
      <w:r w:rsidR="007F3589">
        <w:rPr>
          <w:rFonts w:ascii="Times New Roman Bold" w:hAnsi="Times New Roman Bold"/>
          <w:b/>
          <w:caps/>
          <w:noProof/>
          <w:sz w:val="22"/>
          <w:szCs w:val="22"/>
        </w:rPr>
        <w:t>5</w:t>
      </w:r>
      <w:r w:rsidRPr="00661700">
        <w:rPr>
          <w:rFonts w:ascii="Times New Roman Bold" w:hAnsi="Times New Roman Bold"/>
          <w:b/>
          <w:caps/>
          <w:sz w:val="22"/>
          <w:szCs w:val="22"/>
        </w:rPr>
        <w:fldChar w:fldCharType="end"/>
      </w:r>
      <w:bookmarkEnd w:id="10"/>
      <w:r w:rsidRPr="00661700">
        <w:rPr>
          <w:rFonts w:ascii="Times New Roman Bold" w:hAnsi="Times New Roman Bold"/>
          <w:b/>
          <w:caps/>
          <w:sz w:val="22"/>
          <w:szCs w:val="22"/>
        </w:rPr>
        <w:t xml:space="preserve"> </w:t>
      </w:r>
      <w:r w:rsidR="004346F3" w:rsidRPr="00661700">
        <w:rPr>
          <w:rFonts w:ascii="Times New Roman Bold" w:hAnsi="Times New Roman Bold"/>
          <w:b/>
          <w:caps/>
          <w:sz w:val="22"/>
          <w:szCs w:val="22"/>
        </w:rPr>
        <w:t xml:space="preserve">– Net PSD Pollutant Emission Increases due to the </w:t>
      </w:r>
      <w:r w:rsidR="007944FF">
        <w:rPr>
          <w:rFonts w:ascii="Times New Roman Bold" w:hAnsi="Times New Roman Bold"/>
          <w:b/>
          <w:caps/>
          <w:sz w:val="22"/>
          <w:szCs w:val="22"/>
        </w:rPr>
        <w:t>Lauderdale</w:t>
      </w:r>
      <w:r w:rsidRPr="00661700">
        <w:rPr>
          <w:rFonts w:ascii="Times New Roman Bold" w:hAnsi="Times New Roman Bold"/>
          <w:b/>
          <w:caps/>
          <w:sz w:val="22"/>
          <w:szCs w:val="22"/>
        </w:rPr>
        <w:t xml:space="preserve"> project</w:t>
      </w:r>
      <w:r w:rsidR="007E712E" w:rsidRPr="00661700">
        <w:rPr>
          <w:rFonts w:ascii="Times New Roman Bold" w:hAnsi="Times New Roman Bold"/>
          <w:b/>
          <w:caps/>
          <w:sz w:val="22"/>
          <w:szCs w:val="22"/>
        </w:rPr>
        <w:t xml:space="preserve"> in tons</w:t>
      </w:r>
      <w:r w:rsidR="006822FC">
        <w:rPr>
          <w:rFonts w:ascii="Times New Roman Bold" w:hAnsi="Times New Roman Bold"/>
          <w:b/>
          <w:caps/>
          <w:sz w:val="22"/>
          <w:szCs w:val="22"/>
        </w:rPr>
        <w:t xml:space="preserve"> per </w:t>
      </w:r>
      <w:r w:rsidR="007E712E" w:rsidRPr="00661700">
        <w:rPr>
          <w:rFonts w:ascii="Times New Roman Bold" w:hAnsi="Times New Roman Bold"/>
          <w:b/>
          <w:caps/>
          <w:sz w:val="22"/>
          <w:szCs w:val="22"/>
        </w:rPr>
        <w:t>year</w:t>
      </w:r>
      <w:r w:rsidR="006822FC">
        <w:rPr>
          <w:rFonts w:ascii="Times New Roman Bold" w:hAnsi="Times New Roman Bold"/>
          <w:b/>
          <w:caps/>
          <w:sz w:val="22"/>
          <w:szCs w:val="22"/>
        </w:rPr>
        <w:t xml:space="preserve"> (tpy)</w:t>
      </w:r>
      <w:r w:rsidR="00546117">
        <w:rPr>
          <w:rFonts w:ascii="Times New Roman Bold" w:hAnsi="Times New Roman Bold"/>
          <w:b/>
          <w:caps/>
          <w:sz w:val="22"/>
          <w:szCs w:val="22"/>
        </w:rPr>
        <w:t>.</w:t>
      </w:r>
    </w:p>
    <w:tbl>
      <w:tblPr>
        <w:tblW w:w="4887" w:type="pct"/>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217"/>
        <w:gridCol w:w="1141"/>
        <w:gridCol w:w="1177"/>
        <w:gridCol w:w="1035"/>
        <w:gridCol w:w="1316"/>
        <w:gridCol w:w="1064"/>
        <w:gridCol w:w="963"/>
        <w:gridCol w:w="1226"/>
      </w:tblGrid>
      <w:tr w:rsidR="00661700" w:rsidRPr="0039552E" w:rsidTr="00FF2641">
        <w:trPr>
          <w:trHeight w:val="495"/>
        </w:trPr>
        <w:tc>
          <w:tcPr>
            <w:tcW w:w="666" w:type="pct"/>
            <w:shd w:val="clear" w:color="auto" w:fill="C6D9F1"/>
            <w:vAlign w:val="center"/>
          </w:tcPr>
          <w:p w:rsidR="00661700" w:rsidRPr="00280926" w:rsidRDefault="00661700" w:rsidP="00280926">
            <w:pPr>
              <w:spacing w:before="20" w:after="20"/>
              <w:jc w:val="center"/>
              <w:rPr>
                <w:b/>
                <w:color w:val="000000"/>
              </w:rPr>
            </w:pPr>
            <w:r w:rsidRPr="00280926">
              <w:rPr>
                <w:b/>
                <w:color w:val="000000"/>
              </w:rPr>
              <w:t>Pollutant</w:t>
            </w:r>
          </w:p>
        </w:tc>
        <w:tc>
          <w:tcPr>
            <w:tcW w:w="624" w:type="pct"/>
            <w:shd w:val="clear" w:color="auto" w:fill="C6D9F1"/>
            <w:noWrap/>
            <w:vAlign w:val="center"/>
          </w:tcPr>
          <w:p w:rsidR="00661700" w:rsidRPr="00280926" w:rsidRDefault="00661700" w:rsidP="00661700">
            <w:pPr>
              <w:spacing w:before="20" w:after="20"/>
              <w:jc w:val="center"/>
              <w:rPr>
                <w:color w:val="000000"/>
              </w:rPr>
            </w:pPr>
            <w:r w:rsidRPr="00280926">
              <w:rPr>
                <w:b/>
              </w:rPr>
              <w:t>Emissions Increase</w:t>
            </w:r>
            <w:r>
              <w:rPr>
                <w:b/>
              </w:rPr>
              <w:br/>
              <w:t>CT</w:t>
            </w:r>
          </w:p>
        </w:tc>
        <w:tc>
          <w:tcPr>
            <w:tcW w:w="644" w:type="pct"/>
            <w:shd w:val="clear" w:color="auto" w:fill="C6D9F1"/>
            <w:vAlign w:val="center"/>
          </w:tcPr>
          <w:p w:rsidR="00661700" w:rsidRPr="00661700" w:rsidRDefault="00661700" w:rsidP="00F748BF">
            <w:pPr>
              <w:spacing w:before="20" w:after="20"/>
              <w:jc w:val="center"/>
              <w:rPr>
                <w:b/>
                <w:color w:val="000000"/>
              </w:rPr>
            </w:pPr>
            <w:r w:rsidRPr="00661700">
              <w:rPr>
                <w:b/>
                <w:color w:val="000000"/>
              </w:rPr>
              <w:t>Emission Increase Engines</w:t>
            </w:r>
            <w:r w:rsidR="000838BC">
              <w:rPr>
                <w:b/>
                <w:color w:val="000000"/>
              </w:rPr>
              <w:t xml:space="preserve"> &amp; Tanks</w:t>
            </w:r>
            <w:r w:rsidR="00F748BF">
              <w:rPr>
                <w:b/>
                <w:color w:val="000000"/>
              </w:rPr>
              <w:t xml:space="preserve"> </w:t>
            </w:r>
            <w:r w:rsidR="00F748BF" w:rsidRPr="00F748BF">
              <w:rPr>
                <w:b/>
                <w:color w:val="000000"/>
                <w:vertAlign w:val="superscript"/>
              </w:rPr>
              <w:t>1</w:t>
            </w:r>
          </w:p>
        </w:tc>
        <w:tc>
          <w:tcPr>
            <w:tcW w:w="566" w:type="pct"/>
            <w:shd w:val="clear" w:color="auto" w:fill="C6D9F1"/>
            <w:vAlign w:val="center"/>
          </w:tcPr>
          <w:p w:rsidR="00661700" w:rsidRPr="00280926" w:rsidRDefault="00661700" w:rsidP="00F748BF">
            <w:pPr>
              <w:spacing w:before="20" w:after="20"/>
              <w:jc w:val="center"/>
              <w:rPr>
                <w:b/>
              </w:rPr>
            </w:pPr>
            <w:r>
              <w:rPr>
                <w:b/>
              </w:rPr>
              <w:t>Total Project Increase</w:t>
            </w:r>
            <w:r w:rsidR="00FF2641">
              <w:rPr>
                <w:b/>
              </w:rPr>
              <w:t xml:space="preserve"> </w:t>
            </w:r>
            <w:r w:rsidR="00F748BF">
              <w:rPr>
                <w:b/>
                <w:vertAlign w:val="superscript"/>
              </w:rPr>
              <w:t>2</w:t>
            </w:r>
          </w:p>
        </w:tc>
        <w:tc>
          <w:tcPr>
            <w:tcW w:w="720" w:type="pct"/>
            <w:shd w:val="clear" w:color="auto" w:fill="C6D9F1"/>
            <w:noWrap/>
            <w:vAlign w:val="center"/>
          </w:tcPr>
          <w:p w:rsidR="00661700" w:rsidRPr="00280926" w:rsidRDefault="00661700" w:rsidP="00F748BF">
            <w:pPr>
              <w:spacing w:before="20" w:after="20"/>
              <w:jc w:val="center"/>
              <w:rPr>
                <w:b/>
                <w:color w:val="000000"/>
              </w:rPr>
            </w:pPr>
            <w:r>
              <w:rPr>
                <w:b/>
              </w:rPr>
              <w:t>Max. 2-Year Average Existing</w:t>
            </w:r>
            <w:r>
              <w:rPr>
                <w:b/>
              </w:rPr>
              <w:br/>
              <w:t>Units</w:t>
            </w:r>
            <w:r w:rsidR="00546117">
              <w:rPr>
                <w:b/>
              </w:rPr>
              <w:t xml:space="preserve"> </w:t>
            </w:r>
            <w:r w:rsidR="00F748BF">
              <w:rPr>
                <w:b/>
                <w:vertAlign w:val="superscript"/>
              </w:rPr>
              <w:t>3</w:t>
            </w:r>
            <w:r w:rsidR="00FF2641">
              <w:rPr>
                <w:b/>
                <w:vertAlign w:val="superscript"/>
              </w:rPr>
              <w:t xml:space="preserve">, </w:t>
            </w:r>
            <w:r w:rsidR="00F748BF">
              <w:rPr>
                <w:b/>
                <w:vertAlign w:val="superscript"/>
              </w:rPr>
              <w:t>4</w:t>
            </w:r>
          </w:p>
        </w:tc>
        <w:tc>
          <w:tcPr>
            <w:tcW w:w="582" w:type="pct"/>
            <w:shd w:val="clear" w:color="auto" w:fill="C6D9F1"/>
            <w:vAlign w:val="center"/>
          </w:tcPr>
          <w:p w:rsidR="00661700" w:rsidRPr="00280926" w:rsidRDefault="00661700" w:rsidP="00F748BF">
            <w:pPr>
              <w:spacing w:before="20" w:after="20"/>
              <w:jc w:val="center"/>
              <w:rPr>
                <w:b/>
                <w:color w:val="000000"/>
              </w:rPr>
            </w:pPr>
            <w:r>
              <w:rPr>
                <w:b/>
                <w:color w:val="000000"/>
              </w:rPr>
              <w:t>Net Increase</w:t>
            </w:r>
            <w:r w:rsidR="00FF2641">
              <w:rPr>
                <w:b/>
                <w:color w:val="000000"/>
              </w:rPr>
              <w:t xml:space="preserve"> </w:t>
            </w:r>
            <w:r w:rsidR="00F748BF">
              <w:rPr>
                <w:b/>
                <w:color w:val="000000"/>
                <w:vertAlign w:val="superscript"/>
              </w:rPr>
              <w:t>5</w:t>
            </w:r>
          </w:p>
        </w:tc>
        <w:tc>
          <w:tcPr>
            <w:tcW w:w="527" w:type="pct"/>
            <w:shd w:val="clear" w:color="auto" w:fill="C6D9F1"/>
            <w:noWrap/>
            <w:vAlign w:val="center"/>
          </w:tcPr>
          <w:p w:rsidR="00661700" w:rsidRPr="00280926" w:rsidRDefault="00661700" w:rsidP="00280926">
            <w:pPr>
              <w:spacing w:before="20" w:after="20"/>
              <w:jc w:val="center"/>
              <w:rPr>
                <w:b/>
                <w:color w:val="000000"/>
              </w:rPr>
            </w:pPr>
            <w:r w:rsidRPr="00280926">
              <w:rPr>
                <w:b/>
                <w:color w:val="000000"/>
              </w:rPr>
              <w:t>SER</w:t>
            </w:r>
          </w:p>
        </w:tc>
        <w:tc>
          <w:tcPr>
            <w:tcW w:w="671" w:type="pct"/>
            <w:shd w:val="clear" w:color="auto" w:fill="C6D9F1"/>
            <w:noWrap/>
            <w:vAlign w:val="center"/>
          </w:tcPr>
          <w:p w:rsidR="00661700" w:rsidRPr="00280926" w:rsidRDefault="00661700" w:rsidP="00280926">
            <w:pPr>
              <w:spacing w:before="20" w:after="20"/>
              <w:jc w:val="center"/>
              <w:rPr>
                <w:b/>
                <w:color w:val="000000"/>
              </w:rPr>
            </w:pPr>
            <w:r w:rsidRPr="00280926">
              <w:rPr>
                <w:b/>
                <w:color w:val="000000"/>
              </w:rPr>
              <w:t>PSD Applies?</w:t>
            </w:r>
            <w:r w:rsidRPr="00280926">
              <w:rPr>
                <w:b/>
                <w:color w:val="000000"/>
              </w:rPr>
              <w:br/>
              <w:t>(Yes, No)</w:t>
            </w:r>
          </w:p>
        </w:tc>
      </w:tr>
      <w:tr w:rsidR="00661700" w:rsidRPr="0039552E" w:rsidTr="00FF2641">
        <w:trPr>
          <w:trHeight w:val="20"/>
        </w:trPr>
        <w:tc>
          <w:tcPr>
            <w:tcW w:w="666" w:type="pct"/>
            <w:vAlign w:val="center"/>
          </w:tcPr>
          <w:p w:rsidR="00661700" w:rsidRPr="00280926" w:rsidRDefault="00661700" w:rsidP="00280926">
            <w:pPr>
              <w:spacing w:before="20" w:after="20"/>
              <w:jc w:val="center"/>
              <w:rPr>
                <w:color w:val="000000"/>
              </w:rPr>
            </w:pPr>
            <w:r w:rsidRPr="00280926">
              <w:rPr>
                <w:bCs/>
              </w:rPr>
              <w:t>NO</w:t>
            </w:r>
            <w:r w:rsidRPr="00280926">
              <w:rPr>
                <w:bCs/>
                <w:vertAlign w:val="subscript"/>
              </w:rPr>
              <w:t>X</w:t>
            </w:r>
          </w:p>
        </w:tc>
        <w:tc>
          <w:tcPr>
            <w:tcW w:w="624" w:type="pct"/>
            <w:shd w:val="clear" w:color="auto" w:fill="EAF1DD"/>
            <w:noWrap/>
            <w:vAlign w:val="center"/>
          </w:tcPr>
          <w:p w:rsidR="00661700" w:rsidRPr="00280926" w:rsidRDefault="00F748BF" w:rsidP="00280926">
            <w:pPr>
              <w:spacing w:before="20" w:after="20"/>
              <w:jc w:val="center"/>
              <w:rPr>
                <w:color w:val="000000"/>
              </w:rPr>
            </w:pPr>
            <w:r>
              <w:rPr>
                <w:color w:val="000000"/>
              </w:rPr>
              <w:t>1,041</w:t>
            </w:r>
          </w:p>
        </w:tc>
        <w:tc>
          <w:tcPr>
            <w:tcW w:w="644" w:type="pct"/>
            <w:shd w:val="clear" w:color="auto" w:fill="auto"/>
            <w:vAlign w:val="center"/>
          </w:tcPr>
          <w:p w:rsidR="00661700" w:rsidRPr="00280926" w:rsidRDefault="00F748BF" w:rsidP="00280926">
            <w:pPr>
              <w:spacing w:before="20" w:after="20"/>
              <w:jc w:val="center"/>
              <w:rPr>
                <w:color w:val="000000"/>
              </w:rPr>
            </w:pPr>
            <w:r>
              <w:rPr>
                <w:color w:val="000000"/>
              </w:rPr>
              <w:t>16.55</w:t>
            </w:r>
          </w:p>
        </w:tc>
        <w:tc>
          <w:tcPr>
            <w:tcW w:w="566" w:type="pct"/>
            <w:shd w:val="clear" w:color="auto" w:fill="EAF1DD"/>
          </w:tcPr>
          <w:p w:rsidR="00661700" w:rsidRPr="00280926" w:rsidRDefault="00F748BF" w:rsidP="00280926">
            <w:pPr>
              <w:spacing w:before="20" w:after="20"/>
              <w:jc w:val="center"/>
              <w:rPr>
                <w:color w:val="000000"/>
              </w:rPr>
            </w:pPr>
            <w:r>
              <w:rPr>
                <w:color w:val="000000"/>
              </w:rPr>
              <w:t>1,057</w:t>
            </w:r>
          </w:p>
        </w:tc>
        <w:tc>
          <w:tcPr>
            <w:tcW w:w="720" w:type="pct"/>
            <w:noWrap/>
            <w:vAlign w:val="center"/>
          </w:tcPr>
          <w:p w:rsidR="00661700" w:rsidRPr="00280926" w:rsidRDefault="003A08E3" w:rsidP="00F748BF">
            <w:pPr>
              <w:spacing w:before="20" w:after="20"/>
              <w:jc w:val="center"/>
              <w:rPr>
                <w:color w:val="000000"/>
              </w:rPr>
            </w:pPr>
            <w:r>
              <w:rPr>
                <w:color w:val="000000"/>
              </w:rPr>
              <w:t>(</w:t>
            </w:r>
            <w:r w:rsidR="00F748BF">
              <w:rPr>
                <w:color w:val="000000"/>
              </w:rPr>
              <w:t>308</w:t>
            </w:r>
            <w:r>
              <w:rPr>
                <w:color w:val="000000"/>
              </w:rPr>
              <w:t>)</w:t>
            </w:r>
          </w:p>
        </w:tc>
        <w:tc>
          <w:tcPr>
            <w:tcW w:w="582" w:type="pct"/>
            <w:shd w:val="clear" w:color="auto" w:fill="EAF1DD"/>
          </w:tcPr>
          <w:p w:rsidR="00661700" w:rsidRPr="00280926" w:rsidRDefault="00F748BF" w:rsidP="00280926">
            <w:pPr>
              <w:spacing w:before="20" w:after="20"/>
              <w:jc w:val="center"/>
              <w:rPr>
                <w:color w:val="000000"/>
              </w:rPr>
            </w:pPr>
            <w:r>
              <w:rPr>
                <w:color w:val="000000"/>
              </w:rPr>
              <w:t>749</w:t>
            </w:r>
          </w:p>
        </w:tc>
        <w:tc>
          <w:tcPr>
            <w:tcW w:w="527" w:type="pct"/>
            <w:noWrap/>
            <w:vAlign w:val="center"/>
          </w:tcPr>
          <w:p w:rsidR="00661700" w:rsidRPr="00280926" w:rsidRDefault="00661700" w:rsidP="00280926">
            <w:pPr>
              <w:spacing w:before="20" w:after="20"/>
              <w:jc w:val="center"/>
              <w:rPr>
                <w:color w:val="000000"/>
              </w:rPr>
            </w:pPr>
            <w:r w:rsidRPr="00280926">
              <w:rPr>
                <w:color w:val="000000"/>
              </w:rPr>
              <w:t>40</w:t>
            </w:r>
          </w:p>
        </w:tc>
        <w:tc>
          <w:tcPr>
            <w:tcW w:w="671" w:type="pct"/>
            <w:shd w:val="clear" w:color="auto" w:fill="EAF1DD"/>
            <w:noWrap/>
            <w:vAlign w:val="center"/>
          </w:tcPr>
          <w:p w:rsidR="00661700" w:rsidRPr="003A08E3" w:rsidRDefault="00661700" w:rsidP="00280926">
            <w:pPr>
              <w:spacing w:before="20" w:after="20"/>
              <w:jc w:val="center"/>
              <w:rPr>
                <w:b/>
                <w:color w:val="000000"/>
              </w:rPr>
            </w:pPr>
            <w:r w:rsidRPr="003A08E3">
              <w:rPr>
                <w:b/>
                <w:color w:val="000000"/>
              </w:rPr>
              <w:t>Yes</w:t>
            </w:r>
          </w:p>
        </w:tc>
      </w:tr>
      <w:tr w:rsidR="00661700" w:rsidRPr="0039552E" w:rsidTr="00FF2641">
        <w:trPr>
          <w:trHeight w:val="20"/>
        </w:trPr>
        <w:tc>
          <w:tcPr>
            <w:tcW w:w="666" w:type="pct"/>
            <w:vAlign w:val="center"/>
          </w:tcPr>
          <w:p w:rsidR="00661700" w:rsidRPr="00280926" w:rsidRDefault="00661700" w:rsidP="00280926">
            <w:pPr>
              <w:spacing w:before="20" w:after="20"/>
              <w:jc w:val="center"/>
              <w:rPr>
                <w:color w:val="000000"/>
              </w:rPr>
            </w:pPr>
            <w:r w:rsidRPr="00280926">
              <w:rPr>
                <w:bCs/>
              </w:rPr>
              <w:t>PM</w:t>
            </w:r>
          </w:p>
        </w:tc>
        <w:tc>
          <w:tcPr>
            <w:tcW w:w="624" w:type="pct"/>
            <w:shd w:val="clear" w:color="auto" w:fill="EAF1DD"/>
            <w:noWrap/>
            <w:vAlign w:val="center"/>
          </w:tcPr>
          <w:p w:rsidR="00661700" w:rsidRPr="00280926" w:rsidRDefault="00F748BF" w:rsidP="00280926">
            <w:pPr>
              <w:spacing w:before="20" w:after="20"/>
              <w:jc w:val="center"/>
              <w:rPr>
                <w:color w:val="000000"/>
              </w:rPr>
            </w:pPr>
            <w:r>
              <w:rPr>
                <w:color w:val="000000"/>
              </w:rPr>
              <w:t>137</w:t>
            </w:r>
          </w:p>
        </w:tc>
        <w:tc>
          <w:tcPr>
            <w:tcW w:w="644" w:type="pct"/>
            <w:shd w:val="clear" w:color="auto" w:fill="auto"/>
            <w:vAlign w:val="center"/>
          </w:tcPr>
          <w:p w:rsidR="00661700" w:rsidRPr="00280926" w:rsidRDefault="00661700" w:rsidP="00F748BF">
            <w:pPr>
              <w:spacing w:before="20" w:after="20"/>
              <w:jc w:val="center"/>
              <w:rPr>
                <w:color w:val="000000"/>
              </w:rPr>
            </w:pPr>
            <w:r>
              <w:rPr>
                <w:color w:val="000000"/>
              </w:rPr>
              <w:t>0.</w:t>
            </w:r>
            <w:r w:rsidR="00F748BF">
              <w:rPr>
                <w:color w:val="000000"/>
              </w:rPr>
              <w:t>10</w:t>
            </w:r>
          </w:p>
        </w:tc>
        <w:tc>
          <w:tcPr>
            <w:tcW w:w="566" w:type="pct"/>
            <w:shd w:val="clear" w:color="auto" w:fill="EAF1DD"/>
          </w:tcPr>
          <w:p w:rsidR="00661700" w:rsidRPr="00280926" w:rsidRDefault="00F748BF" w:rsidP="00280926">
            <w:pPr>
              <w:spacing w:before="20" w:after="20"/>
              <w:jc w:val="center"/>
              <w:rPr>
                <w:color w:val="000000"/>
              </w:rPr>
            </w:pPr>
            <w:r>
              <w:rPr>
                <w:color w:val="000000"/>
              </w:rPr>
              <w:t>137</w:t>
            </w:r>
          </w:p>
        </w:tc>
        <w:tc>
          <w:tcPr>
            <w:tcW w:w="720" w:type="pct"/>
            <w:noWrap/>
            <w:vAlign w:val="center"/>
          </w:tcPr>
          <w:p w:rsidR="00661700" w:rsidRPr="00280926" w:rsidRDefault="003A08E3" w:rsidP="00F748BF">
            <w:pPr>
              <w:spacing w:before="20" w:after="20"/>
              <w:jc w:val="center"/>
              <w:rPr>
                <w:color w:val="000000"/>
              </w:rPr>
            </w:pPr>
            <w:r>
              <w:rPr>
                <w:color w:val="000000"/>
              </w:rPr>
              <w:t>(</w:t>
            </w:r>
            <w:r w:rsidR="00F748BF">
              <w:rPr>
                <w:color w:val="000000"/>
              </w:rPr>
              <w:t>5</w:t>
            </w:r>
            <w:r>
              <w:rPr>
                <w:color w:val="000000"/>
              </w:rPr>
              <w:t>)</w:t>
            </w:r>
          </w:p>
        </w:tc>
        <w:tc>
          <w:tcPr>
            <w:tcW w:w="582" w:type="pct"/>
            <w:shd w:val="clear" w:color="auto" w:fill="EAF1DD"/>
          </w:tcPr>
          <w:p w:rsidR="00661700" w:rsidRPr="00280926" w:rsidRDefault="00F748BF" w:rsidP="00280926">
            <w:pPr>
              <w:spacing w:before="20" w:after="20"/>
              <w:jc w:val="center"/>
              <w:rPr>
                <w:color w:val="000000"/>
              </w:rPr>
            </w:pPr>
            <w:r>
              <w:rPr>
                <w:color w:val="000000"/>
              </w:rPr>
              <w:t>132</w:t>
            </w:r>
          </w:p>
        </w:tc>
        <w:tc>
          <w:tcPr>
            <w:tcW w:w="527" w:type="pct"/>
            <w:noWrap/>
            <w:vAlign w:val="center"/>
          </w:tcPr>
          <w:p w:rsidR="00661700" w:rsidRPr="00280926" w:rsidRDefault="00661700" w:rsidP="00280926">
            <w:pPr>
              <w:spacing w:before="20" w:after="20"/>
              <w:jc w:val="center"/>
              <w:rPr>
                <w:color w:val="000000"/>
              </w:rPr>
            </w:pPr>
            <w:r w:rsidRPr="00280926">
              <w:rPr>
                <w:color w:val="000000"/>
              </w:rPr>
              <w:t>25</w:t>
            </w:r>
          </w:p>
        </w:tc>
        <w:tc>
          <w:tcPr>
            <w:tcW w:w="671" w:type="pct"/>
            <w:shd w:val="clear" w:color="auto" w:fill="EAF1DD"/>
            <w:noWrap/>
            <w:vAlign w:val="center"/>
          </w:tcPr>
          <w:p w:rsidR="00661700" w:rsidRPr="003A08E3" w:rsidRDefault="00661700" w:rsidP="00280926">
            <w:pPr>
              <w:spacing w:before="20" w:after="20"/>
              <w:jc w:val="center"/>
              <w:rPr>
                <w:b/>
                <w:color w:val="000000"/>
              </w:rPr>
            </w:pPr>
            <w:r w:rsidRPr="003A08E3">
              <w:rPr>
                <w:b/>
                <w:color w:val="000000"/>
              </w:rPr>
              <w:t>Yes</w:t>
            </w:r>
          </w:p>
        </w:tc>
      </w:tr>
      <w:tr w:rsidR="003A08E3" w:rsidRPr="0039552E" w:rsidTr="00FF2641">
        <w:trPr>
          <w:trHeight w:val="20"/>
        </w:trPr>
        <w:tc>
          <w:tcPr>
            <w:tcW w:w="666" w:type="pct"/>
            <w:vAlign w:val="center"/>
          </w:tcPr>
          <w:p w:rsidR="003A08E3" w:rsidRPr="00280926" w:rsidRDefault="003A08E3" w:rsidP="00280926">
            <w:pPr>
              <w:spacing w:before="20" w:after="20"/>
              <w:jc w:val="center"/>
              <w:rPr>
                <w:color w:val="000000"/>
              </w:rPr>
            </w:pPr>
            <w:r w:rsidRPr="00280926">
              <w:rPr>
                <w:bCs/>
              </w:rPr>
              <w:t>PM</w:t>
            </w:r>
            <w:r w:rsidRPr="00280926">
              <w:rPr>
                <w:bCs/>
                <w:vertAlign w:val="subscript"/>
              </w:rPr>
              <w:t>10</w:t>
            </w:r>
          </w:p>
        </w:tc>
        <w:tc>
          <w:tcPr>
            <w:tcW w:w="624" w:type="pct"/>
            <w:shd w:val="clear" w:color="auto" w:fill="EAF1DD"/>
            <w:noWrap/>
            <w:vAlign w:val="center"/>
          </w:tcPr>
          <w:p w:rsidR="003A08E3" w:rsidRPr="00280926" w:rsidRDefault="00F748BF" w:rsidP="00280926">
            <w:pPr>
              <w:spacing w:before="20" w:after="20"/>
              <w:jc w:val="center"/>
              <w:rPr>
                <w:color w:val="000000"/>
              </w:rPr>
            </w:pPr>
            <w:r>
              <w:rPr>
                <w:color w:val="000000"/>
              </w:rPr>
              <w:t>137</w:t>
            </w:r>
          </w:p>
        </w:tc>
        <w:tc>
          <w:tcPr>
            <w:tcW w:w="644" w:type="pct"/>
            <w:shd w:val="clear" w:color="auto" w:fill="auto"/>
            <w:vAlign w:val="center"/>
          </w:tcPr>
          <w:p w:rsidR="003A08E3" w:rsidRPr="00280926" w:rsidRDefault="003A08E3" w:rsidP="00F748BF">
            <w:pPr>
              <w:spacing w:before="20" w:after="20"/>
              <w:jc w:val="center"/>
              <w:rPr>
                <w:color w:val="000000"/>
              </w:rPr>
            </w:pPr>
            <w:r>
              <w:rPr>
                <w:color w:val="000000"/>
              </w:rPr>
              <w:t>0.</w:t>
            </w:r>
            <w:r w:rsidR="00F748BF">
              <w:rPr>
                <w:color w:val="000000"/>
              </w:rPr>
              <w:t>10</w:t>
            </w:r>
          </w:p>
        </w:tc>
        <w:tc>
          <w:tcPr>
            <w:tcW w:w="566" w:type="pct"/>
            <w:shd w:val="clear" w:color="auto" w:fill="EAF1DD"/>
          </w:tcPr>
          <w:p w:rsidR="003A08E3" w:rsidRPr="00280926" w:rsidRDefault="00F748BF" w:rsidP="00280926">
            <w:pPr>
              <w:spacing w:before="20" w:after="20"/>
              <w:jc w:val="center"/>
              <w:rPr>
                <w:color w:val="000000"/>
              </w:rPr>
            </w:pPr>
            <w:r>
              <w:rPr>
                <w:color w:val="000000"/>
              </w:rPr>
              <w:t>137</w:t>
            </w:r>
          </w:p>
        </w:tc>
        <w:tc>
          <w:tcPr>
            <w:tcW w:w="720" w:type="pct"/>
            <w:noWrap/>
            <w:vAlign w:val="center"/>
          </w:tcPr>
          <w:p w:rsidR="003A08E3" w:rsidRPr="00280926" w:rsidRDefault="003A08E3" w:rsidP="00F748BF">
            <w:pPr>
              <w:spacing w:before="20" w:after="20"/>
              <w:jc w:val="center"/>
              <w:rPr>
                <w:color w:val="000000"/>
              </w:rPr>
            </w:pPr>
            <w:r>
              <w:rPr>
                <w:color w:val="000000"/>
              </w:rPr>
              <w:t>(</w:t>
            </w:r>
            <w:r w:rsidR="00F748BF">
              <w:rPr>
                <w:color w:val="000000"/>
              </w:rPr>
              <w:t>5</w:t>
            </w:r>
            <w:r>
              <w:rPr>
                <w:color w:val="000000"/>
              </w:rPr>
              <w:t>)</w:t>
            </w:r>
          </w:p>
        </w:tc>
        <w:tc>
          <w:tcPr>
            <w:tcW w:w="582" w:type="pct"/>
            <w:shd w:val="clear" w:color="auto" w:fill="EAF1DD"/>
          </w:tcPr>
          <w:p w:rsidR="003A08E3" w:rsidRPr="00280926" w:rsidRDefault="00F748BF" w:rsidP="00280926">
            <w:pPr>
              <w:spacing w:before="20" w:after="20"/>
              <w:jc w:val="center"/>
              <w:rPr>
                <w:color w:val="000000"/>
              </w:rPr>
            </w:pPr>
            <w:r>
              <w:rPr>
                <w:color w:val="000000"/>
              </w:rPr>
              <w:t>132</w:t>
            </w:r>
          </w:p>
        </w:tc>
        <w:tc>
          <w:tcPr>
            <w:tcW w:w="527" w:type="pct"/>
            <w:noWrap/>
            <w:vAlign w:val="center"/>
          </w:tcPr>
          <w:p w:rsidR="003A08E3" w:rsidRPr="00280926" w:rsidRDefault="003A08E3" w:rsidP="00280926">
            <w:pPr>
              <w:spacing w:before="20" w:after="20"/>
              <w:jc w:val="center"/>
              <w:rPr>
                <w:color w:val="000000"/>
              </w:rPr>
            </w:pPr>
            <w:r w:rsidRPr="00280926">
              <w:rPr>
                <w:color w:val="000000"/>
              </w:rPr>
              <w:t>15</w:t>
            </w:r>
          </w:p>
        </w:tc>
        <w:tc>
          <w:tcPr>
            <w:tcW w:w="671" w:type="pct"/>
            <w:shd w:val="clear" w:color="auto" w:fill="EAF1DD"/>
            <w:noWrap/>
            <w:vAlign w:val="center"/>
          </w:tcPr>
          <w:p w:rsidR="003A08E3" w:rsidRPr="003A08E3" w:rsidRDefault="003A08E3" w:rsidP="00280926">
            <w:pPr>
              <w:spacing w:before="20" w:after="20"/>
              <w:jc w:val="center"/>
              <w:rPr>
                <w:b/>
                <w:color w:val="000000"/>
              </w:rPr>
            </w:pPr>
            <w:r w:rsidRPr="003A08E3">
              <w:rPr>
                <w:b/>
                <w:color w:val="000000"/>
              </w:rPr>
              <w:t>Yes</w:t>
            </w:r>
          </w:p>
        </w:tc>
      </w:tr>
      <w:tr w:rsidR="003A08E3" w:rsidRPr="0039552E" w:rsidTr="00FF2641">
        <w:trPr>
          <w:trHeight w:val="20"/>
        </w:trPr>
        <w:tc>
          <w:tcPr>
            <w:tcW w:w="666" w:type="pct"/>
            <w:vAlign w:val="center"/>
          </w:tcPr>
          <w:p w:rsidR="003A08E3" w:rsidRPr="00280926" w:rsidRDefault="003A08E3" w:rsidP="00280926">
            <w:pPr>
              <w:spacing w:before="20" w:after="20"/>
              <w:jc w:val="center"/>
              <w:rPr>
                <w:bCs/>
              </w:rPr>
            </w:pPr>
            <w:r w:rsidRPr="00280926">
              <w:rPr>
                <w:bCs/>
              </w:rPr>
              <w:t>PM</w:t>
            </w:r>
            <w:r w:rsidRPr="00280926">
              <w:rPr>
                <w:bCs/>
                <w:vertAlign w:val="subscript"/>
              </w:rPr>
              <w:t>2.5</w:t>
            </w:r>
          </w:p>
        </w:tc>
        <w:tc>
          <w:tcPr>
            <w:tcW w:w="624" w:type="pct"/>
            <w:shd w:val="clear" w:color="auto" w:fill="EAF1DD"/>
            <w:noWrap/>
            <w:vAlign w:val="center"/>
          </w:tcPr>
          <w:p w:rsidR="003A08E3" w:rsidRPr="00280926" w:rsidRDefault="00F748BF" w:rsidP="00280926">
            <w:pPr>
              <w:spacing w:before="20" w:after="20"/>
              <w:jc w:val="center"/>
              <w:rPr>
                <w:color w:val="000000"/>
              </w:rPr>
            </w:pPr>
            <w:r>
              <w:rPr>
                <w:color w:val="000000"/>
              </w:rPr>
              <w:t>137</w:t>
            </w:r>
          </w:p>
        </w:tc>
        <w:tc>
          <w:tcPr>
            <w:tcW w:w="644" w:type="pct"/>
            <w:shd w:val="clear" w:color="auto" w:fill="auto"/>
            <w:vAlign w:val="center"/>
          </w:tcPr>
          <w:p w:rsidR="003A08E3" w:rsidRPr="00280926" w:rsidRDefault="003A08E3" w:rsidP="00F748BF">
            <w:pPr>
              <w:spacing w:before="20" w:after="20"/>
              <w:jc w:val="center"/>
              <w:rPr>
                <w:color w:val="000000"/>
              </w:rPr>
            </w:pPr>
            <w:r>
              <w:rPr>
                <w:color w:val="000000"/>
              </w:rPr>
              <w:t>0.</w:t>
            </w:r>
            <w:r w:rsidR="00F748BF">
              <w:rPr>
                <w:color w:val="000000"/>
              </w:rPr>
              <w:t>10</w:t>
            </w:r>
          </w:p>
        </w:tc>
        <w:tc>
          <w:tcPr>
            <w:tcW w:w="566" w:type="pct"/>
            <w:shd w:val="clear" w:color="auto" w:fill="EAF1DD"/>
          </w:tcPr>
          <w:p w:rsidR="003A08E3" w:rsidRPr="00280926" w:rsidRDefault="00F748BF" w:rsidP="00280926">
            <w:pPr>
              <w:spacing w:before="20" w:after="20"/>
              <w:jc w:val="center"/>
              <w:rPr>
                <w:color w:val="000000"/>
              </w:rPr>
            </w:pPr>
            <w:r>
              <w:rPr>
                <w:color w:val="000000"/>
              </w:rPr>
              <w:t>137</w:t>
            </w:r>
          </w:p>
        </w:tc>
        <w:tc>
          <w:tcPr>
            <w:tcW w:w="720" w:type="pct"/>
            <w:noWrap/>
            <w:vAlign w:val="center"/>
          </w:tcPr>
          <w:p w:rsidR="003A08E3" w:rsidRPr="00280926" w:rsidRDefault="003A08E3" w:rsidP="00F748BF">
            <w:pPr>
              <w:spacing w:before="20" w:after="20"/>
              <w:jc w:val="center"/>
              <w:rPr>
                <w:color w:val="000000"/>
              </w:rPr>
            </w:pPr>
            <w:r>
              <w:rPr>
                <w:color w:val="000000"/>
              </w:rPr>
              <w:t>(</w:t>
            </w:r>
            <w:r w:rsidR="00F748BF">
              <w:rPr>
                <w:color w:val="000000"/>
              </w:rPr>
              <w:t>5</w:t>
            </w:r>
            <w:r>
              <w:rPr>
                <w:color w:val="000000"/>
              </w:rPr>
              <w:t>)</w:t>
            </w:r>
          </w:p>
        </w:tc>
        <w:tc>
          <w:tcPr>
            <w:tcW w:w="582" w:type="pct"/>
            <w:shd w:val="clear" w:color="auto" w:fill="EAF1DD"/>
          </w:tcPr>
          <w:p w:rsidR="003A08E3" w:rsidRPr="00280926" w:rsidRDefault="00F748BF" w:rsidP="00280926">
            <w:pPr>
              <w:spacing w:before="20" w:after="20"/>
              <w:jc w:val="center"/>
              <w:rPr>
                <w:color w:val="000000"/>
              </w:rPr>
            </w:pPr>
            <w:r>
              <w:rPr>
                <w:color w:val="000000"/>
              </w:rPr>
              <w:t>132</w:t>
            </w:r>
          </w:p>
        </w:tc>
        <w:tc>
          <w:tcPr>
            <w:tcW w:w="527" w:type="pct"/>
            <w:noWrap/>
            <w:vAlign w:val="center"/>
          </w:tcPr>
          <w:p w:rsidR="003A08E3" w:rsidRPr="00280926" w:rsidRDefault="003A08E3" w:rsidP="003A08E3">
            <w:pPr>
              <w:spacing w:before="20" w:after="20"/>
              <w:jc w:val="center"/>
              <w:rPr>
                <w:color w:val="000000"/>
              </w:rPr>
            </w:pPr>
            <w:r w:rsidRPr="00280926">
              <w:rPr>
                <w:color w:val="000000"/>
              </w:rPr>
              <w:t>10</w:t>
            </w:r>
          </w:p>
        </w:tc>
        <w:tc>
          <w:tcPr>
            <w:tcW w:w="671" w:type="pct"/>
            <w:shd w:val="clear" w:color="auto" w:fill="EAF1DD"/>
            <w:noWrap/>
            <w:vAlign w:val="center"/>
          </w:tcPr>
          <w:p w:rsidR="003A08E3" w:rsidRPr="003A08E3" w:rsidRDefault="003A08E3" w:rsidP="00280926">
            <w:pPr>
              <w:spacing w:before="20" w:after="20"/>
              <w:jc w:val="center"/>
              <w:rPr>
                <w:b/>
                <w:color w:val="000000"/>
              </w:rPr>
            </w:pPr>
            <w:r w:rsidRPr="003A08E3">
              <w:rPr>
                <w:b/>
                <w:color w:val="000000"/>
              </w:rPr>
              <w:t>Yes</w:t>
            </w:r>
          </w:p>
        </w:tc>
      </w:tr>
      <w:tr w:rsidR="00661700" w:rsidRPr="0039552E" w:rsidTr="00FF2641">
        <w:trPr>
          <w:trHeight w:val="20"/>
        </w:trPr>
        <w:tc>
          <w:tcPr>
            <w:tcW w:w="666" w:type="pct"/>
            <w:vAlign w:val="center"/>
          </w:tcPr>
          <w:p w:rsidR="00661700" w:rsidRPr="00280926" w:rsidRDefault="00661700" w:rsidP="00280926">
            <w:pPr>
              <w:spacing w:before="20" w:after="20"/>
              <w:jc w:val="center"/>
              <w:rPr>
                <w:color w:val="000000"/>
              </w:rPr>
            </w:pPr>
            <w:r w:rsidRPr="00280926">
              <w:rPr>
                <w:bCs/>
              </w:rPr>
              <w:t>CO</w:t>
            </w:r>
          </w:p>
        </w:tc>
        <w:tc>
          <w:tcPr>
            <w:tcW w:w="624" w:type="pct"/>
            <w:shd w:val="clear" w:color="auto" w:fill="EAF1DD"/>
            <w:noWrap/>
            <w:vAlign w:val="center"/>
          </w:tcPr>
          <w:p w:rsidR="00661700" w:rsidRPr="00280926" w:rsidRDefault="000838BC" w:rsidP="00280926">
            <w:pPr>
              <w:spacing w:before="20" w:after="20"/>
              <w:jc w:val="center"/>
              <w:rPr>
                <w:color w:val="000000"/>
              </w:rPr>
            </w:pPr>
            <w:r>
              <w:rPr>
                <w:color w:val="000000"/>
              </w:rPr>
              <w:t>565</w:t>
            </w:r>
          </w:p>
        </w:tc>
        <w:tc>
          <w:tcPr>
            <w:tcW w:w="644" w:type="pct"/>
            <w:shd w:val="clear" w:color="auto" w:fill="auto"/>
            <w:vAlign w:val="center"/>
          </w:tcPr>
          <w:p w:rsidR="00661700" w:rsidRPr="00280926" w:rsidRDefault="000838BC" w:rsidP="000838BC">
            <w:pPr>
              <w:spacing w:before="20" w:after="20"/>
              <w:jc w:val="center"/>
              <w:rPr>
                <w:color w:val="000000"/>
              </w:rPr>
            </w:pPr>
            <w:r>
              <w:rPr>
                <w:color w:val="000000"/>
              </w:rPr>
              <w:t>2.13</w:t>
            </w:r>
          </w:p>
        </w:tc>
        <w:tc>
          <w:tcPr>
            <w:tcW w:w="566" w:type="pct"/>
            <w:shd w:val="clear" w:color="auto" w:fill="EAF1DD"/>
          </w:tcPr>
          <w:p w:rsidR="00661700" w:rsidRPr="00280926" w:rsidRDefault="000838BC" w:rsidP="00280926">
            <w:pPr>
              <w:spacing w:before="20" w:after="20"/>
              <w:jc w:val="center"/>
              <w:rPr>
                <w:color w:val="000000"/>
              </w:rPr>
            </w:pPr>
            <w:r>
              <w:rPr>
                <w:color w:val="000000"/>
              </w:rPr>
              <w:t>567</w:t>
            </w:r>
          </w:p>
        </w:tc>
        <w:tc>
          <w:tcPr>
            <w:tcW w:w="720" w:type="pct"/>
            <w:noWrap/>
            <w:vAlign w:val="center"/>
          </w:tcPr>
          <w:p w:rsidR="00661700" w:rsidRPr="00280926" w:rsidRDefault="003A08E3" w:rsidP="000838BC">
            <w:pPr>
              <w:spacing w:before="20" w:after="20"/>
              <w:jc w:val="center"/>
              <w:rPr>
                <w:color w:val="000000"/>
              </w:rPr>
            </w:pPr>
            <w:r>
              <w:rPr>
                <w:color w:val="000000"/>
              </w:rPr>
              <w:t>(</w:t>
            </w:r>
            <w:r w:rsidR="000838BC">
              <w:rPr>
                <w:color w:val="000000"/>
              </w:rPr>
              <w:t>92</w:t>
            </w:r>
            <w:r>
              <w:rPr>
                <w:color w:val="000000"/>
              </w:rPr>
              <w:t>)</w:t>
            </w:r>
          </w:p>
        </w:tc>
        <w:tc>
          <w:tcPr>
            <w:tcW w:w="582" w:type="pct"/>
            <w:shd w:val="clear" w:color="auto" w:fill="EAF1DD"/>
          </w:tcPr>
          <w:p w:rsidR="00661700" w:rsidRPr="00280926" w:rsidRDefault="000838BC" w:rsidP="00280926">
            <w:pPr>
              <w:spacing w:before="20" w:after="20"/>
              <w:jc w:val="center"/>
              <w:rPr>
                <w:color w:val="000000"/>
              </w:rPr>
            </w:pPr>
            <w:r>
              <w:rPr>
                <w:color w:val="000000"/>
              </w:rPr>
              <w:t>475</w:t>
            </w:r>
          </w:p>
        </w:tc>
        <w:tc>
          <w:tcPr>
            <w:tcW w:w="527" w:type="pct"/>
            <w:noWrap/>
            <w:vAlign w:val="center"/>
          </w:tcPr>
          <w:p w:rsidR="00661700" w:rsidRPr="00280926" w:rsidRDefault="00661700" w:rsidP="00280926">
            <w:pPr>
              <w:spacing w:before="20" w:after="20"/>
              <w:jc w:val="center"/>
              <w:rPr>
                <w:color w:val="000000"/>
              </w:rPr>
            </w:pPr>
            <w:r w:rsidRPr="00280926">
              <w:rPr>
                <w:color w:val="000000"/>
              </w:rPr>
              <w:t>100</w:t>
            </w:r>
          </w:p>
        </w:tc>
        <w:tc>
          <w:tcPr>
            <w:tcW w:w="671" w:type="pct"/>
            <w:shd w:val="clear" w:color="auto" w:fill="EAF1DD"/>
            <w:noWrap/>
            <w:vAlign w:val="center"/>
          </w:tcPr>
          <w:p w:rsidR="00661700" w:rsidRPr="003A08E3" w:rsidRDefault="00661700" w:rsidP="00280926">
            <w:pPr>
              <w:spacing w:before="20" w:after="20"/>
              <w:jc w:val="center"/>
              <w:rPr>
                <w:b/>
                <w:color w:val="000000"/>
              </w:rPr>
            </w:pPr>
            <w:r w:rsidRPr="003A08E3">
              <w:rPr>
                <w:b/>
                <w:color w:val="000000"/>
              </w:rPr>
              <w:t>Yes</w:t>
            </w:r>
          </w:p>
        </w:tc>
      </w:tr>
      <w:tr w:rsidR="00661700" w:rsidRPr="0039552E" w:rsidTr="00FF2641">
        <w:trPr>
          <w:trHeight w:val="20"/>
        </w:trPr>
        <w:tc>
          <w:tcPr>
            <w:tcW w:w="666" w:type="pct"/>
            <w:vAlign w:val="center"/>
          </w:tcPr>
          <w:p w:rsidR="00661700" w:rsidRPr="00280926" w:rsidRDefault="00661700" w:rsidP="00280926">
            <w:pPr>
              <w:spacing w:before="20" w:after="20"/>
              <w:jc w:val="center"/>
              <w:rPr>
                <w:color w:val="000000"/>
              </w:rPr>
            </w:pPr>
            <w:r w:rsidRPr="00280926">
              <w:rPr>
                <w:bCs/>
              </w:rPr>
              <w:t>SO</w:t>
            </w:r>
            <w:r w:rsidRPr="00280926">
              <w:rPr>
                <w:bCs/>
                <w:vertAlign w:val="subscript"/>
              </w:rPr>
              <w:t>2</w:t>
            </w:r>
          </w:p>
        </w:tc>
        <w:tc>
          <w:tcPr>
            <w:tcW w:w="624" w:type="pct"/>
            <w:shd w:val="clear" w:color="auto" w:fill="EAF1DD"/>
            <w:noWrap/>
            <w:vAlign w:val="center"/>
          </w:tcPr>
          <w:p w:rsidR="00661700" w:rsidRPr="00280926" w:rsidRDefault="000838BC" w:rsidP="00280926">
            <w:pPr>
              <w:spacing w:before="20" w:after="20"/>
              <w:jc w:val="center"/>
              <w:rPr>
                <w:color w:val="000000"/>
              </w:rPr>
            </w:pPr>
            <w:r>
              <w:rPr>
                <w:color w:val="000000"/>
              </w:rPr>
              <w:t>109</w:t>
            </w:r>
          </w:p>
        </w:tc>
        <w:tc>
          <w:tcPr>
            <w:tcW w:w="644" w:type="pct"/>
            <w:shd w:val="clear" w:color="auto" w:fill="auto"/>
            <w:vAlign w:val="center"/>
          </w:tcPr>
          <w:p w:rsidR="00661700" w:rsidRPr="00280926" w:rsidRDefault="00661700" w:rsidP="000838BC">
            <w:pPr>
              <w:spacing w:before="20" w:after="20"/>
              <w:jc w:val="center"/>
              <w:rPr>
                <w:color w:val="000000"/>
              </w:rPr>
            </w:pPr>
            <w:r>
              <w:rPr>
                <w:color w:val="000000"/>
              </w:rPr>
              <w:t>0.0</w:t>
            </w:r>
            <w:r w:rsidR="000838BC">
              <w:rPr>
                <w:color w:val="000000"/>
              </w:rPr>
              <w:t>15</w:t>
            </w:r>
          </w:p>
        </w:tc>
        <w:tc>
          <w:tcPr>
            <w:tcW w:w="566" w:type="pct"/>
            <w:shd w:val="clear" w:color="auto" w:fill="EAF1DD"/>
          </w:tcPr>
          <w:p w:rsidR="00661700" w:rsidRPr="00280926" w:rsidRDefault="000838BC" w:rsidP="00280926">
            <w:pPr>
              <w:spacing w:before="20" w:after="20"/>
              <w:jc w:val="center"/>
              <w:rPr>
                <w:color w:val="000000"/>
              </w:rPr>
            </w:pPr>
            <w:r>
              <w:rPr>
                <w:color w:val="000000"/>
              </w:rPr>
              <w:t>109</w:t>
            </w:r>
          </w:p>
        </w:tc>
        <w:tc>
          <w:tcPr>
            <w:tcW w:w="720" w:type="pct"/>
            <w:noWrap/>
            <w:vAlign w:val="center"/>
          </w:tcPr>
          <w:p w:rsidR="00661700" w:rsidRPr="00280926" w:rsidRDefault="003A08E3" w:rsidP="000838BC">
            <w:pPr>
              <w:spacing w:before="20" w:after="20"/>
              <w:jc w:val="center"/>
              <w:rPr>
                <w:color w:val="000000"/>
              </w:rPr>
            </w:pPr>
            <w:r>
              <w:rPr>
                <w:color w:val="000000"/>
              </w:rPr>
              <w:t>(</w:t>
            </w:r>
            <w:r w:rsidR="000838BC">
              <w:rPr>
                <w:color w:val="000000"/>
              </w:rPr>
              <w:t>75</w:t>
            </w:r>
            <w:r>
              <w:rPr>
                <w:color w:val="000000"/>
              </w:rPr>
              <w:t>)</w:t>
            </w:r>
          </w:p>
        </w:tc>
        <w:tc>
          <w:tcPr>
            <w:tcW w:w="582" w:type="pct"/>
            <w:shd w:val="clear" w:color="auto" w:fill="EAF1DD"/>
          </w:tcPr>
          <w:p w:rsidR="00661700" w:rsidRPr="00280926" w:rsidRDefault="000838BC" w:rsidP="000838BC">
            <w:pPr>
              <w:spacing w:before="20" w:after="20"/>
              <w:jc w:val="center"/>
              <w:rPr>
                <w:color w:val="000000"/>
              </w:rPr>
            </w:pPr>
            <w:r>
              <w:rPr>
                <w:color w:val="000000"/>
              </w:rPr>
              <w:t>34</w:t>
            </w:r>
          </w:p>
        </w:tc>
        <w:tc>
          <w:tcPr>
            <w:tcW w:w="527" w:type="pct"/>
            <w:noWrap/>
            <w:vAlign w:val="center"/>
          </w:tcPr>
          <w:p w:rsidR="00661700" w:rsidRPr="00280926" w:rsidRDefault="00661700" w:rsidP="00280926">
            <w:pPr>
              <w:spacing w:before="20" w:after="20"/>
              <w:jc w:val="center"/>
              <w:rPr>
                <w:color w:val="000000"/>
              </w:rPr>
            </w:pPr>
            <w:r w:rsidRPr="00280926">
              <w:rPr>
                <w:color w:val="000000"/>
              </w:rPr>
              <w:t>40</w:t>
            </w:r>
          </w:p>
        </w:tc>
        <w:tc>
          <w:tcPr>
            <w:tcW w:w="671" w:type="pct"/>
            <w:shd w:val="clear" w:color="auto" w:fill="EAF1DD"/>
            <w:noWrap/>
            <w:vAlign w:val="center"/>
          </w:tcPr>
          <w:p w:rsidR="00661700" w:rsidRPr="00280926" w:rsidRDefault="00661700" w:rsidP="00280926">
            <w:pPr>
              <w:spacing w:before="20" w:after="20"/>
              <w:jc w:val="center"/>
              <w:rPr>
                <w:color w:val="000000"/>
              </w:rPr>
            </w:pPr>
            <w:r w:rsidRPr="00280926">
              <w:rPr>
                <w:color w:val="000000"/>
              </w:rPr>
              <w:t>No</w:t>
            </w:r>
          </w:p>
        </w:tc>
      </w:tr>
      <w:tr w:rsidR="00661700" w:rsidRPr="0039552E" w:rsidTr="00FF2641">
        <w:trPr>
          <w:trHeight w:val="20"/>
        </w:trPr>
        <w:tc>
          <w:tcPr>
            <w:tcW w:w="666" w:type="pct"/>
            <w:vAlign w:val="center"/>
          </w:tcPr>
          <w:p w:rsidR="00661700" w:rsidRPr="00280926" w:rsidRDefault="00661700" w:rsidP="00280926">
            <w:pPr>
              <w:spacing w:before="20" w:after="20"/>
              <w:jc w:val="center"/>
              <w:rPr>
                <w:color w:val="000000"/>
              </w:rPr>
            </w:pPr>
            <w:r w:rsidRPr="00280926">
              <w:rPr>
                <w:bCs/>
              </w:rPr>
              <w:t>SAM</w:t>
            </w:r>
          </w:p>
        </w:tc>
        <w:tc>
          <w:tcPr>
            <w:tcW w:w="624" w:type="pct"/>
            <w:shd w:val="clear" w:color="auto" w:fill="EAF1DD"/>
            <w:noWrap/>
            <w:vAlign w:val="center"/>
          </w:tcPr>
          <w:p w:rsidR="00661700" w:rsidRPr="00280926" w:rsidRDefault="000838BC" w:rsidP="00280926">
            <w:pPr>
              <w:spacing w:before="20" w:after="20"/>
              <w:jc w:val="center"/>
              <w:rPr>
                <w:color w:val="000000"/>
              </w:rPr>
            </w:pPr>
            <w:r>
              <w:rPr>
                <w:color w:val="000000"/>
              </w:rPr>
              <w:t>10.9</w:t>
            </w:r>
          </w:p>
        </w:tc>
        <w:tc>
          <w:tcPr>
            <w:tcW w:w="644" w:type="pct"/>
            <w:shd w:val="clear" w:color="auto" w:fill="auto"/>
            <w:vAlign w:val="center"/>
          </w:tcPr>
          <w:p w:rsidR="00661700" w:rsidRPr="00280926" w:rsidRDefault="00661700" w:rsidP="00280926">
            <w:pPr>
              <w:spacing w:before="20" w:after="20"/>
              <w:jc w:val="center"/>
              <w:rPr>
                <w:color w:val="000000"/>
              </w:rPr>
            </w:pPr>
            <w:r>
              <w:rPr>
                <w:color w:val="000000"/>
              </w:rPr>
              <w:t>&lt;0.001</w:t>
            </w:r>
          </w:p>
        </w:tc>
        <w:tc>
          <w:tcPr>
            <w:tcW w:w="566" w:type="pct"/>
            <w:shd w:val="clear" w:color="auto" w:fill="EAF1DD"/>
          </w:tcPr>
          <w:p w:rsidR="00661700" w:rsidRPr="00280926" w:rsidRDefault="000838BC" w:rsidP="00280926">
            <w:pPr>
              <w:spacing w:before="20" w:after="20"/>
              <w:jc w:val="center"/>
              <w:rPr>
                <w:color w:val="000000"/>
              </w:rPr>
            </w:pPr>
            <w:r>
              <w:rPr>
                <w:color w:val="000000"/>
              </w:rPr>
              <w:t>10.9</w:t>
            </w:r>
          </w:p>
        </w:tc>
        <w:tc>
          <w:tcPr>
            <w:tcW w:w="720" w:type="pct"/>
            <w:noWrap/>
            <w:vAlign w:val="center"/>
          </w:tcPr>
          <w:p w:rsidR="00661700" w:rsidRPr="00280926" w:rsidRDefault="003A08E3" w:rsidP="000838BC">
            <w:pPr>
              <w:spacing w:before="20" w:after="20"/>
              <w:jc w:val="center"/>
              <w:rPr>
                <w:color w:val="000000"/>
              </w:rPr>
            </w:pPr>
            <w:r>
              <w:rPr>
                <w:color w:val="000000"/>
              </w:rPr>
              <w:t>(</w:t>
            </w:r>
            <w:r w:rsidR="000838BC">
              <w:rPr>
                <w:color w:val="000000"/>
              </w:rPr>
              <w:t>11.4</w:t>
            </w:r>
            <w:r>
              <w:rPr>
                <w:color w:val="000000"/>
              </w:rPr>
              <w:t>)</w:t>
            </w:r>
          </w:p>
        </w:tc>
        <w:tc>
          <w:tcPr>
            <w:tcW w:w="582" w:type="pct"/>
            <w:shd w:val="clear" w:color="auto" w:fill="EAF1DD"/>
          </w:tcPr>
          <w:p w:rsidR="00661700" w:rsidRPr="00280926" w:rsidRDefault="003A08E3" w:rsidP="000838BC">
            <w:pPr>
              <w:spacing w:before="20" w:after="20"/>
              <w:jc w:val="center"/>
              <w:rPr>
                <w:color w:val="000000"/>
              </w:rPr>
            </w:pPr>
            <w:r>
              <w:rPr>
                <w:color w:val="000000"/>
              </w:rPr>
              <w:t>-</w:t>
            </w:r>
            <w:r w:rsidR="000838BC">
              <w:rPr>
                <w:color w:val="000000"/>
              </w:rPr>
              <w:t>0.5</w:t>
            </w:r>
          </w:p>
        </w:tc>
        <w:tc>
          <w:tcPr>
            <w:tcW w:w="527" w:type="pct"/>
            <w:noWrap/>
            <w:vAlign w:val="center"/>
          </w:tcPr>
          <w:p w:rsidR="00661700" w:rsidRPr="00280926" w:rsidRDefault="00661700" w:rsidP="00280926">
            <w:pPr>
              <w:spacing w:before="20" w:after="20"/>
              <w:jc w:val="center"/>
              <w:rPr>
                <w:color w:val="000000"/>
              </w:rPr>
            </w:pPr>
            <w:r w:rsidRPr="00280926">
              <w:rPr>
                <w:color w:val="000000"/>
              </w:rPr>
              <w:t>7</w:t>
            </w:r>
          </w:p>
        </w:tc>
        <w:tc>
          <w:tcPr>
            <w:tcW w:w="671" w:type="pct"/>
            <w:shd w:val="clear" w:color="auto" w:fill="EAF1DD"/>
            <w:noWrap/>
            <w:vAlign w:val="center"/>
          </w:tcPr>
          <w:p w:rsidR="00661700" w:rsidRPr="00280926" w:rsidRDefault="00661700" w:rsidP="00280926">
            <w:pPr>
              <w:spacing w:before="20" w:after="20"/>
              <w:jc w:val="center"/>
              <w:rPr>
                <w:color w:val="000000"/>
              </w:rPr>
            </w:pPr>
            <w:r w:rsidRPr="00280926">
              <w:rPr>
                <w:color w:val="000000"/>
              </w:rPr>
              <w:t>No</w:t>
            </w:r>
          </w:p>
        </w:tc>
      </w:tr>
      <w:tr w:rsidR="00661700" w:rsidRPr="0039552E" w:rsidTr="00FF2641">
        <w:trPr>
          <w:trHeight w:val="20"/>
        </w:trPr>
        <w:tc>
          <w:tcPr>
            <w:tcW w:w="666" w:type="pct"/>
            <w:vAlign w:val="center"/>
          </w:tcPr>
          <w:p w:rsidR="00661700" w:rsidRPr="00280926" w:rsidRDefault="00661700" w:rsidP="00280926">
            <w:pPr>
              <w:spacing w:before="20" w:after="20"/>
              <w:jc w:val="center"/>
              <w:rPr>
                <w:color w:val="000000"/>
              </w:rPr>
            </w:pPr>
            <w:r w:rsidRPr="00280926">
              <w:rPr>
                <w:bCs/>
              </w:rPr>
              <w:t>VOC</w:t>
            </w:r>
          </w:p>
        </w:tc>
        <w:tc>
          <w:tcPr>
            <w:tcW w:w="624" w:type="pct"/>
            <w:shd w:val="clear" w:color="auto" w:fill="EAF1DD"/>
            <w:noWrap/>
            <w:vAlign w:val="center"/>
          </w:tcPr>
          <w:p w:rsidR="00661700" w:rsidRPr="00280926" w:rsidRDefault="000838BC" w:rsidP="00280926">
            <w:pPr>
              <w:spacing w:before="20" w:after="20"/>
              <w:jc w:val="center"/>
              <w:rPr>
                <w:color w:val="000000"/>
              </w:rPr>
            </w:pPr>
            <w:r>
              <w:rPr>
                <w:color w:val="000000"/>
              </w:rPr>
              <w:t>69.8</w:t>
            </w:r>
          </w:p>
        </w:tc>
        <w:tc>
          <w:tcPr>
            <w:tcW w:w="644" w:type="pct"/>
            <w:shd w:val="clear" w:color="auto" w:fill="auto"/>
            <w:vAlign w:val="center"/>
          </w:tcPr>
          <w:p w:rsidR="00661700" w:rsidRPr="00280926" w:rsidRDefault="000838BC" w:rsidP="00280926">
            <w:pPr>
              <w:spacing w:before="20" w:after="20"/>
              <w:jc w:val="center"/>
              <w:rPr>
                <w:color w:val="000000"/>
              </w:rPr>
            </w:pPr>
            <w:r>
              <w:rPr>
                <w:color w:val="000000"/>
              </w:rPr>
              <w:t>1.72</w:t>
            </w:r>
          </w:p>
        </w:tc>
        <w:tc>
          <w:tcPr>
            <w:tcW w:w="566" w:type="pct"/>
            <w:shd w:val="clear" w:color="auto" w:fill="EAF1DD"/>
          </w:tcPr>
          <w:p w:rsidR="00661700" w:rsidRPr="00280926" w:rsidRDefault="000838BC" w:rsidP="00280926">
            <w:pPr>
              <w:spacing w:before="20" w:after="20"/>
              <w:jc w:val="center"/>
              <w:rPr>
                <w:color w:val="000000"/>
              </w:rPr>
            </w:pPr>
            <w:r>
              <w:rPr>
                <w:color w:val="000000"/>
              </w:rPr>
              <w:t>71.5</w:t>
            </w:r>
          </w:p>
        </w:tc>
        <w:tc>
          <w:tcPr>
            <w:tcW w:w="720" w:type="pct"/>
            <w:noWrap/>
            <w:vAlign w:val="center"/>
          </w:tcPr>
          <w:p w:rsidR="00661700" w:rsidRPr="00280926" w:rsidRDefault="003A08E3" w:rsidP="000838BC">
            <w:pPr>
              <w:spacing w:before="20" w:after="20"/>
              <w:jc w:val="center"/>
              <w:rPr>
                <w:color w:val="000000"/>
              </w:rPr>
            </w:pPr>
            <w:r>
              <w:rPr>
                <w:color w:val="000000"/>
              </w:rPr>
              <w:t>(</w:t>
            </w:r>
            <w:r w:rsidR="000838BC">
              <w:rPr>
                <w:color w:val="000000"/>
              </w:rPr>
              <w:t>1.6</w:t>
            </w:r>
            <w:r>
              <w:rPr>
                <w:color w:val="000000"/>
              </w:rPr>
              <w:t>)</w:t>
            </w:r>
          </w:p>
        </w:tc>
        <w:tc>
          <w:tcPr>
            <w:tcW w:w="582" w:type="pct"/>
            <w:shd w:val="clear" w:color="auto" w:fill="EAF1DD"/>
          </w:tcPr>
          <w:p w:rsidR="00661700" w:rsidRPr="00280926" w:rsidRDefault="000838BC" w:rsidP="000F6E32">
            <w:pPr>
              <w:spacing w:before="20" w:after="20"/>
              <w:jc w:val="center"/>
              <w:rPr>
                <w:color w:val="000000"/>
              </w:rPr>
            </w:pPr>
            <w:r>
              <w:rPr>
                <w:color w:val="000000"/>
              </w:rPr>
              <w:t>69.9</w:t>
            </w:r>
          </w:p>
        </w:tc>
        <w:tc>
          <w:tcPr>
            <w:tcW w:w="527" w:type="pct"/>
            <w:noWrap/>
            <w:vAlign w:val="center"/>
          </w:tcPr>
          <w:p w:rsidR="00661700" w:rsidRPr="00280926" w:rsidRDefault="00661700" w:rsidP="00280926">
            <w:pPr>
              <w:spacing w:before="20" w:after="20"/>
              <w:jc w:val="center"/>
              <w:rPr>
                <w:color w:val="000000"/>
              </w:rPr>
            </w:pPr>
            <w:r w:rsidRPr="00280926">
              <w:rPr>
                <w:color w:val="000000"/>
              </w:rPr>
              <w:t>40</w:t>
            </w:r>
          </w:p>
        </w:tc>
        <w:tc>
          <w:tcPr>
            <w:tcW w:w="671" w:type="pct"/>
            <w:shd w:val="clear" w:color="auto" w:fill="EAF1DD"/>
            <w:noWrap/>
            <w:vAlign w:val="center"/>
          </w:tcPr>
          <w:p w:rsidR="00661700" w:rsidRPr="000838BC" w:rsidRDefault="000838BC" w:rsidP="00280926">
            <w:pPr>
              <w:spacing w:before="20" w:after="20"/>
              <w:jc w:val="center"/>
              <w:rPr>
                <w:b/>
                <w:color w:val="000000"/>
              </w:rPr>
            </w:pPr>
            <w:r w:rsidRPr="000838BC">
              <w:rPr>
                <w:b/>
                <w:color w:val="000000"/>
              </w:rPr>
              <w:t>Yes</w:t>
            </w:r>
          </w:p>
        </w:tc>
      </w:tr>
      <w:tr w:rsidR="00661700" w:rsidRPr="0039552E" w:rsidTr="00FF2641">
        <w:trPr>
          <w:trHeight w:val="20"/>
        </w:trPr>
        <w:tc>
          <w:tcPr>
            <w:tcW w:w="666" w:type="pct"/>
            <w:vAlign w:val="center"/>
          </w:tcPr>
          <w:p w:rsidR="00661700" w:rsidRPr="00280926" w:rsidRDefault="00661700" w:rsidP="00280926">
            <w:pPr>
              <w:spacing w:before="20" w:after="20"/>
              <w:jc w:val="center"/>
              <w:rPr>
                <w:bCs/>
              </w:rPr>
            </w:pPr>
            <w:r>
              <w:rPr>
                <w:bCs/>
              </w:rPr>
              <w:t>Pb</w:t>
            </w:r>
          </w:p>
        </w:tc>
        <w:tc>
          <w:tcPr>
            <w:tcW w:w="624" w:type="pct"/>
            <w:shd w:val="clear" w:color="auto" w:fill="EAF1DD"/>
            <w:noWrap/>
            <w:vAlign w:val="center"/>
          </w:tcPr>
          <w:p w:rsidR="00661700" w:rsidRDefault="00661700" w:rsidP="000838BC">
            <w:pPr>
              <w:spacing w:before="20" w:after="20"/>
              <w:jc w:val="center"/>
              <w:rPr>
                <w:color w:val="000000"/>
              </w:rPr>
            </w:pPr>
            <w:r>
              <w:rPr>
                <w:color w:val="000000"/>
              </w:rPr>
              <w:t>0.</w:t>
            </w:r>
            <w:r w:rsidR="003A08E3">
              <w:rPr>
                <w:color w:val="000000"/>
              </w:rPr>
              <w:t>0</w:t>
            </w:r>
            <w:r w:rsidR="000838BC">
              <w:rPr>
                <w:color w:val="000000"/>
              </w:rPr>
              <w:t>38</w:t>
            </w:r>
          </w:p>
        </w:tc>
        <w:tc>
          <w:tcPr>
            <w:tcW w:w="644" w:type="pct"/>
            <w:shd w:val="clear" w:color="auto" w:fill="auto"/>
            <w:vAlign w:val="center"/>
          </w:tcPr>
          <w:p w:rsidR="00661700" w:rsidRPr="00280926" w:rsidRDefault="00661700" w:rsidP="00280926">
            <w:pPr>
              <w:spacing w:before="20" w:after="20"/>
              <w:jc w:val="center"/>
              <w:rPr>
                <w:color w:val="000000"/>
              </w:rPr>
            </w:pPr>
            <w:r>
              <w:rPr>
                <w:color w:val="000000"/>
              </w:rPr>
              <w:t>&lt;0.001</w:t>
            </w:r>
          </w:p>
        </w:tc>
        <w:tc>
          <w:tcPr>
            <w:tcW w:w="566" w:type="pct"/>
            <w:shd w:val="clear" w:color="auto" w:fill="EAF1DD"/>
          </w:tcPr>
          <w:p w:rsidR="00661700" w:rsidRPr="00280926" w:rsidRDefault="003A08E3" w:rsidP="00280926">
            <w:pPr>
              <w:spacing w:before="20" w:after="20"/>
              <w:jc w:val="center"/>
              <w:rPr>
                <w:color w:val="000000"/>
              </w:rPr>
            </w:pPr>
            <w:r>
              <w:rPr>
                <w:color w:val="000000"/>
              </w:rPr>
              <w:t>&lt;0.001</w:t>
            </w:r>
          </w:p>
        </w:tc>
        <w:tc>
          <w:tcPr>
            <w:tcW w:w="720" w:type="pct"/>
            <w:noWrap/>
            <w:vAlign w:val="center"/>
          </w:tcPr>
          <w:p w:rsidR="00661700" w:rsidRPr="00280926" w:rsidRDefault="003A08E3" w:rsidP="00280926">
            <w:pPr>
              <w:spacing w:before="20" w:after="20"/>
              <w:jc w:val="center"/>
              <w:rPr>
                <w:color w:val="000000"/>
              </w:rPr>
            </w:pPr>
            <w:r>
              <w:rPr>
                <w:color w:val="000000"/>
              </w:rPr>
              <w:t>--</w:t>
            </w:r>
          </w:p>
        </w:tc>
        <w:tc>
          <w:tcPr>
            <w:tcW w:w="582" w:type="pct"/>
            <w:shd w:val="clear" w:color="auto" w:fill="EAF1DD"/>
          </w:tcPr>
          <w:p w:rsidR="00661700" w:rsidRPr="00280926" w:rsidRDefault="003A08E3" w:rsidP="000838BC">
            <w:pPr>
              <w:spacing w:before="20" w:after="20"/>
              <w:jc w:val="center"/>
              <w:rPr>
                <w:color w:val="000000"/>
              </w:rPr>
            </w:pPr>
            <w:r>
              <w:rPr>
                <w:color w:val="000000"/>
              </w:rPr>
              <w:t>0.0</w:t>
            </w:r>
            <w:r w:rsidR="000838BC">
              <w:rPr>
                <w:color w:val="000000"/>
              </w:rPr>
              <w:t>38</w:t>
            </w:r>
          </w:p>
        </w:tc>
        <w:tc>
          <w:tcPr>
            <w:tcW w:w="527" w:type="pct"/>
            <w:noWrap/>
            <w:vAlign w:val="center"/>
          </w:tcPr>
          <w:p w:rsidR="00661700" w:rsidRPr="00280926" w:rsidRDefault="003A08E3" w:rsidP="00280926">
            <w:pPr>
              <w:spacing w:before="20" w:after="20"/>
              <w:jc w:val="center"/>
              <w:rPr>
                <w:color w:val="000000"/>
              </w:rPr>
            </w:pPr>
            <w:r>
              <w:rPr>
                <w:color w:val="000000"/>
              </w:rPr>
              <w:t>0.6</w:t>
            </w:r>
          </w:p>
        </w:tc>
        <w:tc>
          <w:tcPr>
            <w:tcW w:w="671" w:type="pct"/>
            <w:shd w:val="clear" w:color="auto" w:fill="EAF1DD"/>
            <w:noWrap/>
            <w:vAlign w:val="center"/>
          </w:tcPr>
          <w:p w:rsidR="00661700" w:rsidRPr="00280926" w:rsidRDefault="003A08E3" w:rsidP="00280926">
            <w:pPr>
              <w:spacing w:before="20" w:after="20"/>
              <w:jc w:val="center"/>
              <w:rPr>
                <w:color w:val="000000"/>
              </w:rPr>
            </w:pPr>
            <w:r>
              <w:rPr>
                <w:color w:val="000000"/>
              </w:rPr>
              <w:t>No</w:t>
            </w:r>
          </w:p>
        </w:tc>
      </w:tr>
      <w:tr w:rsidR="00661700" w:rsidRPr="0039552E" w:rsidTr="00FF2641">
        <w:trPr>
          <w:trHeight w:val="20"/>
        </w:trPr>
        <w:tc>
          <w:tcPr>
            <w:tcW w:w="666" w:type="pct"/>
            <w:vAlign w:val="center"/>
          </w:tcPr>
          <w:p w:rsidR="00661700" w:rsidRPr="00280926" w:rsidRDefault="00661700" w:rsidP="00280926">
            <w:pPr>
              <w:spacing w:before="20" w:after="20"/>
              <w:jc w:val="center"/>
              <w:rPr>
                <w:bCs/>
              </w:rPr>
            </w:pPr>
            <w:r w:rsidRPr="00280926">
              <w:rPr>
                <w:bCs/>
              </w:rPr>
              <w:t>CO</w:t>
            </w:r>
            <w:r w:rsidRPr="00280926">
              <w:rPr>
                <w:bCs/>
                <w:vertAlign w:val="subscript"/>
              </w:rPr>
              <w:t>2</w:t>
            </w:r>
            <w:r w:rsidRPr="00280926">
              <w:rPr>
                <w:bCs/>
              </w:rPr>
              <w:t>e</w:t>
            </w:r>
          </w:p>
        </w:tc>
        <w:tc>
          <w:tcPr>
            <w:tcW w:w="624" w:type="pct"/>
            <w:shd w:val="clear" w:color="auto" w:fill="EAF1DD"/>
            <w:noWrap/>
            <w:vAlign w:val="center"/>
          </w:tcPr>
          <w:p w:rsidR="00661700" w:rsidRPr="00280926" w:rsidRDefault="000838BC" w:rsidP="000838BC">
            <w:pPr>
              <w:spacing w:before="20" w:after="20"/>
              <w:jc w:val="center"/>
              <w:rPr>
                <w:color w:val="000000"/>
              </w:rPr>
            </w:pPr>
            <w:r>
              <w:rPr>
                <w:color w:val="000000"/>
              </w:rPr>
              <w:t>477</w:t>
            </w:r>
            <w:r w:rsidR="00661700">
              <w:rPr>
                <w:color w:val="000000"/>
              </w:rPr>
              <w:t>,</w:t>
            </w:r>
            <w:r>
              <w:rPr>
                <w:color w:val="000000"/>
              </w:rPr>
              <w:t>915</w:t>
            </w:r>
          </w:p>
        </w:tc>
        <w:tc>
          <w:tcPr>
            <w:tcW w:w="644" w:type="pct"/>
            <w:shd w:val="clear" w:color="auto" w:fill="auto"/>
            <w:vAlign w:val="center"/>
          </w:tcPr>
          <w:p w:rsidR="00661700" w:rsidRPr="00280926" w:rsidRDefault="000838BC" w:rsidP="00280926">
            <w:pPr>
              <w:spacing w:before="20" w:after="20"/>
              <w:jc w:val="center"/>
              <w:rPr>
                <w:color w:val="000000"/>
              </w:rPr>
            </w:pPr>
            <w:r>
              <w:rPr>
                <w:color w:val="000000"/>
              </w:rPr>
              <w:t>1,567</w:t>
            </w:r>
          </w:p>
        </w:tc>
        <w:tc>
          <w:tcPr>
            <w:tcW w:w="566" w:type="pct"/>
            <w:shd w:val="clear" w:color="auto" w:fill="EAF1DD"/>
          </w:tcPr>
          <w:p w:rsidR="00661700" w:rsidRPr="00280926" w:rsidRDefault="000838BC" w:rsidP="00280926">
            <w:pPr>
              <w:spacing w:before="20" w:after="20"/>
              <w:jc w:val="center"/>
              <w:rPr>
                <w:color w:val="000000"/>
              </w:rPr>
            </w:pPr>
            <w:r>
              <w:rPr>
                <w:color w:val="000000"/>
              </w:rPr>
              <w:t>479,482</w:t>
            </w:r>
          </w:p>
        </w:tc>
        <w:tc>
          <w:tcPr>
            <w:tcW w:w="720" w:type="pct"/>
            <w:noWrap/>
            <w:vAlign w:val="center"/>
          </w:tcPr>
          <w:p w:rsidR="00661700" w:rsidRPr="00280926" w:rsidRDefault="000838BC" w:rsidP="00280926">
            <w:pPr>
              <w:spacing w:before="20" w:after="20"/>
              <w:jc w:val="center"/>
              <w:rPr>
                <w:color w:val="000000"/>
              </w:rPr>
            </w:pPr>
            <w:r>
              <w:rPr>
                <w:color w:val="000000"/>
              </w:rPr>
              <w:t>(76,136)</w:t>
            </w:r>
          </w:p>
        </w:tc>
        <w:tc>
          <w:tcPr>
            <w:tcW w:w="582" w:type="pct"/>
            <w:shd w:val="clear" w:color="auto" w:fill="EAF1DD"/>
          </w:tcPr>
          <w:p w:rsidR="00661700" w:rsidRPr="00280926" w:rsidRDefault="000838BC" w:rsidP="00280926">
            <w:pPr>
              <w:spacing w:before="20" w:after="20"/>
              <w:jc w:val="center"/>
              <w:rPr>
                <w:color w:val="000000"/>
              </w:rPr>
            </w:pPr>
            <w:r>
              <w:rPr>
                <w:color w:val="000000"/>
              </w:rPr>
              <w:t>403,347</w:t>
            </w:r>
          </w:p>
        </w:tc>
        <w:tc>
          <w:tcPr>
            <w:tcW w:w="527" w:type="pct"/>
            <w:noWrap/>
            <w:vAlign w:val="center"/>
          </w:tcPr>
          <w:p w:rsidR="00661700" w:rsidRPr="00280926" w:rsidRDefault="00661700" w:rsidP="000F6E32">
            <w:pPr>
              <w:spacing w:before="20" w:after="20"/>
              <w:jc w:val="center"/>
              <w:rPr>
                <w:color w:val="000000"/>
              </w:rPr>
            </w:pPr>
            <w:r w:rsidRPr="00280926">
              <w:rPr>
                <w:color w:val="000000"/>
              </w:rPr>
              <w:t>75,000</w:t>
            </w:r>
          </w:p>
        </w:tc>
        <w:tc>
          <w:tcPr>
            <w:tcW w:w="671" w:type="pct"/>
            <w:shd w:val="clear" w:color="auto" w:fill="EAF1DD"/>
            <w:noWrap/>
            <w:vAlign w:val="center"/>
          </w:tcPr>
          <w:p w:rsidR="00661700" w:rsidRPr="003A08E3" w:rsidRDefault="00661700" w:rsidP="00F748BF">
            <w:pPr>
              <w:spacing w:before="20" w:after="20"/>
              <w:jc w:val="center"/>
              <w:rPr>
                <w:b/>
                <w:color w:val="000000"/>
              </w:rPr>
            </w:pPr>
            <w:r w:rsidRPr="003A08E3">
              <w:rPr>
                <w:b/>
                <w:color w:val="000000"/>
              </w:rPr>
              <w:t>Yes</w:t>
            </w:r>
            <w:r w:rsidRPr="003A08E3">
              <w:rPr>
                <w:b/>
                <w:bCs/>
              </w:rPr>
              <w:t xml:space="preserve"> </w:t>
            </w:r>
            <w:r w:rsidR="00F748BF">
              <w:rPr>
                <w:b/>
                <w:color w:val="000000"/>
                <w:vertAlign w:val="superscript"/>
              </w:rPr>
              <w:t>6</w:t>
            </w:r>
          </w:p>
        </w:tc>
      </w:tr>
      <w:tr w:rsidR="00661700" w:rsidRPr="000E7C70" w:rsidTr="00FF2641">
        <w:trPr>
          <w:trHeight w:val="323"/>
        </w:trPr>
        <w:tc>
          <w:tcPr>
            <w:tcW w:w="5000" w:type="pct"/>
            <w:gridSpan w:val="8"/>
          </w:tcPr>
          <w:p w:rsidR="00F748BF" w:rsidRDefault="00F748BF" w:rsidP="00C070A4">
            <w:pPr>
              <w:numPr>
                <w:ilvl w:val="0"/>
                <w:numId w:val="9"/>
              </w:numPr>
              <w:tabs>
                <w:tab w:val="left" w:pos="252"/>
              </w:tabs>
              <w:spacing w:before="20" w:after="20"/>
              <w:ind w:left="260" w:hanging="274"/>
              <w:rPr>
                <w:color w:val="000000"/>
                <w:sz w:val="18"/>
                <w:szCs w:val="18"/>
              </w:rPr>
            </w:pPr>
            <w:r>
              <w:rPr>
                <w:color w:val="000000"/>
                <w:sz w:val="18"/>
                <w:szCs w:val="18"/>
              </w:rPr>
              <w:t>Combined emission from black start emergency generators</w:t>
            </w:r>
            <w:r w:rsidR="000838BC">
              <w:rPr>
                <w:color w:val="000000"/>
                <w:sz w:val="18"/>
                <w:szCs w:val="18"/>
              </w:rPr>
              <w:t xml:space="preserve">, </w:t>
            </w:r>
            <w:r>
              <w:rPr>
                <w:color w:val="000000"/>
                <w:sz w:val="18"/>
                <w:szCs w:val="18"/>
              </w:rPr>
              <w:t>fir</w:t>
            </w:r>
            <w:r w:rsidR="000838BC">
              <w:rPr>
                <w:color w:val="000000"/>
                <w:sz w:val="18"/>
                <w:szCs w:val="18"/>
              </w:rPr>
              <w:t>e</w:t>
            </w:r>
            <w:r>
              <w:rPr>
                <w:color w:val="000000"/>
                <w:sz w:val="18"/>
                <w:szCs w:val="18"/>
              </w:rPr>
              <w:t xml:space="preserve"> pump engine</w:t>
            </w:r>
            <w:r w:rsidR="000838BC">
              <w:rPr>
                <w:color w:val="000000"/>
                <w:sz w:val="18"/>
                <w:szCs w:val="18"/>
              </w:rPr>
              <w:t xml:space="preserve"> and fuel oil storage tanks</w:t>
            </w:r>
            <w:r>
              <w:rPr>
                <w:color w:val="000000"/>
                <w:sz w:val="18"/>
                <w:szCs w:val="18"/>
              </w:rPr>
              <w:t>.</w:t>
            </w:r>
          </w:p>
          <w:p w:rsidR="00FF2641" w:rsidRDefault="00FF2641" w:rsidP="00C070A4">
            <w:pPr>
              <w:numPr>
                <w:ilvl w:val="0"/>
                <w:numId w:val="9"/>
              </w:numPr>
              <w:tabs>
                <w:tab w:val="left" w:pos="252"/>
              </w:tabs>
              <w:spacing w:before="20" w:after="20"/>
              <w:ind w:left="260" w:hanging="274"/>
              <w:rPr>
                <w:color w:val="000000"/>
                <w:sz w:val="18"/>
                <w:szCs w:val="18"/>
              </w:rPr>
            </w:pPr>
            <w:r>
              <w:rPr>
                <w:color w:val="000000"/>
                <w:sz w:val="18"/>
                <w:szCs w:val="18"/>
              </w:rPr>
              <w:t>Combined emission increase from the three CT (worst case scenario) and the three 3,000 kW black start emergency generators (100 hr/yr operation by each).</w:t>
            </w:r>
          </w:p>
          <w:p w:rsidR="00661700" w:rsidRDefault="00FF2641" w:rsidP="00C070A4">
            <w:pPr>
              <w:numPr>
                <w:ilvl w:val="0"/>
                <w:numId w:val="9"/>
              </w:numPr>
              <w:tabs>
                <w:tab w:val="left" w:pos="252"/>
              </w:tabs>
              <w:spacing w:after="20"/>
              <w:ind w:left="260" w:hanging="274"/>
              <w:rPr>
                <w:color w:val="000000"/>
                <w:sz w:val="18"/>
                <w:szCs w:val="18"/>
              </w:rPr>
            </w:pPr>
            <w:r>
              <w:rPr>
                <w:color w:val="000000"/>
                <w:sz w:val="18"/>
                <w:szCs w:val="18"/>
              </w:rPr>
              <w:t xml:space="preserve">Maximum 2-year average of specific pollutant from the GT units during the previous 5 years of operation at the </w:t>
            </w:r>
            <w:r w:rsidR="007944FF">
              <w:rPr>
                <w:color w:val="000000"/>
                <w:sz w:val="18"/>
                <w:szCs w:val="18"/>
              </w:rPr>
              <w:t>Lauderdale</w:t>
            </w:r>
            <w:r>
              <w:rPr>
                <w:color w:val="000000"/>
                <w:sz w:val="18"/>
                <w:szCs w:val="18"/>
              </w:rPr>
              <w:t xml:space="preserve"> Plant</w:t>
            </w:r>
            <w:r w:rsidR="00661700">
              <w:rPr>
                <w:color w:val="000000"/>
                <w:sz w:val="18"/>
                <w:szCs w:val="18"/>
              </w:rPr>
              <w:t>.</w:t>
            </w:r>
          </w:p>
          <w:p w:rsidR="00661700" w:rsidRDefault="00FF2641" w:rsidP="00C070A4">
            <w:pPr>
              <w:numPr>
                <w:ilvl w:val="0"/>
                <w:numId w:val="9"/>
              </w:numPr>
              <w:tabs>
                <w:tab w:val="left" w:pos="252"/>
              </w:tabs>
              <w:spacing w:after="20"/>
              <w:ind w:left="260" w:hanging="274"/>
              <w:rPr>
                <w:color w:val="000000"/>
                <w:sz w:val="18"/>
                <w:szCs w:val="18"/>
              </w:rPr>
            </w:pPr>
            <w:r>
              <w:rPr>
                <w:color w:val="000000"/>
                <w:sz w:val="18"/>
                <w:szCs w:val="18"/>
              </w:rPr>
              <w:t>A number in parentheses represent a negative value for PSD applicability with regard to TPY increase for the specified pollutant and SER.</w:t>
            </w:r>
          </w:p>
          <w:p w:rsidR="00661700" w:rsidRDefault="00FF2641" w:rsidP="00C070A4">
            <w:pPr>
              <w:numPr>
                <w:ilvl w:val="0"/>
                <w:numId w:val="9"/>
              </w:numPr>
              <w:tabs>
                <w:tab w:val="left" w:pos="252"/>
              </w:tabs>
              <w:spacing w:after="20"/>
              <w:ind w:left="260" w:hanging="274"/>
              <w:rPr>
                <w:color w:val="000000"/>
                <w:sz w:val="18"/>
                <w:szCs w:val="18"/>
              </w:rPr>
            </w:pPr>
            <w:r>
              <w:rPr>
                <w:color w:val="000000"/>
                <w:sz w:val="18"/>
                <w:szCs w:val="18"/>
              </w:rPr>
              <w:t>Total project increase minus the maximum 2-year average from the existing GT units for each pollutant</w:t>
            </w:r>
            <w:r w:rsidR="00661700">
              <w:rPr>
                <w:color w:val="000000"/>
                <w:sz w:val="18"/>
                <w:szCs w:val="18"/>
              </w:rPr>
              <w:t>.</w:t>
            </w:r>
          </w:p>
          <w:p w:rsidR="00661700" w:rsidRPr="002F4B69" w:rsidRDefault="00661700" w:rsidP="00C070A4">
            <w:pPr>
              <w:numPr>
                <w:ilvl w:val="0"/>
                <w:numId w:val="9"/>
              </w:numPr>
              <w:tabs>
                <w:tab w:val="left" w:pos="252"/>
              </w:tabs>
              <w:spacing w:before="20" w:after="20"/>
              <w:ind w:left="260" w:hanging="274"/>
              <w:rPr>
                <w:color w:val="000000"/>
                <w:sz w:val="18"/>
                <w:szCs w:val="18"/>
              </w:rPr>
            </w:pPr>
            <w:r>
              <w:rPr>
                <w:color w:val="000000"/>
                <w:sz w:val="18"/>
                <w:szCs w:val="18"/>
              </w:rPr>
              <w:t xml:space="preserve">The federal EPA significant emission rate applies to this project and the applicant </w:t>
            </w:r>
            <w:r w:rsidR="00FF2641">
              <w:rPr>
                <w:color w:val="000000"/>
                <w:sz w:val="18"/>
                <w:szCs w:val="18"/>
              </w:rPr>
              <w:t>has</w:t>
            </w:r>
            <w:r>
              <w:rPr>
                <w:color w:val="000000"/>
                <w:sz w:val="18"/>
                <w:szCs w:val="18"/>
              </w:rPr>
              <w:t xml:space="preserve"> </w:t>
            </w:r>
            <w:r w:rsidR="000F6E32">
              <w:rPr>
                <w:color w:val="000000"/>
                <w:sz w:val="18"/>
                <w:szCs w:val="18"/>
              </w:rPr>
              <w:t>submitted</w:t>
            </w:r>
            <w:r>
              <w:rPr>
                <w:color w:val="000000"/>
                <w:sz w:val="18"/>
                <w:szCs w:val="18"/>
              </w:rPr>
              <w:t xml:space="preserve"> a </w:t>
            </w:r>
            <w:r w:rsidR="000F6E32">
              <w:rPr>
                <w:color w:val="000000"/>
                <w:sz w:val="18"/>
                <w:szCs w:val="18"/>
              </w:rPr>
              <w:t>GHG</w:t>
            </w:r>
            <w:r>
              <w:rPr>
                <w:color w:val="000000"/>
                <w:sz w:val="18"/>
                <w:szCs w:val="18"/>
              </w:rPr>
              <w:t xml:space="preserve"> PSD permit application to EPA.</w:t>
            </w:r>
          </w:p>
        </w:tc>
      </w:tr>
    </w:tbl>
    <w:p w:rsidR="00CB7F13" w:rsidRDefault="00A542ED" w:rsidP="007E712E">
      <w:pPr>
        <w:pStyle w:val="BodyTextIndent"/>
        <w:widowControl w:val="0"/>
        <w:spacing w:before="120"/>
        <w:ind w:left="0"/>
        <w:rPr>
          <w:sz w:val="22"/>
          <w:szCs w:val="22"/>
        </w:rPr>
      </w:pPr>
      <w:r>
        <w:rPr>
          <w:sz w:val="22"/>
          <w:szCs w:val="22"/>
        </w:rPr>
        <w:t xml:space="preserve">As seen from </w:t>
      </w:r>
      <w:r w:rsidRPr="00A542ED">
        <w:rPr>
          <w:sz w:val="22"/>
          <w:szCs w:val="22"/>
        </w:rPr>
        <w:fldChar w:fldCharType="begin"/>
      </w:r>
      <w:r w:rsidRPr="00A542ED">
        <w:rPr>
          <w:sz w:val="22"/>
          <w:szCs w:val="22"/>
        </w:rPr>
        <w:instrText xml:space="preserve"> REF _Ref365379149 \h  \* MERGEFORMAT </w:instrText>
      </w:r>
      <w:r w:rsidRPr="00A542ED">
        <w:rPr>
          <w:sz w:val="22"/>
          <w:szCs w:val="22"/>
        </w:rPr>
      </w:r>
      <w:r w:rsidRPr="00A542ED">
        <w:rPr>
          <w:sz w:val="22"/>
          <w:szCs w:val="22"/>
        </w:rPr>
        <w:fldChar w:fldCharType="separate"/>
      </w:r>
      <w:r w:rsidR="007F3589" w:rsidRPr="007F3589">
        <w:rPr>
          <w:sz w:val="22"/>
          <w:szCs w:val="22"/>
        </w:rPr>
        <w:t xml:space="preserve">Table </w:t>
      </w:r>
      <w:r w:rsidR="007F3589" w:rsidRPr="007F3589">
        <w:rPr>
          <w:noProof/>
          <w:sz w:val="22"/>
          <w:szCs w:val="22"/>
        </w:rPr>
        <w:t>5</w:t>
      </w:r>
      <w:r w:rsidRPr="00A542ED">
        <w:rPr>
          <w:sz w:val="22"/>
          <w:szCs w:val="22"/>
        </w:rPr>
        <w:fldChar w:fldCharType="end"/>
      </w:r>
      <w:r>
        <w:rPr>
          <w:sz w:val="22"/>
          <w:szCs w:val="22"/>
        </w:rPr>
        <w:t xml:space="preserve">, </w:t>
      </w:r>
      <w:r w:rsidR="0079146B">
        <w:rPr>
          <w:sz w:val="22"/>
          <w:szCs w:val="22"/>
        </w:rPr>
        <w:t xml:space="preserve">according to FPL, </w:t>
      </w:r>
      <w:r>
        <w:rPr>
          <w:sz w:val="22"/>
          <w:szCs w:val="22"/>
        </w:rPr>
        <w:t>t</w:t>
      </w:r>
      <w:r w:rsidR="002E3095" w:rsidRPr="00290299">
        <w:rPr>
          <w:sz w:val="22"/>
          <w:szCs w:val="22"/>
        </w:rPr>
        <w:t xml:space="preserve">he </w:t>
      </w:r>
      <w:r w:rsidR="007944FF">
        <w:rPr>
          <w:sz w:val="22"/>
          <w:szCs w:val="22"/>
        </w:rPr>
        <w:t>Lauderdale</w:t>
      </w:r>
      <w:r>
        <w:rPr>
          <w:sz w:val="22"/>
          <w:szCs w:val="22"/>
        </w:rPr>
        <w:t xml:space="preserve"> peaking unit replacement</w:t>
      </w:r>
      <w:r w:rsidR="007E712E">
        <w:rPr>
          <w:sz w:val="22"/>
          <w:szCs w:val="22"/>
        </w:rPr>
        <w:t xml:space="preserve"> project </w:t>
      </w:r>
      <w:r>
        <w:rPr>
          <w:sz w:val="22"/>
          <w:szCs w:val="22"/>
        </w:rPr>
        <w:t>triggers a</w:t>
      </w:r>
      <w:r w:rsidR="007E712E">
        <w:rPr>
          <w:sz w:val="22"/>
          <w:szCs w:val="22"/>
        </w:rPr>
        <w:t xml:space="preserve"> </w:t>
      </w:r>
      <w:r w:rsidR="002E3095" w:rsidRPr="00290299">
        <w:rPr>
          <w:sz w:val="22"/>
          <w:szCs w:val="22"/>
        </w:rPr>
        <w:t>PSD preconstruction review for emissions of</w:t>
      </w:r>
      <w:r w:rsidR="007E712E">
        <w:rPr>
          <w:sz w:val="22"/>
          <w:szCs w:val="22"/>
        </w:rPr>
        <w:t xml:space="preserve"> </w:t>
      </w:r>
      <w:r w:rsidR="00805C65">
        <w:rPr>
          <w:sz w:val="22"/>
          <w:szCs w:val="22"/>
        </w:rPr>
        <w:t>NO</w:t>
      </w:r>
      <w:r w:rsidR="007E712E" w:rsidRPr="007E712E">
        <w:rPr>
          <w:sz w:val="22"/>
          <w:szCs w:val="22"/>
          <w:vertAlign w:val="subscript"/>
        </w:rPr>
        <w:t>X</w:t>
      </w:r>
      <w:r w:rsidR="00805C65">
        <w:rPr>
          <w:sz w:val="22"/>
          <w:szCs w:val="22"/>
        </w:rPr>
        <w:t>, PM</w:t>
      </w:r>
      <w:r>
        <w:rPr>
          <w:sz w:val="22"/>
          <w:szCs w:val="22"/>
        </w:rPr>
        <w:t xml:space="preserve">, </w:t>
      </w:r>
      <w:r w:rsidR="00805C65">
        <w:rPr>
          <w:sz w:val="22"/>
          <w:szCs w:val="22"/>
        </w:rPr>
        <w:t>PM</w:t>
      </w:r>
      <w:r w:rsidR="00805C65" w:rsidRPr="00917398">
        <w:rPr>
          <w:sz w:val="22"/>
          <w:szCs w:val="22"/>
          <w:vertAlign w:val="subscript"/>
        </w:rPr>
        <w:t>10</w:t>
      </w:r>
      <w:r>
        <w:rPr>
          <w:sz w:val="22"/>
          <w:szCs w:val="22"/>
        </w:rPr>
        <w:t>, PM</w:t>
      </w:r>
      <w:r w:rsidRPr="00A542ED">
        <w:rPr>
          <w:sz w:val="22"/>
          <w:szCs w:val="22"/>
          <w:vertAlign w:val="subscript"/>
        </w:rPr>
        <w:t>2.5</w:t>
      </w:r>
      <w:r w:rsidR="004E7BD6">
        <w:rPr>
          <w:sz w:val="22"/>
          <w:szCs w:val="22"/>
        </w:rPr>
        <w:t>,</w:t>
      </w:r>
      <w:r w:rsidR="005417EE">
        <w:rPr>
          <w:sz w:val="22"/>
          <w:szCs w:val="22"/>
        </w:rPr>
        <w:t xml:space="preserve"> </w:t>
      </w:r>
      <w:r>
        <w:rPr>
          <w:sz w:val="22"/>
          <w:szCs w:val="22"/>
        </w:rPr>
        <w:t>CO</w:t>
      </w:r>
      <w:r w:rsidR="004E7BD6">
        <w:rPr>
          <w:sz w:val="22"/>
          <w:szCs w:val="22"/>
        </w:rPr>
        <w:t xml:space="preserve"> and VOC</w:t>
      </w:r>
      <w:r>
        <w:rPr>
          <w:sz w:val="22"/>
          <w:szCs w:val="22"/>
        </w:rPr>
        <w:t xml:space="preserve"> under Department rules</w:t>
      </w:r>
      <w:r w:rsidR="00330FA5">
        <w:rPr>
          <w:sz w:val="22"/>
          <w:szCs w:val="22"/>
        </w:rPr>
        <w:t xml:space="preserve"> and GHG under federal rules</w:t>
      </w:r>
      <w:r w:rsidR="00CB7F13">
        <w:rPr>
          <w:sz w:val="22"/>
          <w:szCs w:val="22"/>
        </w:rPr>
        <w:t>.</w:t>
      </w:r>
    </w:p>
    <w:p w:rsidR="007E712E" w:rsidRDefault="00CB7F13" w:rsidP="007E712E">
      <w:pPr>
        <w:pStyle w:val="BodyTextIndent"/>
        <w:widowControl w:val="0"/>
        <w:spacing w:before="120"/>
        <w:ind w:left="0"/>
        <w:rPr>
          <w:sz w:val="22"/>
          <w:szCs w:val="22"/>
        </w:rPr>
      </w:pPr>
      <w:r>
        <w:rPr>
          <w:sz w:val="22"/>
          <w:szCs w:val="22"/>
        </w:rPr>
        <w:t>The above PSD netting analysis assumes that all 24 existing GTs will be retired as a result of this project.</w:t>
      </w:r>
      <w:r w:rsidR="007E712E">
        <w:rPr>
          <w:sz w:val="22"/>
          <w:szCs w:val="22"/>
        </w:rPr>
        <w:t xml:space="preserve">  </w:t>
      </w:r>
      <w:r>
        <w:rPr>
          <w:sz w:val="22"/>
          <w:szCs w:val="22"/>
        </w:rPr>
        <w:t>However, FPL has requested</w:t>
      </w:r>
      <w:r w:rsidR="00AF34A7">
        <w:rPr>
          <w:sz w:val="22"/>
          <w:szCs w:val="22"/>
        </w:rPr>
        <w:t xml:space="preserve"> as an option</w:t>
      </w:r>
      <w:r>
        <w:rPr>
          <w:sz w:val="22"/>
          <w:szCs w:val="22"/>
        </w:rPr>
        <w:t xml:space="preserve"> </w:t>
      </w:r>
      <w:r w:rsidR="006822FC">
        <w:rPr>
          <w:sz w:val="22"/>
          <w:szCs w:val="22"/>
        </w:rPr>
        <w:t>to keep two of the GTs</w:t>
      </w:r>
      <w:r w:rsidR="00AF34A7">
        <w:rPr>
          <w:sz w:val="22"/>
          <w:szCs w:val="22"/>
        </w:rPr>
        <w:t xml:space="preserve"> for black start capability instead of installing four RICE engines</w:t>
      </w:r>
      <w:r w:rsidR="006822FC">
        <w:rPr>
          <w:sz w:val="22"/>
          <w:szCs w:val="22"/>
        </w:rPr>
        <w:t>.  When this is considered in the analysis</w:t>
      </w:r>
      <w:r w:rsidR="00AF34A7">
        <w:rPr>
          <w:sz w:val="22"/>
          <w:szCs w:val="22"/>
        </w:rPr>
        <w:t>,</w:t>
      </w:r>
      <w:r w:rsidR="006822FC">
        <w:rPr>
          <w:sz w:val="22"/>
          <w:szCs w:val="22"/>
        </w:rPr>
        <w:t xml:space="preserve"> the following SO</w:t>
      </w:r>
      <w:r w:rsidR="006822FC" w:rsidRPr="0079146B">
        <w:rPr>
          <w:sz w:val="22"/>
          <w:szCs w:val="22"/>
          <w:vertAlign w:val="subscript"/>
        </w:rPr>
        <w:t>2</w:t>
      </w:r>
      <w:r w:rsidR="006822FC">
        <w:rPr>
          <w:sz w:val="22"/>
          <w:szCs w:val="22"/>
        </w:rPr>
        <w:t xml:space="preserve"> emission increase occurs:</w:t>
      </w:r>
    </w:p>
    <w:p w:rsidR="006822FC" w:rsidRPr="00FE1E65" w:rsidRDefault="006822FC" w:rsidP="007E712E">
      <w:pPr>
        <w:pStyle w:val="BodyTextIndent"/>
        <w:widowControl w:val="0"/>
        <w:spacing w:before="120"/>
        <w:ind w:left="0"/>
        <w:rPr>
          <w:sz w:val="20"/>
          <w:szCs w:val="22"/>
        </w:rPr>
      </w:pPr>
      <m:oMath>
        <m:r>
          <w:rPr>
            <w:rFonts w:ascii="Cambria Math" w:hAnsi="Cambria Math"/>
            <w:sz w:val="20"/>
            <w:szCs w:val="22"/>
          </w:rPr>
          <m:t xml:space="preserve">109 TPY </m:t>
        </m:r>
        <m:sSub>
          <m:sSubPr>
            <m:ctrlPr>
              <w:rPr>
                <w:rFonts w:ascii="Cambria Math" w:hAnsi="Cambria Math"/>
                <w:i/>
                <w:sz w:val="20"/>
                <w:szCs w:val="22"/>
              </w:rPr>
            </m:ctrlPr>
          </m:sSubPr>
          <m:e>
            <m:r>
              <w:rPr>
                <w:rFonts w:ascii="Cambria Math" w:hAnsi="Cambria Math"/>
                <w:sz w:val="20"/>
                <w:szCs w:val="22"/>
              </w:rPr>
              <m:t>SO</m:t>
            </m:r>
          </m:e>
          <m:sub>
            <m:r>
              <w:rPr>
                <w:rFonts w:ascii="Cambria Math" w:hAnsi="Cambria Math"/>
                <w:sz w:val="20"/>
                <w:szCs w:val="22"/>
              </w:rPr>
              <m:t>2</m:t>
            </m:r>
          </m:sub>
        </m:sSub>
        <m:r>
          <w:rPr>
            <w:rFonts w:ascii="Cambria Math" w:hAnsi="Cambria Math"/>
            <w:sz w:val="20"/>
            <w:szCs w:val="22"/>
          </w:rPr>
          <m:t xml:space="preserve"> </m:t>
        </m:r>
        <m:d>
          <m:dPr>
            <m:ctrlPr>
              <w:rPr>
                <w:rFonts w:ascii="Cambria Math" w:hAnsi="Cambria Math"/>
                <w:i/>
                <w:sz w:val="20"/>
                <w:szCs w:val="22"/>
              </w:rPr>
            </m:ctrlPr>
          </m:dPr>
          <m:e>
            <m:r>
              <w:rPr>
                <w:rFonts w:ascii="Cambria Math" w:hAnsi="Cambria Math"/>
                <w:sz w:val="20"/>
                <w:szCs w:val="22"/>
              </w:rPr>
              <m:t>increase due to project</m:t>
            </m:r>
          </m:e>
        </m:d>
        <m:r>
          <w:rPr>
            <w:rFonts w:ascii="Cambria Math" w:hAnsi="Cambria Math"/>
            <w:sz w:val="20"/>
            <w:szCs w:val="22"/>
          </w:rPr>
          <m:t>-</m:t>
        </m:r>
        <m:d>
          <m:dPr>
            <m:ctrlPr>
              <w:rPr>
                <w:rFonts w:ascii="Cambria Math" w:hAnsi="Cambria Math"/>
                <w:i/>
                <w:sz w:val="20"/>
                <w:szCs w:val="22"/>
              </w:rPr>
            </m:ctrlPr>
          </m:dPr>
          <m:e>
            <m:f>
              <m:fPr>
                <m:ctrlPr>
                  <w:rPr>
                    <w:rFonts w:ascii="Cambria Math" w:hAnsi="Cambria Math"/>
                    <w:i/>
                    <w:sz w:val="20"/>
                    <w:szCs w:val="22"/>
                  </w:rPr>
                </m:ctrlPr>
              </m:fPr>
              <m:num>
                <m:r>
                  <w:rPr>
                    <w:rFonts w:ascii="Cambria Math" w:hAnsi="Cambria Math"/>
                    <w:sz w:val="20"/>
                    <w:szCs w:val="22"/>
                  </w:rPr>
                  <m:t>24GTs-2 GTs</m:t>
                </m:r>
              </m:num>
              <m:den>
                <m:r>
                  <w:rPr>
                    <w:rFonts w:ascii="Cambria Math" w:hAnsi="Cambria Math"/>
                    <w:sz w:val="20"/>
                    <w:szCs w:val="22"/>
                  </w:rPr>
                  <m:t>24 GTs</m:t>
                </m:r>
              </m:den>
            </m:f>
            <m:r>
              <w:rPr>
                <w:rFonts w:ascii="Cambria Math" w:hAnsi="Cambria Math"/>
                <w:sz w:val="20"/>
                <w:szCs w:val="22"/>
              </w:rPr>
              <m:t xml:space="preserve"> </m:t>
            </m:r>
          </m:e>
        </m:d>
        <m:r>
          <w:rPr>
            <w:rFonts w:ascii="Cambria Math" w:hAnsi="Cambria Math"/>
            <w:sz w:val="20"/>
            <w:szCs w:val="22"/>
          </w:rPr>
          <m:t xml:space="preserve">x 75 TPY </m:t>
        </m:r>
        <m:sSub>
          <m:sSubPr>
            <m:ctrlPr>
              <w:rPr>
                <w:rFonts w:ascii="Cambria Math" w:hAnsi="Cambria Math"/>
                <w:i/>
                <w:sz w:val="20"/>
                <w:szCs w:val="22"/>
              </w:rPr>
            </m:ctrlPr>
          </m:sSubPr>
          <m:e>
            <m:r>
              <w:rPr>
                <w:rFonts w:ascii="Cambria Math" w:hAnsi="Cambria Math"/>
                <w:sz w:val="20"/>
                <w:szCs w:val="22"/>
              </w:rPr>
              <m:t>SO</m:t>
            </m:r>
          </m:e>
          <m:sub>
            <m:r>
              <w:rPr>
                <w:rFonts w:ascii="Cambria Math" w:hAnsi="Cambria Math"/>
                <w:sz w:val="20"/>
                <w:szCs w:val="22"/>
              </w:rPr>
              <m:t>2</m:t>
            </m:r>
          </m:sub>
        </m:sSub>
        <m:r>
          <w:rPr>
            <w:rFonts w:ascii="Cambria Math" w:hAnsi="Cambria Math"/>
            <w:sz w:val="20"/>
            <w:szCs w:val="22"/>
          </w:rPr>
          <m:t xml:space="preserve"> </m:t>
        </m:r>
        <m:d>
          <m:dPr>
            <m:ctrlPr>
              <w:rPr>
                <w:rFonts w:ascii="Cambria Math" w:hAnsi="Cambria Math"/>
                <w:i/>
                <w:sz w:val="20"/>
                <w:szCs w:val="22"/>
              </w:rPr>
            </m:ctrlPr>
          </m:dPr>
          <m:e>
            <m:r>
              <w:rPr>
                <w:rFonts w:ascii="Cambria Math" w:hAnsi="Cambria Math"/>
                <w:sz w:val="20"/>
                <w:szCs w:val="22"/>
              </w:rPr>
              <m:t>FPL netting from existing GTs</m:t>
            </m:r>
          </m:e>
        </m:d>
        <m:r>
          <w:rPr>
            <w:rFonts w:ascii="Cambria Math" w:hAnsi="Cambria Math"/>
            <w:sz w:val="20"/>
            <w:szCs w:val="22"/>
          </w:rPr>
          <m:t>=</m:t>
        </m:r>
        <m:r>
          <m:rPr>
            <m:sty m:val="bi"/>
          </m:rPr>
          <w:rPr>
            <w:rFonts w:ascii="Cambria Math" w:hAnsi="Cambria Math"/>
            <w:sz w:val="20"/>
            <w:szCs w:val="22"/>
          </w:rPr>
          <m:t xml:space="preserve">40.25 TPY </m:t>
        </m:r>
        <m:sSub>
          <m:sSubPr>
            <m:ctrlPr>
              <w:rPr>
                <w:rFonts w:ascii="Cambria Math" w:hAnsi="Cambria Math"/>
                <w:b/>
                <w:i/>
                <w:sz w:val="20"/>
                <w:szCs w:val="22"/>
              </w:rPr>
            </m:ctrlPr>
          </m:sSubPr>
          <m:e>
            <m:r>
              <m:rPr>
                <m:sty m:val="bi"/>
              </m:rPr>
              <w:rPr>
                <w:rFonts w:ascii="Cambria Math" w:hAnsi="Cambria Math"/>
                <w:sz w:val="20"/>
                <w:szCs w:val="22"/>
              </w:rPr>
              <m:t>SO</m:t>
            </m:r>
          </m:e>
          <m:sub>
            <m:r>
              <m:rPr>
                <m:sty m:val="bi"/>
              </m:rPr>
              <w:rPr>
                <w:rFonts w:ascii="Cambria Math" w:hAnsi="Cambria Math"/>
                <w:sz w:val="20"/>
                <w:szCs w:val="22"/>
              </w:rPr>
              <m:t>2</m:t>
            </m:r>
          </m:sub>
        </m:sSub>
        <m:r>
          <m:rPr>
            <m:sty m:val="bi"/>
          </m:rPr>
          <w:rPr>
            <w:rFonts w:ascii="Cambria Math" w:hAnsi="Cambria Math"/>
            <w:sz w:val="20"/>
            <w:szCs w:val="22"/>
          </w:rPr>
          <m:t>(actual increase)</m:t>
        </m:r>
      </m:oMath>
      <w:r w:rsidR="00FE1E65">
        <w:rPr>
          <w:sz w:val="20"/>
          <w:szCs w:val="22"/>
        </w:rPr>
        <w:t xml:space="preserve"> </w:t>
      </w:r>
    </w:p>
    <w:p w:rsidR="00AE416C" w:rsidRDefault="00AE416C" w:rsidP="007E712E">
      <w:pPr>
        <w:pStyle w:val="BodyTextIndent"/>
        <w:widowControl w:val="0"/>
        <w:spacing w:before="120"/>
        <w:ind w:left="0"/>
        <w:rPr>
          <w:sz w:val="22"/>
          <w:szCs w:val="22"/>
        </w:rPr>
      </w:pPr>
      <w:r>
        <w:rPr>
          <w:sz w:val="22"/>
          <w:szCs w:val="22"/>
        </w:rPr>
        <w:t xml:space="preserve">Consequently, </w:t>
      </w:r>
      <w:r w:rsidRPr="00AE416C">
        <w:rPr>
          <w:sz w:val="22"/>
          <w:szCs w:val="22"/>
        </w:rPr>
        <w:t>when the two GTs</w:t>
      </w:r>
      <w:r>
        <w:rPr>
          <w:sz w:val="22"/>
          <w:szCs w:val="22"/>
        </w:rPr>
        <w:t xml:space="preserve"> that may be used for black start purposes are considered, the project </w:t>
      </w:r>
      <w:r>
        <w:rPr>
          <w:sz w:val="22"/>
          <w:szCs w:val="22"/>
        </w:rPr>
        <w:lastRenderedPageBreak/>
        <w:t>results in an increase in SO</w:t>
      </w:r>
      <w:r w:rsidRPr="00AE416C">
        <w:rPr>
          <w:sz w:val="22"/>
          <w:szCs w:val="22"/>
          <w:vertAlign w:val="subscript"/>
        </w:rPr>
        <w:t>2</w:t>
      </w:r>
      <w:r>
        <w:rPr>
          <w:sz w:val="22"/>
          <w:szCs w:val="22"/>
        </w:rPr>
        <w:t xml:space="preserve"> emission above the SER of 40 TPY.  To eliminate this concern, FPL has agreed to only </w:t>
      </w:r>
      <w:r w:rsidRPr="00C63B87">
        <w:rPr>
          <w:sz w:val="22"/>
          <w:szCs w:val="22"/>
        </w:rPr>
        <w:t xml:space="preserve">operate </w:t>
      </w:r>
      <w:r w:rsidR="009D1B1A">
        <w:rPr>
          <w:sz w:val="22"/>
          <w:szCs w:val="22"/>
        </w:rPr>
        <w:t xml:space="preserve">each new CT </w:t>
      </w:r>
      <w:r>
        <w:rPr>
          <w:sz w:val="22"/>
          <w:szCs w:val="22"/>
        </w:rPr>
        <w:t>on</w:t>
      </w:r>
      <w:r w:rsidRPr="00C63B87">
        <w:rPr>
          <w:sz w:val="22"/>
          <w:szCs w:val="22"/>
        </w:rPr>
        <w:t xml:space="preserve"> average no more than</w:t>
      </w:r>
      <w:r>
        <w:rPr>
          <w:sz w:val="22"/>
          <w:szCs w:val="22"/>
        </w:rPr>
        <w:t xml:space="preserve"> a </w:t>
      </w:r>
      <w:r w:rsidRPr="00C63B87">
        <w:rPr>
          <w:sz w:val="22"/>
          <w:szCs w:val="22"/>
        </w:rPr>
        <w:t>3,3</w:t>
      </w:r>
      <w:r>
        <w:rPr>
          <w:sz w:val="22"/>
          <w:szCs w:val="22"/>
        </w:rPr>
        <w:t>0</w:t>
      </w:r>
      <w:r w:rsidRPr="00C63B87">
        <w:rPr>
          <w:sz w:val="22"/>
          <w:szCs w:val="22"/>
        </w:rPr>
        <w:t xml:space="preserve">0 </w:t>
      </w:r>
      <w:r w:rsidR="009D1B1A">
        <w:rPr>
          <w:sz w:val="22"/>
          <w:szCs w:val="22"/>
        </w:rPr>
        <w:t>hr/yr</w:t>
      </w:r>
      <w:r>
        <w:rPr>
          <w:sz w:val="22"/>
          <w:szCs w:val="22"/>
        </w:rPr>
        <w:t xml:space="preserve"> per instead of the requested 3,390 </w:t>
      </w:r>
      <w:r w:rsidR="009D1B1A">
        <w:rPr>
          <w:sz w:val="22"/>
          <w:szCs w:val="22"/>
        </w:rPr>
        <w:t>hr/yr</w:t>
      </w:r>
      <w:r>
        <w:rPr>
          <w:sz w:val="22"/>
          <w:szCs w:val="22"/>
        </w:rPr>
        <w:t>.  When this hourly reduction is consider</w:t>
      </w:r>
      <w:r w:rsidR="00702807">
        <w:rPr>
          <w:sz w:val="22"/>
          <w:szCs w:val="22"/>
        </w:rPr>
        <w:t>ed</w:t>
      </w:r>
      <w:r>
        <w:rPr>
          <w:sz w:val="22"/>
          <w:szCs w:val="22"/>
        </w:rPr>
        <w:t>, the SO</w:t>
      </w:r>
      <w:r w:rsidRPr="00AE416C">
        <w:rPr>
          <w:sz w:val="22"/>
          <w:szCs w:val="22"/>
          <w:vertAlign w:val="subscript"/>
        </w:rPr>
        <w:t>2</w:t>
      </w:r>
      <w:r>
        <w:rPr>
          <w:sz w:val="22"/>
          <w:szCs w:val="22"/>
        </w:rPr>
        <w:t xml:space="preserve"> emission increase as a result of this project becomes:</w:t>
      </w:r>
    </w:p>
    <w:p w:rsidR="00AE416C" w:rsidRPr="00FE1E65" w:rsidRDefault="0091500A" w:rsidP="007E712E">
      <w:pPr>
        <w:pStyle w:val="BodyTextIndent"/>
        <w:widowControl w:val="0"/>
        <w:spacing w:before="120"/>
        <w:ind w:left="0"/>
        <w:rPr>
          <w:sz w:val="20"/>
        </w:rPr>
      </w:pPr>
      <m:oMathPara>
        <m:oMathParaPr>
          <m:jc m:val="centerGroup"/>
        </m:oMathParaPr>
        <m:oMath>
          <m:sSub>
            <m:sSubPr>
              <m:ctrlPr>
                <w:rPr>
                  <w:rFonts w:ascii="Cambria Math" w:hAnsi="Cambria Math"/>
                  <w:i/>
                  <w:sz w:val="20"/>
                </w:rPr>
              </m:ctrlPr>
            </m:sSubPr>
            <m:e>
              <m:r>
                <w:rPr>
                  <w:rFonts w:ascii="Cambria Math" w:hAnsi="Cambria Math"/>
                  <w:sz w:val="20"/>
                </w:rPr>
                <m:t>SO</m:t>
              </m:r>
            </m:e>
            <m:sub>
              <m:r>
                <w:rPr>
                  <w:rFonts w:ascii="Cambria Math" w:hAnsi="Cambria Math"/>
                  <w:sz w:val="20"/>
                </w:rPr>
                <m:t>2</m:t>
              </m:r>
            </m:sub>
          </m:sSub>
          <m:r>
            <w:rPr>
              <w:rFonts w:ascii="Cambria Math" w:hAnsi="Cambria Math"/>
              <w:sz w:val="20"/>
            </w:rPr>
            <m:t xml:space="preserve"> Increase= 109 TPY</m:t>
          </m:r>
          <m:d>
            <m:dPr>
              <m:ctrlPr>
                <w:rPr>
                  <w:rFonts w:ascii="Cambria Math" w:hAnsi="Cambria Math"/>
                  <w:i/>
                  <w:sz w:val="20"/>
                  <w:szCs w:val="22"/>
                </w:rPr>
              </m:ctrlPr>
            </m:dPr>
            <m:e>
              <m:r>
                <w:rPr>
                  <w:rFonts w:ascii="Cambria Math" w:hAnsi="Cambria Math"/>
                  <w:sz w:val="20"/>
                  <w:szCs w:val="22"/>
                </w:rPr>
                <m:t>increase due to project</m:t>
              </m:r>
            </m:e>
          </m:d>
          <m:r>
            <w:rPr>
              <w:rFonts w:ascii="Cambria Math" w:hAnsi="Cambria Math"/>
              <w:sz w:val="20"/>
            </w:rPr>
            <m:t xml:space="preserve"> x </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 xml:space="preserve">3,300 </m:t>
                  </m:r>
                  <m:r>
                    <w:rPr>
                      <w:rFonts w:ascii="Cambria Math" w:hAnsi="Cambria Math"/>
                      <w:sz w:val="20"/>
                    </w:rPr>
                    <m:t>hours per year</m:t>
                  </m:r>
                </m:num>
                <m:den>
                  <m:r>
                    <w:rPr>
                      <w:rFonts w:ascii="Cambria Math" w:hAnsi="Cambria Math"/>
                      <w:sz w:val="20"/>
                    </w:rPr>
                    <m:t xml:space="preserve">3,390 </m:t>
                  </m:r>
                  <m:r>
                    <w:rPr>
                      <w:rFonts w:ascii="Cambria Math" w:hAnsi="Cambria Math"/>
                      <w:sz w:val="20"/>
                    </w:rPr>
                    <m:t>hours per year</m:t>
                  </m:r>
                </m:den>
              </m:f>
            </m:e>
          </m:d>
          <m:r>
            <w:rPr>
              <w:rFonts w:ascii="Cambria Math" w:hAnsi="Cambria Math"/>
              <w:sz w:val="20"/>
            </w:rPr>
            <m:t xml:space="preserve">- </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24GTs-2 GTs</m:t>
                  </m:r>
                </m:num>
                <m:den>
                  <m:r>
                    <w:rPr>
                      <w:rFonts w:ascii="Cambria Math" w:hAnsi="Cambria Math"/>
                      <w:sz w:val="20"/>
                    </w:rPr>
                    <m:t>24 GTs</m:t>
                  </m:r>
                </m:den>
              </m:f>
              <m:r>
                <w:rPr>
                  <w:rFonts w:ascii="Cambria Math" w:hAnsi="Cambria Math"/>
                  <w:sz w:val="20"/>
                </w:rPr>
                <m:t xml:space="preserve"> </m:t>
              </m:r>
            </m:e>
          </m:d>
          <m:r>
            <w:rPr>
              <w:rFonts w:ascii="Cambria Math" w:hAnsi="Cambria Math"/>
              <w:sz w:val="20"/>
            </w:rPr>
            <m:t xml:space="preserve">x 75 TPY </m:t>
          </m:r>
          <m:d>
            <m:dPr>
              <m:ctrlPr>
                <w:rPr>
                  <w:rFonts w:ascii="Cambria Math" w:hAnsi="Cambria Math"/>
                  <w:i/>
                  <w:sz w:val="20"/>
                </w:rPr>
              </m:ctrlPr>
            </m:dPr>
            <m:e>
              <m:r>
                <w:rPr>
                  <w:rFonts w:ascii="Cambria Math" w:hAnsi="Cambria Math"/>
                  <w:sz w:val="20"/>
                  <w:szCs w:val="22"/>
                </w:rPr>
                <m:t>FPL netting from existing GTs</m:t>
              </m:r>
            </m:e>
          </m:d>
          <m:r>
            <w:rPr>
              <w:rFonts w:ascii="Cambria Math" w:hAnsi="Cambria Math"/>
              <w:sz w:val="20"/>
            </w:rPr>
            <m:t>=</m:t>
          </m:r>
          <m:r>
            <m:rPr>
              <m:sty m:val="bi"/>
            </m:rPr>
            <w:rPr>
              <w:rFonts w:ascii="Cambria Math" w:hAnsi="Cambria Math"/>
              <w:sz w:val="20"/>
            </w:rPr>
            <m:t xml:space="preserve">37.4 TPY </m:t>
          </m:r>
          <m:sSub>
            <m:sSubPr>
              <m:ctrlPr>
                <w:rPr>
                  <w:rFonts w:ascii="Cambria Math" w:hAnsi="Cambria Math"/>
                  <w:b/>
                  <w:i/>
                  <w:sz w:val="20"/>
                </w:rPr>
              </m:ctrlPr>
            </m:sSubPr>
            <m:e>
              <m:r>
                <m:rPr>
                  <m:sty m:val="bi"/>
                </m:rPr>
                <w:rPr>
                  <w:rFonts w:ascii="Cambria Math" w:hAnsi="Cambria Math"/>
                  <w:sz w:val="20"/>
                </w:rPr>
                <m:t>SO</m:t>
              </m:r>
            </m:e>
            <m:sub>
              <m:r>
                <m:rPr>
                  <m:sty m:val="bi"/>
                </m:rPr>
                <w:rPr>
                  <w:rFonts w:ascii="Cambria Math" w:hAnsi="Cambria Math"/>
                  <w:sz w:val="20"/>
                </w:rPr>
                <m:t>2</m:t>
              </m:r>
            </m:sub>
          </m:sSub>
          <m:r>
            <w:rPr>
              <w:rFonts w:ascii="Cambria Math" w:hAnsi="Cambria Math"/>
              <w:sz w:val="20"/>
            </w:rPr>
            <m:t xml:space="preserve"> </m:t>
          </m:r>
        </m:oMath>
      </m:oMathPara>
    </w:p>
    <w:p w:rsidR="0079146B" w:rsidRPr="0079146B" w:rsidRDefault="0079146B" w:rsidP="007E712E">
      <w:pPr>
        <w:pStyle w:val="BodyTextIndent"/>
        <w:widowControl w:val="0"/>
        <w:spacing w:before="120"/>
        <w:ind w:left="0"/>
        <w:rPr>
          <w:sz w:val="22"/>
          <w:szCs w:val="22"/>
        </w:rPr>
      </w:pPr>
      <w:r>
        <w:rPr>
          <w:sz w:val="22"/>
          <w:szCs w:val="22"/>
        </w:rPr>
        <w:t>Based on the above calculation, with the 90 hour reduction in operational hours per CT, the project will no longer trigger PSD for SO</w:t>
      </w:r>
      <w:r w:rsidRPr="0079146B">
        <w:rPr>
          <w:sz w:val="22"/>
          <w:szCs w:val="22"/>
          <w:vertAlign w:val="subscript"/>
        </w:rPr>
        <w:t>2</w:t>
      </w:r>
      <w:r>
        <w:rPr>
          <w:sz w:val="22"/>
          <w:szCs w:val="22"/>
        </w:rPr>
        <w:t xml:space="preserve"> emissions.</w:t>
      </w:r>
    </w:p>
    <w:p w:rsidR="00F540AC" w:rsidRPr="00167E5B" w:rsidRDefault="00F540AC" w:rsidP="00C070A4">
      <w:pPr>
        <w:widowControl w:val="0"/>
        <w:numPr>
          <w:ilvl w:val="0"/>
          <w:numId w:val="2"/>
        </w:numPr>
        <w:tabs>
          <w:tab w:val="left" w:pos="720"/>
        </w:tabs>
        <w:spacing w:after="120"/>
        <w:ind w:left="720" w:hanging="720"/>
        <w:rPr>
          <w:b/>
          <w:sz w:val="22"/>
          <w:szCs w:val="22"/>
        </w:rPr>
      </w:pPr>
      <w:r w:rsidRPr="00167E5B">
        <w:rPr>
          <w:b/>
          <w:sz w:val="22"/>
          <w:szCs w:val="22"/>
        </w:rPr>
        <w:t>BACT</w:t>
      </w:r>
      <w:r w:rsidR="00A542ED">
        <w:rPr>
          <w:b/>
          <w:sz w:val="22"/>
          <w:szCs w:val="22"/>
        </w:rPr>
        <w:t xml:space="preserve"> </w:t>
      </w:r>
      <w:r>
        <w:rPr>
          <w:b/>
          <w:sz w:val="22"/>
          <w:szCs w:val="22"/>
        </w:rPr>
        <w:t xml:space="preserve"> DETERMINATIONS</w:t>
      </w:r>
    </w:p>
    <w:p w:rsidR="00F540AC" w:rsidRPr="00290299" w:rsidRDefault="00F540AC" w:rsidP="00C070A4">
      <w:pPr>
        <w:widowControl w:val="0"/>
        <w:numPr>
          <w:ilvl w:val="1"/>
          <w:numId w:val="2"/>
        </w:numPr>
        <w:tabs>
          <w:tab w:val="left" w:pos="720"/>
        </w:tabs>
        <w:spacing w:after="120"/>
        <w:ind w:left="720" w:hanging="720"/>
        <w:rPr>
          <w:b/>
          <w:sz w:val="22"/>
          <w:szCs w:val="22"/>
        </w:rPr>
      </w:pPr>
      <w:r>
        <w:rPr>
          <w:b/>
          <w:sz w:val="22"/>
          <w:szCs w:val="22"/>
        </w:rPr>
        <w:t>Definitions and Requirements Related to BACT</w:t>
      </w:r>
    </w:p>
    <w:p w:rsidR="00457CD0" w:rsidRDefault="00457CD0" w:rsidP="00F540AC">
      <w:pPr>
        <w:pStyle w:val="BodyText"/>
        <w:widowControl w:val="0"/>
        <w:rPr>
          <w:sz w:val="22"/>
          <w:szCs w:val="22"/>
        </w:rPr>
      </w:pPr>
      <w:r>
        <w:rPr>
          <w:sz w:val="22"/>
          <w:szCs w:val="22"/>
        </w:rPr>
        <w:t xml:space="preserve">“Best Available Control Technology” or “BACT” </w:t>
      </w:r>
      <w:r w:rsidR="00177C06">
        <w:rPr>
          <w:sz w:val="22"/>
          <w:szCs w:val="22"/>
        </w:rPr>
        <w:t xml:space="preserve">is </w:t>
      </w:r>
      <w:r>
        <w:rPr>
          <w:sz w:val="22"/>
          <w:szCs w:val="22"/>
        </w:rPr>
        <w:t>defined in Rule 62-210.200(</w:t>
      </w:r>
      <w:r w:rsidR="00177C06">
        <w:rPr>
          <w:sz w:val="22"/>
          <w:szCs w:val="22"/>
        </w:rPr>
        <w:t>40</w:t>
      </w:r>
      <w:r>
        <w:rPr>
          <w:sz w:val="22"/>
          <w:szCs w:val="22"/>
        </w:rPr>
        <w:t>), F.A.C. as follows:</w:t>
      </w:r>
    </w:p>
    <w:p w:rsidR="00457CD0" w:rsidRPr="00FB6D44" w:rsidRDefault="00457CD0" w:rsidP="00C070A4">
      <w:pPr>
        <w:pStyle w:val="BodyText"/>
        <w:widowControl w:val="0"/>
        <w:numPr>
          <w:ilvl w:val="0"/>
          <w:numId w:val="13"/>
        </w:numPr>
        <w:tabs>
          <w:tab w:val="clear" w:pos="2142"/>
        </w:tabs>
        <w:spacing w:after="60"/>
        <w:ind w:left="360"/>
        <w:rPr>
          <w:i/>
          <w:sz w:val="22"/>
          <w:szCs w:val="22"/>
        </w:rPr>
      </w:pPr>
      <w:r w:rsidRPr="00167E5B">
        <w:rPr>
          <w:i/>
          <w:sz w:val="22"/>
          <w:szCs w:val="22"/>
        </w:rPr>
        <w:t xml:space="preserve">An emission limitation, including a visible emissions standard, based on the maximum degree of reduction of each pollutant emitted which the Department, on a case by case basis, taking into </w:t>
      </w:r>
      <w:r w:rsidRPr="00FB6D44">
        <w:rPr>
          <w:i/>
          <w:sz w:val="22"/>
          <w:szCs w:val="22"/>
        </w:rPr>
        <w:t>account:</w:t>
      </w:r>
    </w:p>
    <w:p w:rsidR="00457CD0" w:rsidRPr="00FB6D44" w:rsidRDefault="00457CD0" w:rsidP="00C070A4">
      <w:pPr>
        <w:pStyle w:val="BodyText"/>
        <w:widowControl w:val="0"/>
        <w:numPr>
          <w:ilvl w:val="1"/>
          <w:numId w:val="13"/>
        </w:numPr>
        <w:tabs>
          <w:tab w:val="clear" w:pos="2160"/>
        </w:tabs>
        <w:spacing w:after="60"/>
        <w:ind w:left="720"/>
        <w:rPr>
          <w:i/>
          <w:sz w:val="22"/>
          <w:szCs w:val="22"/>
        </w:rPr>
      </w:pPr>
      <w:r w:rsidRPr="00FB6D44">
        <w:rPr>
          <w:i/>
          <w:sz w:val="22"/>
          <w:szCs w:val="22"/>
        </w:rPr>
        <w:t>Energy, environmental and economic impacts, and other costs,</w:t>
      </w:r>
    </w:p>
    <w:p w:rsidR="00457CD0" w:rsidRPr="00FB6D44" w:rsidRDefault="00457CD0" w:rsidP="00C070A4">
      <w:pPr>
        <w:pStyle w:val="BodyText"/>
        <w:widowControl w:val="0"/>
        <w:numPr>
          <w:ilvl w:val="1"/>
          <w:numId w:val="13"/>
        </w:numPr>
        <w:tabs>
          <w:tab w:val="clear" w:pos="2160"/>
        </w:tabs>
        <w:spacing w:after="60"/>
        <w:ind w:left="720"/>
        <w:rPr>
          <w:i/>
          <w:sz w:val="22"/>
          <w:szCs w:val="22"/>
        </w:rPr>
      </w:pPr>
      <w:r w:rsidRPr="00FB6D44">
        <w:rPr>
          <w:i/>
          <w:sz w:val="22"/>
          <w:szCs w:val="22"/>
        </w:rPr>
        <w:t>All scientific, engineering, and technical material and other information available to the Department; and</w:t>
      </w:r>
    </w:p>
    <w:p w:rsidR="00457CD0" w:rsidRPr="00FB6D44" w:rsidRDefault="00457CD0" w:rsidP="00C070A4">
      <w:pPr>
        <w:pStyle w:val="BodyText"/>
        <w:widowControl w:val="0"/>
        <w:numPr>
          <w:ilvl w:val="1"/>
          <w:numId w:val="13"/>
        </w:numPr>
        <w:tabs>
          <w:tab w:val="clear" w:pos="2160"/>
        </w:tabs>
        <w:spacing w:after="60"/>
        <w:ind w:left="720"/>
        <w:rPr>
          <w:i/>
          <w:sz w:val="22"/>
          <w:szCs w:val="22"/>
        </w:rPr>
      </w:pPr>
      <w:r w:rsidRPr="00FB6D44">
        <w:rPr>
          <w:i/>
          <w:sz w:val="22"/>
          <w:szCs w:val="22"/>
        </w:rPr>
        <w:t>The emission limiting standards or BACT determinations of Florida and any other state; determines is achievable through application of production processes and available methods, systems and techniques (including fuel cleaning or treatment or innovative fuel combustion techniques) for control of each such pollutant.</w:t>
      </w:r>
    </w:p>
    <w:p w:rsidR="00457CD0" w:rsidRDefault="00457CD0" w:rsidP="00C070A4">
      <w:pPr>
        <w:pStyle w:val="BodyText"/>
        <w:widowControl w:val="0"/>
        <w:numPr>
          <w:ilvl w:val="0"/>
          <w:numId w:val="13"/>
        </w:numPr>
        <w:tabs>
          <w:tab w:val="clear" w:pos="2142"/>
        </w:tabs>
        <w:spacing w:after="60"/>
        <w:ind w:left="360"/>
        <w:rPr>
          <w:i/>
          <w:sz w:val="22"/>
          <w:szCs w:val="22"/>
        </w:rPr>
      </w:pPr>
      <w:r>
        <w:rPr>
          <w:i/>
          <w:sz w:val="22"/>
          <w:szCs w:val="22"/>
        </w:rPr>
        <w:t>If the Department determines that technological or economic limitations on the application of measurement methodology to a particular part of an emissions unit or facility would make the imposition of an emission standard infeasible, a design, equipment, work practice, operational standard or combination thereof, may be prescribed instead to satisfy the requirement for eh application of BACT.  Such standard shall, to the degree possible, set forth the emissions reductions achievable by implementation of such design, equipment, work practice or operation.</w:t>
      </w:r>
    </w:p>
    <w:p w:rsidR="00457CD0" w:rsidRDefault="00457CD0" w:rsidP="00C070A4">
      <w:pPr>
        <w:pStyle w:val="BodyText"/>
        <w:widowControl w:val="0"/>
        <w:numPr>
          <w:ilvl w:val="0"/>
          <w:numId w:val="13"/>
        </w:numPr>
        <w:tabs>
          <w:tab w:val="clear" w:pos="2142"/>
        </w:tabs>
        <w:spacing w:after="60"/>
        <w:ind w:left="360"/>
        <w:rPr>
          <w:i/>
          <w:sz w:val="22"/>
          <w:szCs w:val="22"/>
        </w:rPr>
      </w:pPr>
      <w:r>
        <w:rPr>
          <w:i/>
          <w:sz w:val="22"/>
          <w:szCs w:val="22"/>
        </w:rPr>
        <w:t>Each BACT determination shall include applicable test methods or shall provide for determining compliance with the standard(s) by means which achieve equivalent results.</w:t>
      </w:r>
    </w:p>
    <w:p w:rsidR="00457CD0" w:rsidRPr="00167E5B" w:rsidRDefault="00457CD0" w:rsidP="00C070A4">
      <w:pPr>
        <w:pStyle w:val="BodyText"/>
        <w:widowControl w:val="0"/>
        <w:numPr>
          <w:ilvl w:val="0"/>
          <w:numId w:val="13"/>
        </w:numPr>
        <w:tabs>
          <w:tab w:val="clear" w:pos="2142"/>
        </w:tabs>
        <w:ind w:left="360"/>
        <w:rPr>
          <w:i/>
          <w:sz w:val="22"/>
          <w:szCs w:val="22"/>
        </w:rPr>
      </w:pPr>
      <w:r>
        <w:rPr>
          <w:i/>
          <w:sz w:val="22"/>
          <w:szCs w:val="22"/>
        </w:rPr>
        <w:t xml:space="preserve">In no event shall application of </w:t>
      </w:r>
      <w:r w:rsidR="00295634">
        <w:rPr>
          <w:i/>
          <w:sz w:val="22"/>
          <w:szCs w:val="22"/>
        </w:rPr>
        <w:t>BACT</w:t>
      </w:r>
      <w:r>
        <w:rPr>
          <w:i/>
          <w:sz w:val="22"/>
          <w:szCs w:val="22"/>
        </w:rPr>
        <w:t xml:space="preserve"> result in emissions of any pollutant which would exceed the emissions allowed by any applicable standard under 40 CFR Parts 60, 61, and 63.</w:t>
      </w:r>
    </w:p>
    <w:p w:rsidR="00457CD0" w:rsidRDefault="0008089F" w:rsidP="00C070A4">
      <w:pPr>
        <w:widowControl w:val="0"/>
        <w:numPr>
          <w:ilvl w:val="1"/>
          <w:numId w:val="2"/>
        </w:numPr>
        <w:tabs>
          <w:tab w:val="left" w:pos="720"/>
        </w:tabs>
        <w:spacing w:after="120"/>
        <w:ind w:left="720" w:hanging="720"/>
        <w:rPr>
          <w:b/>
          <w:sz w:val="22"/>
          <w:szCs w:val="22"/>
        </w:rPr>
      </w:pPr>
      <w:r>
        <w:rPr>
          <w:b/>
          <w:sz w:val="22"/>
          <w:szCs w:val="22"/>
        </w:rPr>
        <w:t xml:space="preserve">Draft </w:t>
      </w:r>
      <w:r w:rsidR="004A5D7B">
        <w:rPr>
          <w:b/>
          <w:sz w:val="22"/>
          <w:szCs w:val="22"/>
        </w:rPr>
        <w:t xml:space="preserve">BACT </w:t>
      </w:r>
      <w:r>
        <w:rPr>
          <w:b/>
          <w:sz w:val="22"/>
          <w:szCs w:val="22"/>
        </w:rPr>
        <w:t>Determinations for the Combustion Turbine-</w:t>
      </w:r>
      <w:r w:rsidR="008D2DD2">
        <w:rPr>
          <w:b/>
          <w:sz w:val="22"/>
          <w:szCs w:val="22"/>
        </w:rPr>
        <w:t xml:space="preserve">Electrical </w:t>
      </w:r>
      <w:r>
        <w:rPr>
          <w:b/>
          <w:sz w:val="22"/>
          <w:szCs w:val="22"/>
        </w:rPr>
        <w:t>Generators</w:t>
      </w:r>
    </w:p>
    <w:p w:rsidR="008D2DD2" w:rsidRPr="00B53694" w:rsidRDefault="006D158C" w:rsidP="00C070A4">
      <w:pPr>
        <w:widowControl w:val="0"/>
        <w:numPr>
          <w:ilvl w:val="2"/>
          <w:numId w:val="2"/>
        </w:numPr>
        <w:tabs>
          <w:tab w:val="left" w:pos="720"/>
        </w:tabs>
        <w:spacing w:after="120"/>
        <w:ind w:left="720" w:hanging="720"/>
        <w:rPr>
          <w:sz w:val="22"/>
          <w:szCs w:val="22"/>
          <w:u w:val="single"/>
        </w:rPr>
      </w:pPr>
      <w:r w:rsidRPr="006D158C">
        <w:rPr>
          <w:b/>
          <w:i/>
          <w:noProof/>
        </w:rPr>
        <mc:AlternateContent>
          <mc:Choice Requires="wpg">
            <w:drawing>
              <wp:anchor distT="0" distB="0" distL="114300" distR="114300" simplePos="0" relativeHeight="251662336" behindDoc="0" locked="0" layoutInCell="1" allowOverlap="1" wp14:anchorId="7564A200" wp14:editId="30A7DED9">
                <wp:simplePos x="0" y="0"/>
                <wp:positionH relativeFrom="column">
                  <wp:posOffset>-48895</wp:posOffset>
                </wp:positionH>
                <wp:positionV relativeFrom="paragraph">
                  <wp:posOffset>195844</wp:posOffset>
                </wp:positionV>
                <wp:extent cx="5869305" cy="1403350"/>
                <wp:effectExtent l="0" t="0" r="0" b="6350"/>
                <wp:wrapNone/>
                <wp:docPr id="20"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9305" cy="1403350"/>
                          <a:chOff x="1390" y="11872"/>
                          <a:chExt cx="9243" cy="2210"/>
                        </a:xfrm>
                      </wpg:grpSpPr>
                      <wps:wsp>
                        <wps:cNvPr id="21" name="Text Box 38"/>
                        <wps:cNvSpPr txBox="1">
                          <a:spLocks noChangeArrowheads="1"/>
                        </wps:cNvSpPr>
                        <wps:spPr bwMode="auto">
                          <a:xfrm>
                            <a:off x="4559" y="12102"/>
                            <a:ext cx="1325"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158C" w:rsidRPr="00DA13E5" w:rsidRDefault="006D158C" w:rsidP="006D158C">
                              <w:pPr>
                                <w:rPr>
                                  <w:rFonts w:ascii="Arial" w:hAnsi="Arial" w:cs="Arial"/>
                                  <w:b/>
                                  <w:sz w:val="16"/>
                                  <w:szCs w:val="16"/>
                                </w:rPr>
                              </w:pPr>
                              <w:r w:rsidRPr="00DA13E5">
                                <w:rPr>
                                  <w:rFonts w:ascii="Arial" w:hAnsi="Arial" w:cs="Arial"/>
                                  <w:b/>
                                  <w:sz w:val="16"/>
                                  <w:szCs w:val="16"/>
                                </w:rPr>
                                <w:t>Compressor</w:t>
                              </w:r>
                            </w:p>
                          </w:txbxContent>
                        </wps:txbx>
                        <wps:bodyPr rot="0" vert="horz" wrap="square" lIns="91440" tIns="45720" rIns="91440" bIns="45720" anchor="t" anchorCtr="0" upright="1">
                          <a:spAutoFit/>
                        </wps:bodyPr>
                      </wps:wsp>
                      <wps:wsp>
                        <wps:cNvPr id="31" name="Text Box 39"/>
                        <wps:cNvSpPr txBox="1">
                          <a:spLocks noChangeArrowheads="1"/>
                        </wps:cNvSpPr>
                        <wps:spPr bwMode="auto">
                          <a:xfrm>
                            <a:off x="4236" y="13524"/>
                            <a:ext cx="1325" cy="5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000" w:firstRow="0" w:lastRow="0" w:firstColumn="0" w:lastColumn="0" w:noHBand="0" w:noVBand="0"/>
                              </w:tblPr>
                              <w:tblGrid>
                                <w:gridCol w:w="450"/>
                              </w:tblGrid>
                              <w:tr w:rsidR="006D158C">
                                <w:tc>
                                  <w:tcPr>
                                    <w:tcW w:w="450" w:type="dxa"/>
                                  </w:tcPr>
                                  <w:p w:rsidR="006D158C" w:rsidRDefault="006D158C"/>
                                </w:tc>
                              </w:tr>
                            </w:tbl>
                            <w:p w:rsidR="006D158C" w:rsidRPr="00DA13E5" w:rsidRDefault="006D158C" w:rsidP="006D158C">
                              <w:pPr>
                                <w:rPr>
                                  <w:rFonts w:ascii="Arial" w:hAnsi="Arial" w:cs="Arial"/>
                                  <w:b/>
                                  <w:sz w:val="16"/>
                                  <w:szCs w:val="16"/>
                                </w:rPr>
                              </w:pPr>
                              <w:r w:rsidRPr="00DA13E5">
                                <w:rPr>
                                  <w:rFonts w:ascii="Arial" w:hAnsi="Arial" w:cs="Arial"/>
                                  <w:b/>
                                  <w:sz w:val="16"/>
                                  <w:szCs w:val="16"/>
                                </w:rPr>
                                <w:t>Combustors</w:t>
                              </w:r>
                            </w:p>
                          </w:txbxContent>
                        </wps:txbx>
                        <wps:bodyPr rot="0" vert="horz" wrap="square" lIns="91440" tIns="45720" rIns="91440" bIns="45720" anchor="t" anchorCtr="0" upright="1">
                          <a:spAutoFit/>
                        </wps:bodyPr>
                      </wps:wsp>
                      <wps:wsp>
                        <wps:cNvPr id="32" name="Text Box 40"/>
                        <wps:cNvSpPr txBox="1">
                          <a:spLocks noChangeArrowheads="1"/>
                        </wps:cNvSpPr>
                        <wps:spPr bwMode="auto">
                          <a:xfrm>
                            <a:off x="1390" y="12810"/>
                            <a:ext cx="1617"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158C" w:rsidRPr="00DA13E5" w:rsidRDefault="006D158C" w:rsidP="006D158C">
                              <w:pPr>
                                <w:rPr>
                                  <w:rFonts w:ascii="Arial" w:hAnsi="Arial" w:cs="Arial"/>
                                  <w:b/>
                                  <w:sz w:val="16"/>
                                  <w:szCs w:val="16"/>
                                </w:rPr>
                              </w:pPr>
                              <w:r w:rsidRPr="00DA13E5">
                                <w:rPr>
                                  <w:rFonts w:ascii="Arial" w:hAnsi="Arial" w:cs="Arial"/>
                                  <w:b/>
                                  <w:sz w:val="16"/>
                                  <w:szCs w:val="16"/>
                                </w:rPr>
                                <w:t>Generator Shaft</w:t>
                              </w:r>
                            </w:p>
                          </w:txbxContent>
                        </wps:txbx>
                        <wps:bodyPr rot="0" vert="horz" wrap="square" lIns="91440" tIns="45720" rIns="91440" bIns="45720" anchor="t" anchorCtr="0" upright="1">
                          <a:spAutoFit/>
                        </wps:bodyPr>
                      </wps:wsp>
                      <wps:wsp>
                        <wps:cNvPr id="33" name="Text Box 42"/>
                        <wps:cNvSpPr txBox="1">
                          <a:spLocks noChangeArrowheads="1"/>
                        </wps:cNvSpPr>
                        <wps:spPr bwMode="auto">
                          <a:xfrm>
                            <a:off x="6795" y="11872"/>
                            <a:ext cx="2513"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158C" w:rsidRPr="00DA13E5" w:rsidRDefault="006D158C" w:rsidP="006D158C">
                              <w:pPr>
                                <w:rPr>
                                  <w:rFonts w:ascii="Arial" w:hAnsi="Arial" w:cs="Arial"/>
                                  <w:b/>
                                  <w:sz w:val="16"/>
                                  <w:szCs w:val="16"/>
                                </w:rPr>
                              </w:pPr>
                              <w:r w:rsidRPr="00DA13E5">
                                <w:rPr>
                                  <w:rFonts w:ascii="Arial" w:hAnsi="Arial" w:cs="Arial"/>
                                  <w:b/>
                                  <w:sz w:val="16"/>
                                  <w:szCs w:val="16"/>
                                </w:rPr>
                                <w:t xml:space="preserve">Turbine </w:t>
                              </w:r>
                              <w:r>
                                <w:rPr>
                                  <w:rFonts w:ascii="Arial" w:hAnsi="Arial" w:cs="Arial"/>
                                  <w:b/>
                                  <w:sz w:val="16"/>
                                  <w:szCs w:val="16"/>
                                </w:rPr>
                                <w:t xml:space="preserve">Blades </w:t>
                              </w:r>
                              <w:r w:rsidRPr="00DA13E5">
                                <w:rPr>
                                  <w:rFonts w:ascii="Arial" w:hAnsi="Arial" w:cs="Arial"/>
                                  <w:b/>
                                  <w:sz w:val="16"/>
                                  <w:szCs w:val="16"/>
                                </w:rPr>
                                <w:t>(thrust)</w:t>
                              </w:r>
                            </w:p>
                          </w:txbxContent>
                        </wps:txbx>
                        <wps:bodyPr rot="0" vert="horz" wrap="square" lIns="91440" tIns="45720" rIns="91440" bIns="45720" anchor="t" anchorCtr="0" upright="1">
                          <a:spAutoFit/>
                        </wps:bodyPr>
                      </wps:wsp>
                      <wps:wsp>
                        <wps:cNvPr id="34" name="Text Box 43"/>
                        <wps:cNvSpPr txBox="1">
                          <a:spLocks noChangeArrowheads="1"/>
                        </wps:cNvSpPr>
                        <wps:spPr bwMode="auto">
                          <a:xfrm>
                            <a:off x="8557" y="12747"/>
                            <a:ext cx="207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158C" w:rsidRPr="00DA13E5" w:rsidRDefault="006D158C" w:rsidP="006D158C">
                              <w:pPr>
                                <w:rPr>
                                  <w:rFonts w:ascii="Arial" w:hAnsi="Arial" w:cs="Arial"/>
                                  <w:b/>
                                  <w:sz w:val="16"/>
                                  <w:szCs w:val="16"/>
                                </w:rPr>
                              </w:pPr>
                              <w:r>
                                <w:rPr>
                                  <w:rFonts w:ascii="Arial" w:hAnsi="Arial" w:cs="Arial"/>
                                  <w:b/>
                                  <w:sz w:val="16"/>
                                  <w:szCs w:val="16"/>
                                </w:rPr>
                                <w:t xml:space="preserve">Turbine </w:t>
                              </w:r>
                              <w:r w:rsidRPr="00DA13E5">
                                <w:rPr>
                                  <w:rFonts w:ascii="Arial" w:hAnsi="Arial" w:cs="Arial"/>
                                  <w:b/>
                                  <w:sz w:val="16"/>
                                  <w:szCs w:val="16"/>
                                </w:rPr>
                                <w:t>Exhaust</w:t>
                              </w:r>
                              <w:r>
                                <w:rPr>
                                  <w:rFonts w:ascii="Arial" w:hAnsi="Arial" w:cs="Arial"/>
                                  <w:b/>
                                  <w:sz w:val="16"/>
                                  <w:szCs w:val="16"/>
                                </w:rPr>
                                <w:t xml:space="preserve"> Gas</w:t>
                              </w:r>
                            </w:p>
                          </w:txbxContent>
                        </wps:txbx>
                        <wps:bodyPr rot="0" vert="horz" wrap="square" lIns="91440" tIns="45720" rIns="91440" bIns="45720" anchor="t" anchorCtr="0" upright="1">
                          <a:spAutoFit/>
                        </wps:bodyPr>
                      </wps:wsp>
                      <wps:wsp>
                        <wps:cNvPr id="35" name="Text Box 44"/>
                        <wps:cNvSpPr txBox="1">
                          <a:spLocks noChangeArrowheads="1"/>
                        </wps:cNvSpPr>
                        <wps:spPr bwMode="auto">
                          <a:xfrm>
                            <a:off x="2731" y="12482"/>
                            <a:ext cx="1117"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D158C" w:rsidRPr="00DA13E5" w:rsidRDefault="006D158C" w:rsidP="006D158C">
                              <w:pPr>
                                <w:rPr>
                                  <w:rFonts w:ascii="Arial" w:hAnsi="Arial" w:cs="Arial"/>
                                  <w:b/>
                                  <w:sz w:val="16"/>
                                  <w:szCs w:val="16"/>
                                </w:rPr>
                              </w:pPr>
                              <w:r>
                                <w:rPr>
                                  <w:rFonts w:ascii="Arial" w:hAnsi="Arial" w:cs="Arial"/>
                                  <w:b/>
                                  <w:sz w:val="16"/>
                                  <w:szCs w:val="16"/>
                                </w:rPr>
                                <w:t xml:space="preserve">Air </w:t>
                              </w:r>
                              <w:r w:rsidRPr="00DA13E5">
                                <w:rPr>
                                  <w:rFonts w:ascii="Arial" w:hAnsi="Arial" w:cs="Arial"/>
                                  <w:b/>
                                  <w:sz w:val="16"/>
                                  <w:szCs w:val="16"/>
                                </w:rPr>
                                <w:t>Intake</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7564A200" id="Group 46" o:spid="_x0000_s1028" style="position:absolute;left:0;text-align:left;margin-left:-3.85pt;margin-top:15.4pt;width:462.15pt;height:110.5pt;z-index:251662336" coordorigin="1390,11872" coordsize="9243,2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">
                <v:shapetype id="_x0000_t202" coordsize="21600,21600" o:spt="202" path="m,l,21600r21600,l21600,xe">
                  <v:stroke joinstyle="miter"/>
                  <v:path gradientshapeok="t" o:connecttype="rect"/>
                </v:shapetype>
                <v:shape id="Text Box 38" o:spid="_x0000_s1029" type="#_x0000_t202" style="position:absolute;left:4559;top:12102;width:1325;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MIHsEA&#10;AADbAAAADwAAAGRycy9kb3ducmV2LnhtbESPQWvCQBSE7wX/w/IK3uomgiKpq0it4MGLNr0/sq/Z&#10;0OzbkH018d+7gtDjMDPfMOvt6Ft1pT42gQ3kswwUcRVsw7WB8uvwtgIVBdliG5gM3CjCdjN5WWNh&#10;w8Bnul6kVgnCsUADTqQrtI6VI49xFjri5P2E3qMk2dfa9jgkuG/1PMuW2mPDacFhRx+Oqt/Lnzcg&#10;Ynf5rfz08fg9nvaDy6oFlsZMX8fdOyihUf7Dz/bRGpjn8PiSfoDe3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jCB7BAAAA2wAAAA8AAAAAAAAAAAAAAAAAmAIAAGRycy9kb3du&#10;cmV2LnhtbFBLBQYAAAAABAAEAPUAAACGAwAAAAA=&#10;" filled="f" stroked="f">
                  <v:textbox style="mso-fit-shape-to-text:t">
                    <w:txbxContent>
                      <w:p w:rsidR="006D158C" w:rsidRPr="00DA13E5" w:rsidRDefault="006D158C" w:rsidP="006D158C">
                        <w:pPr>
                          <w:rPr>
                            <w:rFonts w:ascii="Arial" w:hAnsi="Arial" w:cs="Arial"/>
                            <w:b/>
                            <w:sz w:val="16"/>
                            <w:szCs w:val="16"/>
                          </w:rPr>
                        </w:pPr>
                        <w:r w:rsidRPr="00DA13E5">
                          <w:rPr>
                            <w:rFonts w:ascii="Arial" w:hAnsi="Arial" w:cs="Arial"/>
                            <w:b/>
                            <w:sz w:val="16"/>
                            <w:szCs w:val="16"/>
                          </w:rPr>
                          <w:t>Compressor</w:t>
                        </w:r>
                      </w:p>
                    </w:txbxContent>
                  </v:textbox>
                </v:shape>
                <v:shape id="Text Box 39" o:spid="_x0000_s1030" type="#_x0000_t202" style="position:absolute;left:4236;top:13524;width:1325;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qew8IA&#10;AADbAAAADwAAAGRycy9kb3ducmV2LnhtbESPzWrDMBCE74W+g9hCb43slIbiRAkhP5BDL0md+2Jt&#10;LVNrZaxN7Lx9FCj0OMzMN8xiNfpWXamPTWAD+SQDRVwF23BtoPzev32CioJssQ1MBm4UYbV8flpg&#10;YcPAR7qepFYJwrFAA06kK7SOlSOPcRI64uT9hN6jJNnX2vY4JLhv9TTLZtpjw2nBYUcbR9Xv6eIN&#10;iNh1fit3Ph7O49d2cFn1gaUxry/jeg5KaJT/8F/7YA285/D4kn6AXt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p7DwgAAANsAAAAPAAAAAAAAAAAAAAAAAJgCAABkcnMvZG93&#10;bnJldi54bWxQSwUGAAAAAAQABAD1AAAAhwMAAAAA&#10;" filled="f" stroked="f">
                  <v:textbox style="mso-fit-shape-to-text:t">
                    <w:txbxContent>
                      <w:tbl>
                        <w:tblPr>
                          <w:tblW w:w="0" w:type="auto"/>
                          <w:tblLayout w:type="fixed"/>
                          <w:tblCellMar>
                            <w:left w:w="0" w:type="dxa"/>
                            <w:right w:w="0" w:type="dxa"/>
                          </w:tblCellMar>
                          <w:tblLook w:val="0000" w:firstRow="0" w:lastRow="0" w:firstColumn="0" w:lastColumn="0" w:noHBand="0" w:noVBand="0"/>
                        </w:tblPr>
                        <w:tblGrid>
                          <w:gridCol w:w="450"/>
                        </w:tblGrid>
                        <w:tr w:rsidR="006D158C">
                          <w:tc>
                            <w:tcPr>
                              <w:tcW w:w="450" w:type="dxa"/>
                            </w:tcPr>
                            <w:p w:rsidR="006D158C" w:rsidRDefault="006D158C"/>
                          </w:tc>
                        </w:tr>
                      </w:tbl>
                      <w:p w:rsidR="006D158C" w:rsidRPr="00DA13E5" w:rsidRDefault="006D158C" w:rsidP="006D158C">
                        <w:pPr>
                          <w:rPr>
                            <w:rFonts w:ascii="Arial" w:hAnsi="Arial" w:cs="Arial"/>
                            <w:b/>
                            <w:sz w:val="16"/>
                            <w:szCs w:val="16"/>
                          </w:rPr>
                        </w:pPr>
                        <w:r w:rsidRPr="00DA13E5">
                          <w:rPr>
                            <w:rFonts w:ascii="Arial" w:hAnsi="Arial" w:cs="Arial"/>
                            <w:b/>
                            <w:sz w:val="16"/>
                            <w:szCs w:val="16"/>
                          </w:rPr>
                          <w:t>Combustors</w:t>
                        </w:r>
                      </w:p>
                    </w:txbxContent>
                  </v:textbox>
                </v:shape>
                <v:shape id="Text Box 40" o:spid="_x0000_s1031" type="#_x0000_t202" style="position:absolute;left:1390;top:12810;width:1617;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gAtMIA&#10;AADbAAAADwAAAGRycy9kb3ducmV2LnhtbESPT2vCQBTE7wW/w/IKvdWNloqkriL+AQ+9qPH+yL5m&#10;Q7NvQ/Zp4rd3hUKPw8z8hlmsBt+oG3WxDmxgMs5AEZfB1lwZKM779zmoKMgWm8Bk4E4RVsvRywJz&#10;G3o+0u0klUoQjjkacCJtrnUsHXmM49ASJ+8ndB4lya7StsM+wX2jp1k20x5rTgsOW9o4Kn9PV29A&#10;xK4n92Ln4+EyfG97l5WfWBjz9jqsv0AJDfIf/msfrIGPK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qAC0wgAAANsAAAAPAAAAAAAAAAAAAAAAAJgCAABkcnMvZG93&#10;bnJldi54bWxQSwUGAAAAAAQABAD1AAAAhwMAAAAA&#10;" filled="f" stroked="f">
                  <v:textbox style="mso-fit-shape-to-text:t">
                    <w:txbxContent>
                      <w:p w:rsidR="006D158C" w:rsidRPr="00DA13E5" w:rsidRDefault="006D158C" w:rsidP="006D158C">
                        <w:pPr>
                          <w:rPr>
                            <w:rFonts w:ascii="Arial" w:hAnsi="Arial" w:cs="Arial"/>
                            <w:b/>
                            <w:sz w:val="16"/>
                            <w:szCs w:val="16"/>
                          </w:rPr>
                        </w:pPr>
                        <w:r w:rsidRPr="00DA13E5">
                          <w:rPr>
                            <w:rFonts w:ascii="Arial" w:hAnsi="Arial" w:cs="Arial"/>
                            <w:b/>
                            <w:sz w:val="16"/>
                            <w:szCs w:val="16"/>
                          </w:rPr>
                          <w:t>Generator Shaft</w:t>
                        </w:r>
                      </w:p>
                    </w:txbxContent>
                  </v:textbox>
                </v:shape>
                <v:shape id="Text Box 42" o:spid="_x0000_s1032" type="#_x0000_t202" style="position:absolute;left:6795;top:11872;width:2513;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SlL8EA&#10;AADbAAAADwAAAGRycy9kb3ducmV2LnhtbESPQWvCQBSE7wX/w/IK3upGpSKpq4hW8NCLGu+P7Gs2&#10;NPs2ZF9N/PfdguBxmJlvmNVm8I26URfrwAamkwwUcRlszZWB4nJ4W4KKgmyxCUwG7hRhsx69rDC3&#10;oecT3c5SqQThmKMBJ9LmWsfSkcc4CS1x8r5D51GS7CptO+wT3Dd6lmUL7bHmtOCwpZ2j8uf86w2I&#10;2O30Xnz6eLwOX/veZeU7FsaMX4ftByihQZ7hR/toDczn8P8l/QC9/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kpS/BAAAA2wAAAA8AAAAAAAAAAAAAAAAAmAIAAGRycy9kb3du&#10;cmV2LnhtbFBLBQYAAAAABAAEAPUAAACGAwAAAAA=&#10;" filled="f" stroked="f">
                  <v:textbox style="mso-fit-shape-to-text:t">
                    <w:txbxContent>
                      <w:p w:rsidR="006D158C" w:rsidRPr="00DA13E5" w:rsidRDefault="006D158C" w:rsidP="006D158C">
                        <w:pPr>
                          <w:rPr>
                            <w:rFonts w:ascii="Arial" w:hAnsi="Arial" w:cs="Arial"/>
                            <w:b/>
                            <w:sz w:val="16"/>
                            <w:szCs w:val="16"/>
                          </w:rPr>
                        </w:pPr>
                        <w:r w:rsidRPr="00DA13E5">
                          <w:rPr>
                            <w:rFonts w:ascii="Arial" w:hAnsi="Arial" w:cs="Arial"/>
                            <w:b/>
                            <w:sz w:val="16"/>
                            <w:szCs w:val="16"/>
                          </w:rPr>
                          <w:t xml:space="preserve">Turbine </w:t>
                        </w:r>
                        <w:r>
                          <w:rPr>
                            <w:rFonts w:ascii="Arial" w:hAnsi="Arial" w:cs="Arial"/>
                            <w:b/>
                            <w:sz w:val="16"/>
                            <w:szCs w:val="16"/>
                          </w:rPr>
                          <w:t xml:space="preserve">Blades </w:t>
                        </w:r>
                        <w:r w:rsidRPr="00DA13E5">
                          <w:rPr>
                            <w:rFonts w:ascii="Arial" w:hAnsi="Arial" w:cs="Arial"/>
                            <w:b/>
                            <w:sz w:val="16"/>
                            <w:szCs w:val="16"/>
                          </w:rPr>
                          <w:t>(thrust)</w:t>
                        </w:r>
                      </w:p>
                    </w:txbxContent>
                  </v:textbox>
                </v:shape>
                <v:shape id="Text Box 43" o:spid="_x0000_s1033" type="#_x0000_t202" style="position:absolute;left:8557;top:12747;width:2076;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9W8IA&#10;AADbAAAADwAAAGRycy9kb3ducmV2LnhtbESPQWvCQBSE7wX/w/KE3upGbaWkriJqwYOXarw/sq/Z&#10;0OzbkH2a+O+7hYLHYWa+YZbrwTfqRl2sAxuYTjJQxGWwNVcGivPnyzuoKMgWm8Bk4E4R1qvR0xJz&#10;G3r+ottJKpUgHHM04ETaXOtYOvIYJ6ElTt536DxKkl2lbYd9gvtGz7JsoT3WnBYctrR1VP6crt6A&#10;iN1M78Xex8NlOO56l5VvWBjzPB42H6CEBnmE/9sHa2D+C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T1bwgAAANsAAAAPAAAAAAAAAAAAAAAAAJgCAABkcnMvZG93&#10;bnJldi54bWxQSwUGAAAAAAQABAD1AAAAhwMAAAAA&#10;" filled="f" stroked="f">
                  <v:textbox style="mso-fit-shape-to-text:t">
                    <w:txbxContent>
                      <w:p w:rsidR="006D158C" w:rsidRPr="00DA13E5" w:rsidRDefault="006D158C" w:rsidP="006D158C">
                        <w:pPr>
                          <w:rPr>
                            <w:rFonts w:ascii="Arial" w:hAnsi="Arial" w:cs="Arial"/>
                            <w:b/>
                            <w:sz w:val="16"/>
                            <w:szCs w:val="16"/>
                          </w:rPr>
                        </w:pPr>
                        <w:r>
                          <w:rPr>
                            <w:rFonts w:ascii="Arial" w:hAnsi="Arial" w:cs="Arial"/>
                            <w:b/>
                            <w:sz w:val="16"/>
                            <w:szCs w:val="16"/>
                          </w:rPr>
                          <w:t xml:space="preserve">Turbine </w:t>
                        </w:r>
                        <w:r w:rsidRPr="00DA13E5">
                          <w:rPr>
                            <w:rFonts w:ascii="Arial" w:hAnsi="Arial" w:cs="Arial"/>
                            <w:b/>
                            <w:sz w:val="16"/>
                            <w:szCs w:val="16"/>
                          </w:rPr>
                          <w:t>Exhaust</w:t>
                        </w:r>
                        <w:r>
                          <w:rPr>
                            <w:rFonts w:ascii="Arial" w:hAnsi="Arial" w:cs="Arial"/>
                            <w:b/>
                            <w:sz w:val="16"/>
                            <w:szCs w:val="16"/>
                          </w:rPr>
                          <w:t xml:space="preserve"> Gas</w:t>
                        </w:r>
                      </w:p>
                    </w:txbxContent>
                  </v:textbox>
                </v:shape>
                <v:shape id="Text Box 44" o:spid="_x0000_s1034" type="#_x0000_t202" style="position:absolute;left:2731;top:12482;width:1117;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GYwMEA&#10;AADbAAAADwAAAGRycy9kb3ducmV2LnhtbESPQWvCQBSE7wX/w/IKvdWNiiKpq4hW8OBFjfdH9jUb&#10;mn0bsq8m/vuuUOhxmJlvmNVm8I26UxfrwAYm4wwUcRlszZWB4np4X4KKgmyxCUwGHhRhsx69rDC3&#10;oecz3S9SqQThmKMBJ9LmWsfSkcc4Di1x8r5C51GS7CptO+wT3Dd6mmUL7bHmtOCwpZ2j8vvy4w2I&#10;2O3kUXz6eLwNp33vsnKOhTFvr8P2A5TQIP/hv/bRGpjN4fkl/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BmMDBAAAA2wAAAA8AAAAAAAAAAAAAAAAAmAIAAGRycy9kb3du&#10;cmV2LnhtbFBLBQYAAAAABAAEAPUAAACGAwAAAAA=&#10;" filled="f" stroked="f">
                  <v:textbox style="mso-fit-shape-to-text:t">
                    <w:txbxContent>
                      <w:p w:rsidR="006D158C" w:rsidRPr="00DA13E5" w:rsidRDefault="006D158C" w:rsidP="006D158C">
                        <w:pPr>
                          <w:rPr>
                            <w:rFonts w:ascii="Arial" w:hAnsi="Arial" w:cs="Arial"/>
                            <w:b/>
                            <w:sz w:val="16"/>
                            <w:szCs w:val="16"/>
                          </w:rPr>
                        </w:pPr>
                        <w:r>
                          <w:rPr>
                            <w:rFonts w:ascii="Arial" w:hAnsi="Arial" w:cs="Arial"/>
                            <w:b/>
                            <w:sz w:val="16"/>
                            <w:szCs w:val="16"/>
                          </w:rPr>
                          <w:t xml:space="preserve">Air </w:t>
                        </w:r>
                        <w:r w:rsidRPr="00DA13E5">
                          <w:rPr>
                            <w:rFonts w:ascii="Arial" w:hAnsi="Arial" w:cs="Arial"/>
                            <w:b/>
                            <w:sz w:val="16"/>
                            <w:szCs w:val="16"/>
                          </w:rPr>
                          <w:t>Intake</w:t>
                        </w:r>
                      </w:p>
                    </w:txbxContent>
                  </v:textbox>
                </v:shape>
              </v:group>
            </w:pict>
          </mc:Fallback>
        </mc:AlternateContent>
      </w:r>
      <w:r w:rsidR="008D2DD2" w:rsidRPr="00B53694">
        <w:rPr>
          <w:sz w:val="22"/>
          <w:szCs w:val="22"/>
          <w:u w:val="single"/>
        </w:rPr>
        <w:t xml:space="preserve">How a </w:t>
      </w:r>
      <w:r w:rsidR="00611744" w:rsidRPr="00B53694">
        <w:rPr>
          <w:sz w:val="22"/>
          <w:szCs w:val="22"/>
          <w:u w:val="single"/>
        </w:rPr>
        <w:t xml:space="preserve">Combustion </w:t>
      </w:r>
      <w:r w:rsidR="00A97489" w:rsidRPr="00B53694">
        <w:rPr>
          <w:sz w:val="22"/>
          <w:szCs w:val="22"/>
          <w:u w:val="single"/>
        </w:rPr>
        <w:t>Turbine</w:t>
      </w:r>
      <w:r w:rsidR="00611744" w:rsidRPr="00B53694">
        <w:rPr>
          <w:sz w:val="22"/>
          <w:szCs w:val="22"/>
          <w:u w:val="single"/>
        </w:rPr>
        <w:t xml:space="preserve">-Electric </w:t>
      </w:r>
      <w:r w:rsidR="00E640CD" w:rsidRPr="00B53694">
        <w:rPr>
          <w:sz w:val="22"/>
          <w:szCs w:val="22"/>
          <w:u w:val="single"/>
        </w:rPr>
        <w:t>G</w:t>
      </w:r>
      <w:r w:rsidR="00611744" w:rsidRPr="00B53694">
        <w:rPr>
          <w:sz w:val="22"/>
          <w:szCs w:val="22"/>
          <w:u w:val="single"/>
        </w:rPr>
        <w:t xml:space="preserve">enerator (CTG) </w:t>
      </w:r>
      <w:r w:rsidR="008D2DD2" w:rsidRPr="00B53694">
        <w:rPr>
          <w:sz w:val="22"/>
          <w:szCs w:val="22"/>
          <w:u w:val="single"/>
        </w:rPr>
        <w:t>Works</w:t>
      </w:r>
    </w:p>
    <w:p w:rsidR="00611744" w:rsidRDefault="00927CE6" w:rsidP="00DA13E5">
      <w:pPr>
        <w:pStyle w:val="BodyText"/>
        <w:widowControl w:val="0"/>
        <w:pBdr>
          <w:top w:val="single" w:sz="4" w:space="1" w:color="auto"/>
          <w:left w:val="single" w:sz="4" w:space="4" w:color="auto"/>
          <w:bottom w:val="single" w:sz="4" w:space="1" w:color="auto"/>
          <w:right w:val="single" w:sz="4" w:space="0" w:color="auto"/>
        </w:pBdr>
        <w:ind w:left="90"/>
        <w:jc w:val="center"/>
        <w:rPr>
          <w:sz w:val="22"/>
          <w:szCs w:val="22"/>
        </w:rPr>
      </w:pPr>
      <w:r>
        <w:rPr>
          <w:i/>
          <w:noProof/>
          <w:sz w:val="22"/>
          <w:szCs w:val="22"/>
        </w:rPr>
        <mc:AlternateContent>
          <mc:Choice Requires="wps">
            <w:drawing>
              <wp:anchor distT="0" distB="0" distL="114300" distR="114300" simplePos="0" relativeHeight="251657216" behindDoc="0" locked="0" layoutInCell="1" allowOverlap="1" wp14:anchorId="7A01F3C8" wp14:editId="37F22EA0">
                <wp:simplePos x="0" y="0"/>
                <wp:positionH relativeFrom="column">
                  <wp:posOffset>2523490</wp:posOffset>
                </wp:positionH>
                <wp:positionV relativeFrom="paragraph">
                  <wp:posOffset>1270635</wp:posOffset>
                </wp:positionV>
                <wp:extent cx="256540" cy="0"/>
                <wp:effectExtent l="0" t="0" r="0" b="0"/>
                <wp:wrapNone/>
                <wp:docPr id="19"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65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85C20D" id="AutoShape 45" o:spid="_x0000_s1026" type="#_x0000_t32" style="position:absolute;margin-left:198.7pt;margin-top:100.05pt;width:20.2pt;height: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">
                <v:stroke endarrow="block"/>
              </v:shape>
            </w:pict>
          </mc:Fallback>
        </mc:AlternateContent>
      </w:r>
      <w:r>
        <w:rPr>
          <w:b/>
          <w:i/>
          <w:noProof/>
          <w:sz w:val="22"/>
          <w:szCs w:val="22"/>
        </w:rPr>
        <mc:AlternateContent>
          <mc:Choice Requires="wps">
            <w:drawing>
              <wp:anchor distT="0" distB="0" distL="114300" distR="114300" simplePos="0" relativeHeight="251655168" behindDoc="0" locked="0" layoutInCell="1" allowOverlap="1" wp14:anchorId="60F38A69" wp14:editId="7A11D9A0">
                <wp:simplePos x="0" y="0"/>
                <wp:positionH relativeFrom="column">
                  <wp:posOffset>885825</wp:posOffset>
                </wp:positionH>
                <wp:positionV relativeFrom="paragraph">
                  <wp:posOffset>678180</wp:posOffset>
                </wp:positionV>
                <wp:extent cx="518795" cy="0"/>
                <wp:effectExtent l="0" t="0" r="0" b="0"/>
                <wp:wrapNone/>
                <wp:docPr id="12"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87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370796" id="AutoShape 41" o:spid="_x0000_s1026" type="#_x0000_t32" style="position:absolute;margin-left:69.75pt;margin-top:53.4pt;width:40.85pt;height: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">
                <v:stroke endarrow="block"/>
              </v:shape>
            </w:pict>
          </mc:Fallback>
        </mc:AlternateContent>
      </w:r>
      <w:r w:rsidRPr="008D2DD2">
        <w:rPr>
          <w:noProof/>
          <w:sz w:val="22"/>
          <w:szCs w:val="22"/>
        </w:rPr>
        <w:drawing>
          <wp:inline distT="0" distB="0" distL="0" distR="0" wp14:anchorId="19D6B627" wp14:editId="5D16C6B7">
            <wp:extent cx="3435350" cy="13589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t="2667" r="3816" b="4805"/>
                    <a:stretch>
                      <a:fillRect/>
                    </a:stretch>
                  </pic:blipFill>
                  <pic:spPr bwMode="auto">
                    <a:xfrm>
                      <a:off x="0" y="0"/>
                      <a:ext cx="3435350" cy="1358900"/>
                    </a:xfrm>
                    <a:prstGeom prst="rect">
                      <a:avLst/>
                    </a:prstGeom>
                    <a:noFill/>
                    <a:ln>
                      <a:noFill/>
                    </a:ln>
                  </pic:spPr>
                </pic:pic>
              </a:graphicData>
            </a:graphic>
          </wp:inline>
        </w:drawing>
      </w:r>
    </w:p>
    <w:p w:rsidR="008D2DD2" w:rsidRDefault="002B1A79" w:rsidP="00D432EE">
      <w:pPr>
        <w:pStyle w:val="Caption"/>
        <w:spacing w:before="0"/>
        <w:jc w:val="center"/>
        <w:rPr>
          <w:caps w:val="0"/>
          <w:szCs w:val="22"/>
        </w:rPr>
      </w:pPr>
      <w:bookmarkStart w:id="11" w:name="_Ref365441954"/>
      <w:r w:rsidRPr="002B1A79">
        <w:rPr>
          <w:caps w:val="0"/>
        </w:rPr>
        <w:t xml:space="preserve">Figure </w:t>
      </w:r>
      <w:r w:rsidRPr="002B1A79">
        <w:rPr>
          <w:caps w:val="0"/>
        </w:rPr>
        <w:fldChar w:fldCharType="begin"/>
      </w:r>
      <w:r w:rsidRPr="002B1A79">
        <w:rPr>
          <w:caps w:val="0"/>
        </w:rPr>
        <w:instrText xml:space="preserve"> SEQ Figure \* ARABIC </w:instrText>
      </w:r>
      <w:r w:rsidRPr="002B1A79">
        <w:rPr>
          <w:caps w:val="0"/>
        </w:rPr>
        <w:fldChar w:fldCharType="separate"/>
      </w:r>
      <w:r w:rsidR="007F3589">
        <w:rPr>
          <w:caps w:val="0"/>
          <w:noProof/>
        </w:rPr>
        <w:t>6</w:t>
      </w:r>
      <w:r w:rsidRPr="002B1A79">
        <w:rPr>
          <w:caps w:val="0"/>
        </w:rPr>
        <w:fldChar w:fldCharType="end"/>
      </w:r>
      <w:bookmarkEnd w:id="11"/>
      <w:r w:rsidRPr="002B1A79">
        <w:rPr>
          <w:caps w:val="0"/>
        </w:rPr>
        <w:t xml:space="preserve">.  </w:t>
      </w:r>
      <w:r w:rsidR="00E640CD" w:rsidRPr="002B1A79">
        <w:rPr>
          <w:bCs/>
          <w:caps w:val="0"/>
          <w:szCs w:val="22"/>
        </w:rPr>
        <w:t xml:space="preserve">Parts and </w:t>
      </w:r>
      <w:r w:rsidR="00611744" w:rsidRPr="002B1A79">
        <w:rPr>
          <w:bCs/>
          <w:caps w:val="0"/>
          <w:szCs w:val="22"/>
        </w:rPr>
        <w:t xml:space="preserve">Internal View of </w:t>
      </w:r>
      <w:r w:rsidR="00E640CD" w:rsidRPr="002B1A79">
        <w:rPr>
          <w:bCs/>
          <w:caps w:val="0"/>
          <w:szCs w:val="22"/>
        </w:rPr>
        <w:t xml:space="preserve">a </w:t>
      </w:r>
      <w:r w:rsidR="008D2DD2" w:rsidRPr="002B1A79">
        <w:rPr>
          <w:bCs/>
          <w:caps w:val="0"/>
          <w:szCs w:val="22"/>
        </w:rPr>
        <w:t xml:space="preserve">GE </w:t>
      </w:r>
      <w:r w:rsidR="008D2DD2" w:rsidRPr="002B1A79">
        <w:rPr>
          <w:caps w:val="0"/>
          <w:szCs w:val="22"/>
        </w:rPr>
        <w:t>7FA.05 Combustion Turbine</w:t>
      </w:r>
      <w:r w:rsidR="00E640CD" w:rsidRPr="002B1A79">
        <w:rPr>
          <w:caps w:val="0"/>
          <w:szCs w:val="22"/>
        </w:rPr>
        <w:t>-Electrical Generator</w:t>
      </w:r>
      <w:r>
        <w:rPr>
          <w:caps w:val="0"/>
          <w:szCs w:val="22"/>
        </w:rPr>
        <w:t>.</w:t>
      </w:r>
    </w:p>
    <w:p w:rsidR="006D158C" w:rsidRPr="006D158C" w:rsidRDefault="006D158C" w:rsidP="006D158C">
      <w:pPr>
        <w:spacing w:after="120"/>
      </w:pPr>
      <w:r w:rsidRPr="006D158C">
        <w:lastRenderedPageBreak/>
        <w:t xml:space="preserve">Refer to </w:t>
      </w:r>
      <w:r w:rsidRPr="006D158C">
        <w:rPr>
          <w:b/>
        </w:rPr>
        <w:fldChar w:fldCharType="begin"/>
      </w:r>
      <w:r w:rsidRPr="006D158C">
        <w:rPr>
          <w:b/>
        </w:rPr>
        <w:instrText xml:space="preserve"> REF _Ref365441954 \h  \* MERGEFORMAT </w:instrText>
      </w:r>
      <w:r w:rsidRPr="006D158C">
        <w:rPr>
          <w:b/>
        </w:rPr>
      </w:r>
      <w:r w:rsidRPr="006D158C">
        <w:rPr>
          <w:b/>
        </w:rPr>
        <w:fldChar w:fldCharType="separate"/>
      </w:r>
      <w:r w:rsidRPr="006D158C">
        <w:rPr>
          <w:b/>
        </w:rPr>
        <w:t>Figure 6</w:t>
      </w:r>
      <w:r w:rsidRPr="006D158C">
        <w:fldChar w:fldCharType="end"/>
      </w:r>
      <w:r w:rsidRPr="006D158C">
        <w:t xml:space="preserve"> and </w:t>
      </w:r>
      <w:r w:rsidRPr="006D158C">
        <w:rPr>
          <w:b/>
        </w:rPr>
        <w:fldChar w:fldCharType="begin"/>
      </w:r>
      <w:r w:rsidRPr="006D158C">
        <w:rPr>
          <w:b/>
        </w:rPr>
        <w:instrText xml:space="preserve"> REF _Ref371496193 \h  \* MERGEFORMAT </w:instrText>
      </w:r>
      <w:r w:rsidRPr="006D158C">
        <w:rPr>
          <w:b/>
        </w:rPr>
      </w:r>
      <w:r w:rsidRPr="006D158C">
        <w:rPr>
          <w:b/>
        </w:rPr>
        <w:fldChar w:fldCharType="separate"/>
      </w:r>
      <w:r w:rsidRPr="006D158C">
        <w:rPr>
          <w:b/>
        </w:rPr>
        <w:t>Figure 7</w:t>
      </w:r>
      <w:r w:rsidRPr="006D158C">
        <w:fldChar w:fldCharType="end"/>
      </w:r>
      <w:r w:rsidRPr="006D158C">
        <w:t xml:space="preserve"> which is one of the models of CTG under consideration by FPL for the Lauderdale peaking unit replacement project.  Henceforth a CTG will be referred to as a CT.</w:t>
      </w:r>
    </w:p>
    <w:p w:rsidR="00083D7D" w:rsidRDefault="00927CE6" w:rsidP="00083D7D">
      <w:pPr>
        <w:pStyle w:val="BodyText"/>
        <w:widowControl w:val="0"/>
        <w:tabs>
          <w:tab w:val="left" w:pos="4410"/>
        </w:tabs>
        <w:rPr>
          <w:sz w:val="22"/>
          <w:szCs w:val="22"/>
        </w:rPr>
      </w:pPr>
      <w:r w:rsidRPr="00083D7D">
        <w:rPr>
          <w:noProof/>
          <w:sz w:val="22"/>
          <w:szCs w:val="22"/>
        </w:rPr>
        <w:drawing>
          <wp:inline distT="0" distB="0" distL="0" distR="0">
            <wp:extent cx="2635250" cy="1606550"/>
            <wp:effectExtent l="19050" t="19050" r="12700" b="1270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lum bright="-10000" contrast="-20000"/>
                      <a:extLst>
                        <a:ext uri="{28A0092B-C50C-407E-A947-70E740481C1C}">
                          <a14:useLocalDpi xmlns:a14="http://schemas.microsoft.com/office/drawing/2010/main" val="0"/>
                        </a:ext>
                      </a:extLst>
                    </a:blip>
                    <a:srcRect/>
                    <a:stretch>
                      <a:fillRect/>
                    </a:stretch>
                  </pic:blipFill>
                  <pic:spPr bwMode="auto">
                    <a:xfrm>
                      <a:off x="0" y="0"/>
                      <a:ext cx="2635250" cy="1606550"/>
                    </a:xfrm>
                    <a:prstGeom prst="rect">
                      <a:avLst/>
                    </a:prstGeom>
                    <a:noFill/>
                    <a:ln>
                      <a:solidFill>
                        <a:schemeClr val="tx1"/>
                      </a:solidFill>
                    </a:ln>
                  </pic:spPr>
                </pic:pic>
              </a:graphicData>
            </a:graphic>
          </wp:inline>
        </w:drawing>
      </w:r>
      <w:r w:rsidR="00083D7D">
        <w:rPr>
          <w:noProof/>
          <w:sz w:val="22"/>
          <w:szCs w:val="22"/>
        </w:rPr>
        <w:tab/>
      </w:r>
      <w:r w:rsidRPr="00083D7D">
        <w:rPr>
          <w:noProof/>
          <w:sz w:val="22"/>
          <w:szCs w:val="22"/>
        </w:rPr>
        <w:drawing>
          <wp:inline distT="0" distB="0" distL="0" distR="0">
            <wp:extent cx="3073400" cy="1606550"/>
            <wp:effectExtent l="19050" t="19050" r="12700" b="1270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73400" cy="1606550"/>
                    </a:xfrm>
                    <a:prstGeom prst="rect">
                      <a:avLst/>
                    </a:prstGeom>
                    <a:noFill/>
                    <a:ln>
                      <a:solidFill>
                        <a:schemeClr val="tx1"/>
                      </a:solidFill>
                    </a:ln>
                  </pic:spPr>
                </pic:pic>
              </a:graphicData>
            </a:graphic>
          </wp:inline>
        </w:drawing>
      </w:r>
    </w:p>
    <w:p w:rsidR="00083D7D" w:rsidRPr="00083D7D" w:rsidRDefault="00083D7D" w:rsidP="00083D7D">
      <w:pPr>
        <w:pStyle w:val="Caption"/>
        <w:spacing w:before="120"/>
        <w:jc w:val="center"/>
        <w:rPr>
          <w:caps w:val="0"/>
          <w:szCs w:val="22"/>
        </w:rPr>
      </w:pPr>
      <w:bookmarkStart w:id="12" w:name="_Ref371496193"/>
      <w:r w:rsidRPr="00083D7D">
        <w:rPr>
          <w:caps w:val="0"/>
        </w:rPr>
        <w:t xml:space="preserve">Figure </w:t>
      </w:r>
      <w:r w:rsidRPr="00083D7D">
        <w:rPr>
          <w:caps w:val="0"/>
        </w:rPr>
        <w:fldChar w:fldCharType="begin"/>
      </w:r>
      <w:r w:rsidRPr="00083D7D">
        <w:rPr>
          <w:caps w:val="0"/>
        </w:rPr>
        <w:instrText xml:space="preserve"> SEQ Figure \* ARABIC </w:instrText>
      </w:r>
      <w:r w:rsidRPr="00083D7D">
        <w:rPr>
          <w:caps w:val="0"/>
        </w:rPr>
        <w:fldChar w:fldCharType="separate"/>
      </w:r>
      <w:r w:rsidR="007F3589">
        <w:rPr>
          <w:caps w:val="0"/>
          <w:noProof/>
        </w:rPr>
        <w:t>7</w:t>
      </w:r>
      <w:r w:rsidRPr="00083D7D">
        <w:rPr>
          <w:caps w:val="0"/>
        </w:rPr>
        <w:fldChar w:fldCharType="end"/>
      </w:r>
      <w:bookmarkEnd w:id="12"/>
      <w:r w:rsidRPr="00083D7D">
        <w:rPr>
          <w:caps w:val="0"/>
        </w:rPr>
        <w:t xml:space="preserve">.  </w:t>
      </w:r>
      <w:r w:rsidRPr="00083D7D">
        <w:rPr>
          <w:rFonts w:ascii="Times New Roman Bold" w:hAnsi="Times New Roman Bold"/>
          <w:caps w:val="0"/>
          <w:szCs w:val="22"/>
        </w:rPr>
        <w:t>Siemens F5 Internal View and Overhead View of Compressor and Rotor.</w:t>
      </w:r>
    </w:p>
    <w:p w:rsidR="008D2DD2" w:rsidRPr="00AC1ECF" w:rsidRDefault="002B1A79" w:rsidP="008D2DD2">
      <w:pPr>
        <w:pStyle w:val="BodyText"/>
        <w:widowControl w:val="0"/>
        <w:rPr>
          <w:sz w:val="22"/>
          <w:szCs w:val="22"/>
        </w:rPr>
      </w:pPr>
      <w:r w:rsidRPr="00611744">
        <w:rPr>
          <w:sz w:val="22"/>
          <w:szCs w:val="22"/>
        </w:rPr>
        <w:t xml:space="preserve">A </w:t>
      </w:r>
      <w:r w:rsidR="003E4769">
        <w:rPr>
          <w:sz w:val="22"/>
          <w:szCs w:val="22"/>
        </w:rPr>
        <w:t>CT</w:t>
      </w:r>
      <w:r>
        <w:rPr>
          <w:sz w:val="22"/>
          <w:szCs w:val="22"/>
        </w:rPr>
        <w:t xml:space="preserve"> </w:t>
      </w:r>
      <w:r w:rsidRPr="00611744">
        <w:rPr>
          <w:sz w:val="22"/>
          <w:szCs w:val="22"/>
        </w:rPr>
        <w:t xml:space="preserve">compresses air and mixes it with fuel. </w:t>
      </w:r>
      <w:r>
        <w:rPr>
          <w:sz w:val="22"/>
          <w:szCs w:val="22"/>
        </w:rPr>
        <w:t xml:space="preserve"> </w:t>
      </w:r>
      <w:r w:rsidRPr="00611744">
        <w:rPr>
          <w:sz w:val="22"/>
          <w:szCs w:val="22"/>
        </w:rPr>
        <w:t xml:space="preserve">The fuel is burned and the hot air-fuel mixture is expanded through turbine blades, making them spin. </w:t>
      </w:r>
      <w:r>
        <w:rPr>
          <w:sz w:val="22"/>
          <w:szCs w:val="22"/>
        </w:rPr>
        <w:t xml:space="preserve"> </w:t>
      </w:r>
      <w:r w:rsidRPr="00611744">
        <w:rPr>
          <w:sz w:val="22"/>
          <w:szCs w:val="22"/>
        </w:rPr>
        <w:t>The spinning turbine drives a generator which converts the spinning energy into electricity.</w:t>
      </w:r>
      <w:r>
        <w:rPr>
          <w:sz w:val="22"/>
          <w:szCs w:val="22"/>
        </w:rPr>
        <w:t xml:space="preserve">  </w:t>
      </w:r>
      <w:r w:rsidR="00D432EE">
        <w:rPr>
          <w:sz w:val="22"/>
          <w:szCs w:val="22"/>
        </w:rPr>
        <w:t xml:space="preserve">In the </w:t>
      </w:r>
      <w:r w:rsidR="007944FF">
        <w:rPr>
          <w:sz w:val="22"/>
          <w:szCs w:val="22"/>
        </w:rPr>
        <w:t>Lauderdale</w:t>
      </w:r>
      <w:r w:rsidR="00611744">
        <w:rPr>
          <w:sz w:val="22"/>
          <w:szCs w:val="22"/>
        </w:rPr>
        <w:t xml:space="preserve"> </w:t>
      </w:r>
      <w:r w:rsidR="008D2DD2" w:rsidRPr="00AC1ECF">
        <w:rPr>
          <w:sz w:val="22"/>
          <w:szCs w:val="22"/>
        </w:rPr>
        <w:t>project, the unit</w:t>
      </w:r>
      <w:r w:rsidR="00611744">
        <w:rPr>
          <w:sz w:val="22"/>
          <w:szCs w:val="22"/>
        </w:rPr>
        <w:t>s</w:t>
      </w:r>
      <w:r w:rsidR="008D2DD2" w:rsidRPr="00AC1ECF">
        <w:rPr>
          <w:sz w:val="22"/>
          <w:szCs w:val="22"/>
        </w:rPr>
        <w:t xml:space="preserve"> will operate in </w:t>
      </w:r>
      <w:r w:rsidR="008D2DD2">
        <w:rPr>
          <w:sz w:val="22"/>
          <w:szCs w:val="22"/>
        </w:rPr>
        <w:t>simple</w:t>
      </w:r>
      <w:r w:rsidR="008D2DD2" w:rsidRPr="00AC1ECF">
        <w:rPr>
          <w:sz w:val="22"/>
          <w:szCs w:val="22"/>
        </w:rPr>
        <w:t xml:space="preserve"> cycle mode, meaning </w:t>
      </w:r>
      <w:r w:rsidR="003035A4">
        <w:rPr>
          <w:sz w:val="22"/>
          <w:szCs w:val="22"/>
        </w:rPr>
        <w:t xml:space="preserve">that </w:t>
      </w:r>
      <w:r w:rsidR="008D2DD2" w:rsidRPr="00AC1ECF">
        <w:rPr>
          <w:sz w:val="22"/>
          <w:szCs w:val="22"/>
        </w:rPr>
        <w:t xml:space="preserve">the </w:t>
      </w:r>
      <w:r w:rsidR="00743A85">
        <w:rPr>
          <w:sz w:val="22"/>
          <w:szCs w:val="22"/>
        </w:rPr>
        <w:t xml:space="preserve">hot </w:t>
      </w:r>
      <w:r w:rsidR="00521F91">
        <w:rPr>
          <w:sz w:val="22"/>
          <w:szCs w:val="22"/>
        </w:rPr>
        <w:t xml:space="preserve">turbine </w:t>
      </w:r>
      <w:r w:rsidR="008D2DD2" w:rsidRPr="00AC1ECF">
        <w:rPr>
          <w:sz w:val="22"/>
          <w:szCs w:val="22"/>
        </w:rPr>
        <w:t xml:space="preserve">exhaust gases are </w:t>
      </w:r>
      <w:r w:rsidR="008D2DD2">
        <w:rPr>
          <w:sz w:val="22"/>
          <w:szCs w:val="22"/>
        </w:rPr>
        <w:t xml:space="preserve">directed through </w:t>
      </w:r>
      <w:r w:rsidR="003035A4">
        <w:rPr>
          <w:sz w:val="22"/>
          <w:szCs w:val="22"/>
        </w:rPr>
        <w:t xml:space="preserve">a </w:t>
      </w:r>
      <w:r w:rsidR="008D2DD2">
        <w:rPr>
          <w:sz w:val="22"/>
          <w:szCs w:val="22"/>
        </w:rPr>
        <w:t xml:space="preserve">stack </w:t>
      </w:r>
      <w:r w:rsidR="003035A4">
        <w:rPr>
          <w:sz w:val="22"/>
          <w:szCs w:val="22"/>
        </w:rPr>
        <w:t xml:space="preserve">without </w:t>
      </w:r>
      <w:r w:rsidR="009F6836">
        <w:rPr>
          <w:sz w:val="22"/>
          <w:szCs w:val="22"/>
        </w:rPr>
        <w:t xml:space="preserve">prior </w:t>
      </w:r>
      <w:r w:rsidR="003035A4">
        <w:rPr>
          <w:sz w:val="22"/>
          <w:szCs w:val="22"/>
        </w:rPr>
        <w:t>waste heat recovery and steam generation</w:t>
      </w:r>
      <w:r w:rsidR="00D432EE">
        <w:rPr>
          <w:sz w:val="22"/>
          <w:szCs w:val="22"/>
        </w:rPr>
        <w:t xml:space="preserve"> via a HRSG</w:t>
      </w:r>
      <w:r w:rsidR="0085133A">
        <w:rPr>
          <w:sz w:val="22"/>
          <w:szCs w:val="22"/>
        </w:rPr>
        <w:t xml:space="preserve"> and</w:t>
      </w:r>
      <w:r w:rsidR="0095061C">
        <w:rPr>
          <w:sz w:val="22"/>
          <w:szCs w:val="22"/>
        </w:rPr>
        <w:t xml:space="preserve"> </w:t>
      </w:r>
      <w:r w:rsidR="0085133A">
        <w:rPr>
          <w:sz w:val="22"/>
          <w:szCs w:val="22"/>
        </w:rPr>
        <w:t>STEG</w:t>
      </w:r>
      <w:r w:rsidR="008D2DD2" w:rsidRPr="00AC1ECF">
        <w:rPr>
          <w:sz w:val="22"/>
          <w:szCs w:val="22"/>
        </w:rPr>
        <w:t xml:space="preserve">.  </w:t>
      </w:r>
    </w:p>
    <w:p w:rsidR="00457CD0" w:rsidRPr="0001503E" w:rsidRDefault="00103935" w:rsidP="00C070A4">
      <w:pPr>
        <w:widowControl w:val="0"/>
        <w:numPr>
          <w:ilvl w:val="2"/>
          <w:numId w:val="2"/>
        </w:numPr>
        <w:tabs>
          <w:tab w:val="left" w:pos="720"/>
        </w:tabs>
        <w:spacing w:after="120"/>
        <w:ind w:left="720" w:hanging="720"/>
        <w:rPr>
          <w:sz w:val="22"/>
          <w:szCs w:val="22"/>
          <w:u w:val="single"/>
        </w:rPr>
      </w:pPr>
      <w:r w:rsidRPr="0001503E">
        <w:rPr>
          <w:sz w:val="22"/>
          <w:szCs w:val="22"/>
          <w:u w:val="single"/>
        </w:rPr>
        <w:t xml:space="preserve">BACT for </w:t>
      </w:r>
      <w:r w:rsidR="00457CD0" w:rsidRPr="0001503E">
        <w:rPr>
          <w:sz w:val="22"/>
          <w:szCs w:val="22"/>
          <w:u w:val="single"/>
        </w:rPr>
        <w:t>Nitrogen Oxides (NO</w:t>
      </w:r>
      <w:r w:rsidR="0008089F" w:rsidRPr="0001503E">
        <w:rPr>
          <w:sz w:val="22"/>
          <w:szCs w:val="22"/>
          <w:u w:val="single"/>
          <w:vertAlign w:val="subscript"/>
        </w:rPr>
        <w:t>X</w:t>
      </w:r>
      <w:r w:rsidR="00457CD0" w:rsidRPr="0001503E">
        <w:rPr>
          <w:sz w:val="22"/>
          <w:szCs w:val="22"/>
          <w:u w:val="single"/>
        </w:rPr>
        <w:t>)</w:t>
      </w:r>
    </w:p>
    <w:p w:rsidR="00457CD0" w:rsidRPr="0001503E" w:rsidRDefault="00457CD0" w:rsidP="00C070A4">
      <w:pPr>
        <w:widowControl w:val="0"/>
        <w:numPr>
          <w:ilvl w:val="3"/>
          <w:numId w:val="2"/>
        </w:numPr>
        <w:tabs>
          <w:tab w:val="left" w:pos="720"/>
        </w:tabs>
        <w:spacing w:after="120"/>
        <w:ind w:left="720" w:hanging="720"/>
        <w:rPr>
          <w:i/>
          <w:sz w:val="22"/>
          <w:szCs w:val="22"/>
        </w:rPr>
      </w:pPr>
      <w:r w:rsidRPr="0001503E">
        <w:rPr>
          <w:i/>
          <w:color w:val="000000"/>
          <w:sz w:val="22"/>
          <w:szCs w:val="22"/>
        </w:rPr>
        <w:t>NO</w:t>
      </w:r>
      <w:r w:rsidRPr="0001503E">
        <w:rPr>
          <w:i/>
          <w:color w:val="000000"/>
          <w:sz w:val="22"/>
          <w:szCs w:val="22"/>
          <w:vertAlign w:val="subscript"/>
        </w:rPr>
        <w:t>X</w:t>
      </w:r>
      <w:r w:rsidRPr="0001503E">
        <w:rPr>
          <w:i/>
          <w:color w:val="000000"/>
          <w:sz w:val="22"/>
          <w:szCs w:val="22"/>
        </w:rPr>
        <w:t xml:space="preserve"> Formation</w:t>
      </w:r>
    </w:p>
    <w:p w:rsidR="00457CD0" w:rsidRPr="002C788A" w:rsidRDefault="00457CD0" w:rsidP="0008089F">
      <w:pPr>
        <w:spacing w:after="120"/>
        <w:rPr>
          <w:color w:val="000000"/>
          <w:sz w:val="22"/>
          <w:szCs w:val="22"/>
        </w:rPr>
      </w:pPr>
      <w:r w:rsidRPr="00167E5B">
        <w:rPr>
          <w:color w:val="000000"/>
          <w:sz w:val="22"/>
          <w:szCs w:val="22"/>
        </w:rPr>
        <w:t>N</w:t>
      </w:r>
      <w:r w:rsidR="00A2098E">
        <w:rPr>
          <w:color w:val="000000"/>
          <w:sz w:val="22"/>
          <w:szCs w:val="22"/>
        </w:rPr>
        <w:t>O</w:t>
      </w:r>
      <w:r w:rsidR="00A2098E" w:rsidRPr="00A2098E">
        <w:rPr>
          <w:color w:val="000000"/>
          <w:sz w:val="22"/>
          <w:szCs w:val="22"/>
          <w:vertAlign w:val="subscript"/>
        </w:rPr>
        <w:t>X</w:t>
      </w:r>
      <w:r w:rsidR="00A2098E">
        <w:rPr>
          <w:color w:val="000000"/>
          <w:sz w:val="22"/>
          <w:szCs w:val="22"/>
        </w:rPr>
        <w:t xml:space="preserve"> </w:t>
      </w:r>
      <w:r w:rsidR="000162F5">
        <w:rPr>
          <w:color w:val="000000"/>
          <w:sz w:val="22"/>
          <w:szCs w:val="22"/>
        </w:rPr>
        <w:t xml:space="preserve">is </w:t>
      </w:r>
      <w:r w:rsidRPr="00167E5B">
        <w:rPr>
          <w:color w:val="000000"/>
          <w:sz w:val="22"/>
          <w:szCs w:val="22"/>
        </w:rPr>
        <w:t>form</w:t>
      </w:r>
      <w:r w:rsidR="000162F5">
        <w:rPr>
          <w:color w:val="000000"/>
          <w:sz w:val="22"/>
          <w:szCs w:val="22"/>
        </w:rPr>
        <w:t>ed</w:t>
      </w:r>
      <w:r w:rsidRPr="00167E5B">
        <w:rPr>
          <w:color w:val="000000"/>
          <w:sz w:val="22"/>
          <w:szCs w:val="22"/>
        </w:rPr>
        <w:t xml:space="preserve"> </w:t>
      </w:r>
      <w:r w:rsidR="009F6836">
        <w:rPr>
          <w:color w:val="000000"/>
          <w:sz w:val="22"/>
          <w:szCs w:val="22"/>
        </w:rPr>
        <w:t>dur</w:t>
      </w:r>
      <w:r w:rsidRPr="00167E5B">
        <w:rPr>
          <w:color w:val="000000"/>
          <w:sz w:val="22"/>
          <w:szCs w:val="22"/>
        </w:rPr>
        <w:t>in</w:t>
      </w:r>
      <w:r w:rsidR="009F6836">
        <w:rPr>
          <w:color w:val="000000"/>
          <w:sz w:val="22"/>
          <w:szCs w:val="22"/>
        </w:rPr>
        <w:t>g</w:t>
      </w:r>
      <w:r w:rsidRPr="00167E5B">
        <w:rPr>
          <w:color w:val="000000"/>
          <w:sz w:val="22"/>
          <w:szCs w:val="22"/>
        </w:rPr>
        <w:t xml:space="preserve"> combustion as a result of the dissociation of molecular nitrogen </w:t>
      </w:r>
      <w:r w:rsidR="00A2098E">
        <w:rPr>
          <w:color w:val="000000"/>
          <w:sz w:val="22"/>
          <w:szCs w:val="22"/>
        </w:rPr>
        <w:t>(N</w:t>
      </w:r>
      <w:r w:rsidR="00A2098E" w:rsidRPr="00A2098E">
        <w:rPr>
          <w:color w:val="000000"/>
          <w:sz w:val="22"/>
          <w:szCs w:val="22"/>
          <w:vertAlign w:val="subscript"/>
        </w:rPr>
        <w:t>2</w:t>
      </w:r>
      <w:r w:rsidR="00A2098E">
        <w:rPr>
          <w:color w:val="000000"/>
          <w:sz w:val="22"/>
          <w:szCs w:val="22"/>
        </w:rPr>
        <w:t xml:space="preserve">) </w:t>
      </w:r>
      <w:r w:rsidRPr="00167E5B">
        <w:rPr>
          <w:color w:val="000000"/>
          <w:sz w:val="22"/>
          <w:szCs w:val="22"/>
        </w:rPr>
        <w:t xml:space="preserve">and oxygen </w:t>
      </w:r>
      <w:r w:rsidR="00A2098E">
        <w:rPr>
          <w:color w:val="000000"/>
          <w:sz w:val="22"/>
          <w:szCs w:val="22"/>
        </w:rPr>
        <w:t>(O</w:t>
      </w:r>
      <w:r w:rsidR="00A2098E" w:rsidRPr="00A2098E">
        <w:rPr>
          <w:color w:val="000000"/>
          <w:sz w:val="22"/>
          <w:szCs w:val="22"/>
          <w:vertAlign w:val="subscript"/>
        </w:rPr>
        <w:t>2</w:t>
      </w:r>
      <w:r w:rsidR="00A2098E">
        <w:rPr>
          <w:color w:val="000000"/>
          <w:sz w:val="22"/>
          <w:szCs w:val="22"/>
        </w:rPr>
        <w:t xml:space="preserve">) </w:t>
      </w:r>
      <w:r w:rsidRPr="00167E5B">
        <w:rPr>
          <w:color w:val="000000"/>
          <w:sz w:val="22"/>
          <w:szCs w:val="22"/>
        </w:rPr>
        <w:t>to their atomic forms and subsequent recombination into seven different oxides of nitrogen</w:t>
      </w:r>
      <w:r w:rsidR="00A2098E">
        <w:rPr>
          <w:color w:val="000000"/>
          <w:sz w:val="22"/>
          <w:szCs w:val="22"/>
        </w:rPr>
        <w:t xml:space="preserve"> (especially NO and NO</w:t>
      </w:r>
      <w:r w:rsidR="00A2098E" w:rsidRPr="00A2098E">
        <w:rPr>
          <w:color w:val="000000"/>
          <w:sz w:val="22"/>
          <w:szCs w:val="22"/>
          <w:vertAlign w:val="subscript"/>
        </w:rPr>
        <w:t>2</w:t>
      </w:r>
      <w:r w:rsidR="00A2098E">
        <w:rPr>
          <w:color w:val="000000"/>
          <w:sz w:val="22"/>
          <w:szCs w:val="22"/>
        </w:rPr>
        <w:t>)</w:t>
      </w:r>
      <w:r w:rsidRPr="00167E5B">
        <w:rPr>
          <w:color w:val="000000"/>
          <w:sz w:val="22"/>
          <w:szCs w:val="22"/>
        </w:rPr>
        <w:t>.</w:t>
      </w:r>
      <w:r>
        <w:rPr>
          <w:color w:val="000000"/>
          <w:sz w:val="22"/>
          <w:szCs w:val="22"/>
        </w:rPr>
        <w:t xml:space="preserve">  </w:t>
      </w:r>
    </w:p>
    <w:p w:rsidR="004B5BCD" w:rsidRDefault="00457CD0" w:rsidP="004B5BCD">
      <w:pPr>
        <w:spacing w:after="120"/>
        <w:rPr>
          <w:color w:val="000000"/>
          <w:sz w:val="22"/>
          <w:szCs w:val="22"/>
        </w:rPr>
      </w:pPr>
      <w:r w:rsidRPr="00167E5B">
        <w:rPr>
          <w:color w:val="000000"/>
          <w:sz w:val="22"/>
          <w:szCs w:val="22"/>
          <w:u w:val="single"/>
        </w:rPr>
        <w:t>Thermal NO</w:t>
      </w:r>
      <w:r w:rsidRPr="00167E5B">
        <w:rPr>
          <w:color w:val="000000"/>
          <w:sz w:val="22"/>
          <w:szCs w:val="22"/>
          <w:u w:val="single"/>
          <w:vertAlign w:val="subscript"/>
        </w:rPr>
        <w:t>X</w:t>
      </w:r>
      <w:r w:rsidRPr="00167E5B">
        <w:rPr>
          <w:color w:val="000000"/>
          <w:sz w:val="22"/>
          <w:szCs w:val="22"/>
        </w:rPr>
        <w:t xml:space="preserve"> forms in the high temperature area of the combustor.  Thermal NO</w:t>
      </w:r>
      <w:r w:rsidRPr="00167E5B">
        <w:rPr>
          <w:color w:val="000000"/>
          <w:sz w:val="22"/>
          <w:szCs w:val="22"/>
          <w:vertAlign w:val="subscript"/>
        </w:rPr>
        <w:t>X</w:t>
      </w:r>
      <w:r w:rsidRPr="00167E5B">
        <w:rPr>
          <w:color w:val="000000"/>
          <w:sz w:val="22"/>
          <w:szCs w:val="22"/>
        </w:rPr>
        <w:t xml:space="preserve"> increases exponentially with flame temperature and linearly with residence time.  Flame temperature is dependent upon the ratio of fuel burned in a flame to the amount of fuel that consumes all of the available oxygen, also known as the equivalence ratio.  By maintaining a low fuel ratio (lean combustion), the flame temperature will be lower, thus reducing the potential for NO</w:t>
      </w:r>
      <w:r w:rsidRPr="00167E5B">
        <w:rPr>
          <w:color w:val="000000"/>
          <w:sz w:val="22"/>
          <w:szCs w:val="22"/>
          <w:vertAlign w:val="subscript"/>
        </w:rPr>
        <w:t>X</w:t>
      </w:r>
      <w:r w:rsidRPr="00167E5B">
        <w:rPr>
          <w:color w:val="000000"/>
          <w:sz w:val="22"/>
          <w:szCs w:val="22"/>
        </w:rPr>
        <w:t xml:space="preserve"> formation.  The </w:t>
      </w:r>
      <w:r w:rsidR="00014A57">
        <w:rPr>
          <w:color w:val="000000"/>
          <w:sz w:val="22"/>
          <w:szCs w:val="22"/>
        </w:rPr>
        <w:t xml:space="preserve">relation of </w:t>
      </w:r>
      <w:r w:rsidRPr="00167E5B">
        <w:rPr>
          <w:color w:val="000000"/>
          <w:sz w:val="22"/>
          <w:szCs w:val="22"/>
        </w:rPr>
        <w:t>NO</w:t>
      </w:r>
      <w:r w:rsidRPr="00167E5B">
        <w:rPr>
          <w:color w:val="000000"/>
          <w:sz w:val="22"/>
          <w:szCs w:val="22"/>
          <w:vertAlign w:val="subscript"/>
        </w:rPr>
        <w:t>X</w:t>
      </w:r>
      <w:r w:rsidRPr="00167E5B">
        <w:rPr>
          <w:color w:val="000000"/>
          <w:sz w:val="22"/>
          <w:szCs w:val="22"/>
        </w:rPr>
        <w:t xml:space="preserve"> production </w:t>
      </w:r>
      <w:r w:rsidR="00014A57">
        <w:rPr>
          <w:color w:val="000000"/>
          <w:sz w:val="22"/>
          <w:szCs w:val="22"/>
        </w:rPr>
        <w:t xml:space="preserve">with respect to </w:t>
      </w:r>
      <w:r w:rsidRPr="00167E5B">
        <w:rPr>
          <w:color w:val="000000"/>
          <w:sz w:val="22"/>
          <w:szCs w:val="22"/>
        </w:rPr>
        <w:t xml:space="preserve">flame </w:t>
      </w:r>
      <w:r w:rsidR="00014A57">
        <w:rPr>
          <w:color w:val="000000"/>
          <w:sz w:val="22"/>
          <w:szCs w:val="22"/>
        </w:rPr>
        <w:t xml:space="preserve">and </w:t>
      </w:r>
      <w:r w:rsidRPr="00167E5B">
        <w:rPr>
          <w:color w:val="000000"/>
          <w:sz w:val="22"/>
          <w:szCs w:val="22"/>
        </w:rPr>
        <w:t xml:space="preserve">equivalence ratios </w:t>
      </w:r>
      <w:r w:rsidR="00014A57">
        <w:rPr>
          <w:color w:val="000000"/>
          <w:sz w:val="22"/>
          <w:szCs w:val="22"/>
        </w:rPr>
        <w:t>(lean versus rich operation) is shown in</w:t>
      </w:r>
      <w:r w:rsidR="00B864D2">
        <w:rPr>
          <w:color w:val="000000"/>
          <w:sz w:val="22"/>
          <w:szCs w:val="22"/>
        </w:rPr>
        <w:t xml:space="preserve"> </w:t>
      </w:r>
      <w:r w:rsidR="00B864D2" w:rsidRPr="00CA68DF">
        <w:rPr>
          <w:b/>
          <w:color w:val="000000"/>
          <w:sz w:val="22"/>
          <w:szCs w:val="22"/>
        </w:rPr>
        <w:fldChar w:fldCharType="begin"/>
      </w:r>
      <w:r w:rsidR="00B864D2" w:rsidRPr="00CA68DF">
        <w:rPr>
          <w:b/>
          <w:color w:val="000000"/>
          <w:sz w:val="22"/>
          <w:szCs w:val="22"/>
        </w:rPr>
        <w:instrText xml:space="preserve"> REF _Ref365447799 \h  \* MERGEFORMAT </w:instrText>
      </w:r>
      <w:r w:rsidR="00B864D2" w:rsidRPr="00CA68DF">
        <w:rPr>
          <w:b/>
          <w:color w:val="000000"/>
          <w:sz w:val="22"/>
          <w:szCs w:val="22"/>
        </w:rPr>
      </w:r>
      <w:r w:rsidR="00B864D2" w:rsidRPr="00CA68DF">
        <w:rPr>
          <w:b/>
          <w:color w:val="000000"/>
          <w:sz w:val="22"/>
          <w:szCs w:val="22"/>
        </w:rPr>
        <w:fldChar w:fldCharType="separate"/>
      </w:r>
      <w:r w:rsidR="007F3589" w:rsidRPr="007F3589">
        <w:rPr>
          <w:b/>
          <w:sz w:val="22"/>
          <w:szCs w:val="22"/>
        </w:rPr>
        <w:t xml:space="preserve">Figure </w:t>
      </w:r>
      <w:r w:rsidR="007F3589" w:rsidRPr="007F3589">
        <w:rPr>
          <w:b/>
          <w:noProof/>
          <w:sz w:val="22"/>
          <w:szCs w:val="22"/>
        </w:rPr>
        <w:t>8</w:t>
      </w:r>
      <w:r w:rsidR="00B864D2" w:rsidRPr="00CA68DF">
        <w:rPr>
          <w:b/>
          <w:color w:val="000000"/>
          <w:sz w:val="22"/>
          <w:szCs w:val="22"/>
        </w:rPr>
        <w:fldChar w:fldCharType="end"/>
      </w:r>
      <w:r w:rsidR="00014A57">
        <w:rPr>
          <w:color w:val="000000"/>
          <w:sz w:val="22"/>
          <w:szCs w:val="22"/>
        </w:rPr>
        <w:t>.</w:t>
      </w:r>
    </w:p>
    <w:p w:rsidR="00457CD0" w:rsidRDefault="00927CE6" w:rsidP="003E4769">
      <w:pPr>
        <w:tabs>
          <w:tab w:val="left" w:pos="5040"/>
        </w:tabs>
        <w:spacing w:after="60"/>
        <w:ind w:left="360"/>
        <w:rPr>
          <w:sz w:val="24"/>
          <w:szCs w:val="24"/>
        </w:rPr>
      </w:pPr>
      <w:r w:rsidRPr="00C03963">
        <w:rPr>
          <w:noProof/>
          <w:sz w:val="24"/>
          <w:szCs w:val="24"/>
        </w:rPr>
        <w:drawing>
          <wp:inline distT="0" distB="0" distL="0" distR="0">
            <wp:extent cx="2209800" cy="1562100"/>
            <wp:effectExtent l="19050" t="19050" r="1905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r="1888"/>
                    <a:stretch>
                      <a:fillRect/>
                    </a:stretch>
                  </pic:blipFill>
                  <pic:spPr bwMode="auto">
                    <a:xfrm>
                      <a:off x="0" y="0"/>
                      <a:ext cx="2209800" cy="1562100"/>
                    </a:xfrm>
                    <a:prstGeom prst="rect">
                      <a:avLst/>
                    </a:prstGeom>
                    <a:noFill/>
                    <a:ln w="12700" cmpd="sng">
                      <a:solidFill>
                        <a:schemeClr val="tx1"/>
                      </a:solidFill>
                      <a:miter lim="800000"/>
                      <a:headEnd/>
                      <a:tailEnd/>
                    </a:ln>
                    <a:effectLst/>
                  </pic:spPr>
                </pic:pic>
              </a:graphicData>
            </a:graphic>
          </wp:inline>
        </w:drawing>
      </w:r>
      <w:r w:rsidR="00457CD0">
        <w:rPr>
          <w:sz w:val="24"/>
          <w:szCs w:val="24"/>
        </w:rPr>
        <w:tab/>
      </w:r>
      <w:r w:rsidRPr="006222C1">
        <w:rPr>
          <w:noProof/>
        </w:rPr>
        <w:drawing>
          <wp:inline distT="0" distB="0" distL="0" distR="0">
            <wp:extent cx="2584450" cy="1536700"/>
            <wp:effectExtent l="19050" t="19050" r="25400" b="254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84450" cy="1536700"/>
                    </a:xfrm>
                    <a:prstGeom prst="rect">
                      <a:avLst/>
                    </a:prstGeom>
                    <a:noFill/>
                    <a:ln w="12700" cmpd="sng">
                      <a:solidFill>
                        <a:schemeClr val="tx1"/>
                      </a:solidFill>
                      <a:miter lim="800000"/>
                      <a:headEnd/>
                      <a:tailEnd/>
                    </a:ln>
                    <a:effectLst/>
                  </pic:spPr>
                </pic:pic>
              </a:graphicData>
            </a:graphic>
          </wp:inline>
        </w:drawing>
      </w:r>
    </w:p>
    <w:p w:rsidR="00411EBF" w:rsidRPr="00B864D2" w:rsidRDefault="00411EBF" w:rsidP="00B864D2">
      <w:pPr>
        <w:pStyle w:val="Caption"/>
        <w:tabs>
          <w:tab w:val="left" w:pos="5310"/>
        </w:tabs>
        <w:spacing w:before="0"/>
        <w:rPr>
          <w:rFonts w:ascii="Times New Roman Bold" w:hAnsi="Times New Roman Bold"/>
          <w:caps w:val="0"/>
          <w:szCs w:val="22"/>
        </w:rPr>
      </w:pPr>
      <w:bookmarkStart w:id="13" w:name="_Ref365447799"/>
      <w:r w:rsidRPr="00411EBF">
        <w:rPr>
          <w:rFonts w:ascii="Times New Roman Bold" w:hAnsi="Times New Roman Bold"/>
          <w:caps w:val="0"/>
        </w:rPr>
        <w:t xml:space="preserve">Figure </w:t>
      </w:r>
      <w:r w:rsidRPr="00411EBF">
        <w:rPr>
          <w:rFonts w:ascii="Times New Roman Bold" w:hAnsi="Times New Roman Bold"/>
          <w:caps w:val="0"/>
        </w:rPr>
        <w:fldChar w:fldCharType="begin"/>
      </w:r>
      <w:r w:rsidRPr="00411EBF">
        <w:rPr>
          <w:rFonts w:ascii="Times New Roman Bold" w:hAnsi="Times New Roman Bold"/>
          <w:caps w:val="0"/>
        </w:rPr>
        <w:instrText xml:space="preserve"> SEQ Figure \* ARABIC </w:instrText>
      </w:r>
      <w:r w:rsidRPr="00411EBF">
        <w:rPr>
          <w:rFonts w:ascii="Times New Roman Bold" w:hAnsi="Times New Roman Bold"/>
          <w:caps w:val="0"/>
        </w:rPr>
        <w:fldChar w:fldCharType="separate"/>
      </w:r>
      <w:r w:rsidR="007F3589">
        <w:rPr>
          <w:rFonts w:ascii="Times New Roman Bold" w:hAnsi="Times New Roman Bold"/>
          <w:caps w:val="0"/>
          <w:noProof/>
        </w:rPr>
        <w:t>8</w:t>
      </w:r>
      <w:r w:rsidRPr="00411EBF">
        <w:rPr>
          <w:rFonts w:ascii="Times New Roman Bold" w:hAnsi="Times New Roman Bold"/>
          <w:caps w:val="0"/>
        </w:rPr>
        <w:fldChar w:fldCharType="end"/>
      </w:r>
      <w:bookmarkEnd w:id="13"/>
      <w:r w:rsidRPr="00411EBF">
        <w:rPr>
          <w:rFonts w:ascii="Times New Roman Bold" w:hAnsi="Times New Roman Bold"/>
          <w:caps w:val="0"/>
        </w:rPr>
        <w:t xml:space="preserve">.  </w:t>
      </w:r>
      <w:r w:rsidR="00457CD0" w:rsidRPr="00411EBF">
        <w:rPr>
          <w:rFonts w:ascii="Times New Roman Bold" w:hAnsi="Times New Roman Bold"/>
          <w:caps w:val="0"/>
          <w:szCs w:val="22"/>
        </w:rPr>
        <w:t>NO</w:t>
      </w:r>
      <w:r w:rsidR="00457CD0" w:rsidRPr="00411EBF">
        <w:rPr>
          <w:rFonts w:ascii="Times New Roman Bold" w:hAnsi="Times New Roman Bold"/>
          <w:caps w:val="0"/>
          <w:szCs w:val="22"/>
          <w:vertAlign w:val="subscript"/>
        </w:rPr>
        <w:t>X</w:t>
      </w:r>
      <w:r w:rsidR="00457CD0" w:rsidRPr="00411EBF">
        <w:rPr>
          <w:rFonts w:ascii="Times New Roman Bold" w:hAnsi="Times New Roman Bold"/>
          <w:caps w:val="0"/>
          <w:szCs w:val="22"/>
        </w:rPr>
        <w:t xml:space="preserve"> vs. Temperature, Equivalence Ratio</w:t>
      </w:r>
      <w:r w:rsidR="00457CD0" w:rsidRPr="00411EBF">
        <w:rPr>
          <w:rStyle w:val="EndnoteReference"/>
          <w:rFonts w:ascii="Times New Roman Bold" w:hAnsi="Times New Roman Bold"/>
          <w:caps w:val="0"/>
          <w:szCs w:val="22"/>
        </w:rPr>
        <w:t xml:space="preserve"> </w:t>
      </w:r>
      <w:r w:rsidRPr="00411EBF">
        <w:rPr>
          <w:rStyle w:val="FootnoteReference"/>
          <w:rFonts w:ascii="Times New Roman Bold" w:hAnsi="Times New Roman Bold"/>
          <w:caps w:val="0"/>
          <w:szCs w:val="22"/>
        </w:rPr>
        <w:footnoteReference w:id="1"/>
      </w:r>
      <w:r>
        <w:rPr>
          <w:rFonts w:ascii="Times New Roman Bold" w:hAnsi="Times New Roman Bold"/>
          <w:caps w:val="0"/>
        </w:rPr>
        <w:t>.</w:t>
      </w:r>
      <w:bookmarkStart w:id="14" w:name="_Ref365447838"/>
      <w:r w:rsidR="00B864D2">
        <w:rPr>
          <w:rFonts w:ascii="Times New Roman Bold" w:hAnsi="Times New Roman Bold"/>
          <w:caps w:val="0"/>
        </w:rPr>
        <w:tab/>
      </w:r>
      <w:r w:rsidRPr="00B864D2">
        <w:rPr>
          <w:rFonts w:ascii="Times New Roman Bold" w:hAnsi="Times New Roman Bold"/>
          <w:caps w:val="0"/>
        </w:rPr>
        <w:t xml:space="preserve">Figure </w:t>
      </w:r>
      <w:r w:rsidRPr="00B864D2">
        <w:rPr>
          <w:rFonts w:ascii="Times New Roman Bold" w:hAnsi="Times New Roman Bold"/>
          <w:caps w:val="0"/>
        </w:rPr>
        <w:fldChar w:fldCharType="begin"/>
      </w:r>
      <w:r w:rsidRPr="00B864D2">
        <w:rPr>
          <w:rFonts w:ascii="Times New Roman Bold" w:hAnsi="Times New Roman Bold"/>
          <w:caps w:val="0"/>
        </w:rPr>
        <w:instrText xml:space="preserve"> SEQ Figure \* ARABIC </w:instrText>
      </w:r>
      <w:r w:rsidRPr="00B864D2">
        <w:rPr>
          <w:rFonts w:ascii="Times New Roman Bold" w:hAnsi="Times New Roman Bold"/>
          <w:caps w:val="0"/>
        </w:rPr>
        <w:fldChar w:fldCharType="separate"/>
      </w:r>
      <w:r w:rsidR="007F3589">
        <w:rPr>
          <w:rFonts w:ascii="Times New Roman Bold" w:hAnsi="Times New Roman Bold"/>
          <w:caps w:val="0"/>
          <w:noProof/>
        </w:rPr>
        <w:t>9</w:t>
      </w:r>
      <w:r w:rsidRPr="00B864D2">
        <w:rPr>
          <w:rFonts w:ascii="Times New Roman Bold" w:hAnsi="Times New Roman Bold"/>
          <w:caps w:val="0"/>
        </w:rPr>
        <w:fldChar w:fldCharType="end"/>
      </w:r>
      <w:bookmarkEnd w:id="14"/>
      <w:r w:rsidRPr="00B864D2">
        <w:rPr>
          <w:rFonts w:ascii="Times New Roman Bold" w:hAnsi="Times New Roman Bold"/>
          <w:caps w:val="0"/>
        </w:rPr>
        <w:t xml:space="preserve">.  </w:t>
      </w:r>
      <w:r w:rsidRPr="00B864D2">
        <w:rPr>
          <w:rFonts w:ascii="Times New Roman Bold" w:hAnsi="Times New Roman Bold"/>
          <w:caps w:val="0"/>
          <w:szCs w:val="22"/>
        </w:rPr>
        <w:t>Hot Gas Path, NO</w:t>
      </w:r>
      <w:r w:rsidRPr="00B864D2">
        <w:rPr>
          <w:rFonts w:ascii="Times New Roman Bold" w:hAnsi="Times New Roman Bold"/>
          <w:caps w:val="0"/>
          <w:szCs w:val="22"/>
          <w:vertAlign w:val="subscript"/>
        </w:rPr>
        <w:t>X</w:t>
      </w:r>
      <w:r w:rsidRPr="00B864D2">
        <w:rPr>
          <w:rFonts w:ascii="Times New Roman Bold" w:hAnsi="Times New Roman Bold"/>
          <w:caps w:val="0"/>
          <w:szCs w:val="22"/>
        </w:rPr>
        <w:t xml:space="preserve"> Control</w:t>
      </w:r>
      <w:r w:rsidR="00B864D2">
        <w:rPr>
          <w:rFonts w:ascii="Times New Roman Bold" w:hAnsi="Times New Roman Bold"/>
          <w:caps w:val="0"/>
          <w:szCs w:val="22"/>
        </w:rPr>
        <w:t>.</w:t>
      </w:r>
    </w:p>
    <w:p w:rsidR="00411EBF" w:rsidRDefault="00411EBF" w:rsidP="00857036">
      <w:pPr>
        <w:spacing w:after="120"/>
        <w:rPr>
          <w:color w:val="000000"/>
          <w:sz w:val="22"/>
          <w:szCs w:val="22"/>
        </w:rPr>
      </w:pPr>
      <w:r w:rsidRPr="00167E5B">
        <w:rPr>
          <w:color w:val="000000"/>
          <w:sz w:val="22"/>
          <w:szCs w:val="22"/>
        </w:rPr>
        <w:t>In most combustor designs, the high temperature combustion gases are cooled to an acceptable temperature with dilution air prior to entering the turbine (expansion) section.</w:t>
      </w:r>
      <w:r w:rsidRPr="00014A57">
        <w:rPr>
          <w:color w:val="000000"/>
          <w:sz w:val="22"/>
          <w:szCs w:val="22"/>
        </w:rPr>
        <w:t xml:space="preserve"> </w:t>
      </w:r>
      <w:r>
        <w:rPr>
          <w:color w:val="000000"/>
          <w:sz w:val="22"/>
          <w:szCs w:val="22"/>
        </w:rPr>
        <w:t xml:space="preserve"> </w:t>
      </w:r>
      <w:r w:rsidRPr="00167E5B">
        <w:rPr>
          <w:color w:val="000000"/>
          <w:sz w:val="22"/>
          <w:szCs w:val="22"/>
        </w:rPr>
        <w:t>The sooner this cooling occurs, the lower the thermal NO</w:t>
      </w:r>
      <w:r w:rsidRPr="00167E5B">
        <w:rPr>
          <w:color w:val="000000"/>
          <w:sz w:val="22"/>
          <w:szCs w:val="22"/>
          <w:vertAlign w:val="subscript"/>
        </w:rPr>
        <w:t>X</w:t>
      </w:r>
      <w:r w:rsidRPr="00167E5B">
        <w:rPr>
          <w:color w:val="000000"/>
          <w:sz w:val="22"/>
          <w:szCs w:val="22"/>
        </w:rPr>
        <w:t xml:space="preserve"> formation.</w:t>
      </w:r>
      <w:r>
        <w:rPr>
          <w:color w:val="000000"/>
          <w:sz w:val="22"/>
          <w:szCs w:val="22"/>
        </w:rPr>
        <w:t xml:space="preserve">  </w:t>
      </w:r>
      <w:r w:rsidRPr="00167E5B">
        <w:rPr>
          <w:color w:val="000000"/>
          <w:sz w:val="22"/>
          <w:szCs w:val="22"/>
        </w:rPr>
        <w:t xml:space="preserve">The relationship between flame temperature, firing </w:t>
      </w:r>
      <w:r w:rsidRPr="00167E5B">
        <w:rPr>
          <w:color w:val="000000"/>
          <w:sz w:val="22"/>
          <w:szCs w:val="22"/>
        </w:rPr>
        <w:lastRenderedPageBreak/>
        <w:t>temperature</w:t>
      </w:r>
      <w:r>
        <w:rPr>
          <w:color w:val="000000"/>
          <w:sz w:val="22"/>
          <w:szCs w:val="22"/>
        </w:rPr>
        <w:t>,</w:t>
      </w:r>
      <w:r w:rsidRPr="00167E5B">
        <w:rPr>
          <w:color w:val="000000"/>
          <w:sz w:val="22"/>
          <w:szCs w:val="22"/>
        </w:rPr>
        <w:t xml:space="preserve"> </w:t>
      </w:r>
      <w:r>
        <w:rPr>
          <w:color w:val="000000"/>
          <w:sz w:val="22"/>
          <w:szCs w:val="22"/>
        </w:rPr>
        <w:t xml:space="preserve">work output </w:t>
      </w:r>
      <w:r w:rsidRPr="00167E5B">
        <w:rPr>
          <w:color w:val="000000"/>
          <w:sz w:val="22"/>
          <w:szCs w:val="22"/>
        </w:rPr>
        <w:t>and NO</w:t>
      </w:r>
      <w:r w:rsidRPr="00167E5B">
        <w:rPr>
          <w:color w:val="000000"/>
          <w:sz w:val="22"/>
          <w:szCs w:val="22"/>
          <w:vertAlign w:val="subscript"/>
        </w:rPr>
        <w:t>X</w:t>
      </w:r>
      <w:r w:rsidRPr="00167E5B">
        <w:rPr>
          <w:color w:val="000000"/>
          <w:sz w:val="22"/>
          <w:szCs w:val="22"/>
        </w:rPr>
        <w:t xml:space="preserve"> formation is depicted in</w:t>
      </w:r>
      <w:r w:rsidR="00365FA3">
        <w:rPr>
          <w:color w:val="000000"/>
          <w:sz w:val="22"/>
          <w:szCs w:val="22"/>
        </w:rPr>
        <w:t xml:space="preserve"> </w:t>
      </w:r>
      <w:r w:rsidR="00B864D2" w:rsidRPr="00503AC5">
        <w:rPr>
          <w:b/>
          <w:color w:val="000000"/>
          <w:sz w:val="22"/>
          <w:szCs w:val="22"/>
        </w:rPr>
        <w:fldChar w:fldCharType="begin"/>
      </w:r>
      <w:r w:rsidR="00B864D2" w:rsidRPr="00503AC5">
        <w:rPr>
          <w:b/>
          <w:color w:val="000000"/>
          <w:sz w:val="22"/>
          <w:szCs w:val="22"/>
        </w:rPr>
        <w:instrText xml:space="preserve"> REF _Ref365447838 \h  \* MERGEFORMAT </w:instrText>
      </w:r>
      <w:r w:rsidR="00B864D2" w:rsidRPr="00503AC5">
        <w:rPr>
          <w:b/>
          <w:color w:val="000000"/>
          <w:sz w:val="22"/>
          <w:szCs w:val="22"/>
        </w:rPr>
      </w:r>
      <w:r w:rsidR="00B864D2" w:rsidRPr="00503AC5">
        <w:rPr>
          <w:b/>
          <w:color w:val="000000"/>
          <w:sz w:val="22"/>
          <w:szCs w:val="22"/>
        </w:rPr>
        <w:fldChar w:fldCharType="separate"/>
      </w:r>
      <w:r w:rsidR="007F3589" w:rsidRPr="00503AC5">
        <w:rPr>
          <w:b/>
          <w:noProof/>
          <w:sz w:val="22"/>
          <w:szCs w:val="22"/>
        </w:rPr>
        <w:t>Figure</w:t>
      </w:r>
      <w:r w:rsidR="007F3589" w:rsidRPr="00503AC5">
        <w:rPr>
          <w:noProof/>
          <w:sz w:val="22"/>
          <w:szCs w:val="22"/>
        </w:rPr>
        <w:t xml:space="preserve"> </w:t>
      </w:r>
      <w:r w:rsidR="007F3589" w:rsidRPr="00503AC5">
        <w:rPr>
          <w:b/>
          <w:noProof/>
          <w:sz w:val="22"/>
          <w:szCs w:val="22"/>
        </w:rPr>
        <w:t>9</w:t>
      </w:r>
      <w:r w:rsidR="00B864D2" w:rsidRPr="00503AC5">
        <w:rPr>
          <w:b/>
          <w:color w:val="000000"/>
          <w:sz w:val="22"/>
          <w:szCs w:val="22"/>
        </w:rPr>
        <w:fldChar w:fldCharType="end"/>
      </w:r>
      <w:r>
        <w:rPr>
          <w:color w:val="000000"/>
          <w:sz w:val="22"/>
          <w:szCs w:val="22"/>
        </w:rPr>
        <w:t>,</w:t>
      </w:r>
      <w:r w:rsidRPr="00167E5B">
        <w:rPr>
          <w:color w:val="000000"/>
          <w:sz w:val="22"/>
          <w:szCs w:val="22"/>
        </w:rPr>
        <w:t xml:space="preserve"> which is from a General Electric discussion on these principles</w:t>
      </w:r>
      <w:r>
        <w:rPr>
          <w:color w:val="000000"/>
          <w:sz w:val="22"/>
          <w:szCs w:val="22"/>
        </w:rPr>
        <w:t xml:space="preserve">.  </w:t>
      </w:r>
    </w:p>
    <w:p w:rsidR="00411EBF" w:rsidRPr="00167E5B" w:rsidRDefault="00411EBF" w:rsidP="003D31EB">
      <w:pPr>
        <w:spacing w:after="120"/>
        <w:rPr>
          <w:color w:val="000000"/>
          <w:sz w:val="22"/>
          <w:szCs w:val="22"/>
        </w:rPr>
      </w:pPr>
      <w:r w:rsidRPr="00167E5B">
        <w:rPr>
          <w:color w:val="000000"/>
          <w:sz w:val="22"/>
          <w:szCs w:val="22"/>
          <w:u w:val="single"/>
        </w:rPr>
        <w:t>Prompt NO</w:t>
      </w:r>
      <w:r w:rsidRPr="00167E5B">
        <w:rPr>
          <w:color w:val="000000"/>
          <w:sz w:val="22"/>
          <w:szCs w:val="22"/>
          <w:u w:val="single"/>
          <w:vertAlign w:val="subscript"/>
        </w:rPr>
        <w:t>X</w:t>
      </w:r>
      <w:r w:rsidRPr="00167E5B">
        <w:rPr>
          <w:color w:val="000000"/>
          <w:sz w:val="22"/>
          <w:szCs w:val="22"/>
        </w:rPr>
        <w:t xml:space="preserve"> is formed in the proximity of the flame front as intermediate combustion products.  The contribution of prompt to overall NO</w:t>
      </w:r>
      <w:r w:rsidRPr="00167E5B">
        <w:rPr>
          <w:color w:val="000000"/>
          <w:sz w:val="22"/>
          <w:szCs w:val="22"/>
          <w:vertAlign w:val="subscript"/>
        </w:rPr>
        <w:t>X</w:t>
      </w:r>
      <w:r w:rsidRPr="00167E5B">
        <w:rPr>
          <w:color w:val="000000"/>
          <w:sz w:val="22"/>
          <w:szCs w:val="22"/>
        </w:rPr>
        <w:t xml:space="preserve"> is relatively small in near-stoichiometric combustors and increases for leaner fuel mixtures.  This provides a practical limit for NO</w:t>
      </w:r>
      <w:r w:rsidRPr="00167E5B">
        <w:rPr>
          <w:color w:val="000000"/>
          <w:sz w:val="22"/>
          <w:szCs w:val="22"/>
          <w:vertAlign w:val="subscript"/>
        </w:rPr>
        <w:t>X</w:t>
      </w:r>
      <w:r w:rsidRPr="00167E5B">
        <w:rPr>
          <w:color w:val="000000"/>
          <w:sz w:val="22"/>
          <w:szCs w:val="22"/>
        </w:rPr>
        <w:t xml:space="preserve"> control by lean combustion.</w:t>
      </w:r>
    </w:p>
    <w:p w:rsidR="00411EBF" w:rsidRDefault="00411EBF" w:rsidP="003D31EB">
      <w:pPr>
        <w:spacing w:after="120"/>
        <w:rPr>
          <w:sz w:val="22"/>
          <w:szCs w:val="22"/>
        </w:rPr>
      </w:pPr>
      <w:r w:rsidRPr="002C788A">
        <w:rPr>
          <w:color w:val="000000"/>
          <w:sz w:val="22"/>
          <w:szCs w:val="22"/>
          <w:u w:val="single"/>
        </w:rPr>
        <w:t>Fuel NO</w:t>
      </w:r>
      <w:r w:rsidRPr="002C788A">
        <w:rPr>
          <w:color w:val="000000"/>
          <w:sz w:val="22"/>
          <w:szCs w:val="22"/>
          <w:u w:val="single"/>
          <w:vertAlign w:val="subscript"/>
        </w:rPr>
        <w:t>X</w:t>
      </w:r>
      <w:r w:rsidRPr="002C788A">
        <w:rPr>
          <w:color w:val="000000"/>
          <w:sz w:val="22"/>
          <w:szCs w:val="22"/>
        </w:rPr>
        <w:t xml:space="preserve"> is formed when fuels containing bound nitrogen are burned.  </w:t>
      </w:r>
      <w:r w:rsidRPr="002C788A">
        <w:rPr>
          <w:sz w:val="22"/>
          <w:szCs w:val="22"/>
        </w:rPr>
        <w:t>This phenomenon is not of great concern when combusting natural gas.</w:t>
      </w:r>
    </w:p>
    <w:p w:rsidR="00411EBF" w:rsidRDefault="00411EBF" w:rsidP="003D31EB">
      <w:pPr>
        <w:spacing w:after="120"/>
        <w:rPr>
          <w:sz w:val="22"/>
          <w:szCs w:val="22"/>
        </w:rPr>
      </w:pPr>
      <w:r w:rsidRPr="002C788A">
        <w:rPr>
          <w:color w:val="000000"/>
          <w:sz w:val="22"/>
          <w:szCs w:val="22"/>
        </w:rPr>
        <w:t xml:space="preserve">Uncontrolled emissions </w:t>
      </w:r>
      <w:r>
        <w:rPr>
          <w:color w:val="000000"/>
          <w:sz w:val="22"/>
          <w:szCs w:val="22"/>
        </w:rPr>
        <w:t xml:space="preserve">from combustion turbines </w:t>
      </w:r>
      <w:r w:rsidRPr="002C788A">
        <w:rPr>
          <w:color w:val="000000"/>
          <w:sz w:val="22"/>
          <w:szCs w:val="22"/>
        </w:rPr>
        <w:t>range from about 100 to 600 parts per million by volume, dry, corrected to 15 percent oxygen (ppmvd</w:t>
      </w:r>
      <w:r>
        <w:rPr>
          <w:color w:val="000000"/>
          <w:sz w:val="22"/>
          <w:szCs w:val="22"/>
        </w:rPr>
        <w:t xml:space="preserve"> @15% O</w:t>
      </w:r>
      <w:r w:rsidRPr="001D256A">
        <w:rPr>
          <w:color w:val="000000"/>
          <w:sz w:val="22"/>
          <w:szCs w:val="22"/>
          <w:vertAlign w:val="subscript"/>
        </w:rPr>
        <w:t>2</w:t>
      </w:r>
      <w:r w:rsidRPr="002C788A">
        <w:rPr>
          <w:color w:val="000000"/>
          <w:sz w:val="22"/>
          <w:szCs w:val="22"/>
        </w:rPr>
        <w:t xml:space="preserve">).  The Department estimates </w:t>
      </w:r>
      <w:r w:rsidRPr="00F15C12">
        <w:rPr>
          <w:color w:val="000000"/>
          <w:sz w:val="22"/>
          <w:szCs w:val="22"/>
          <w:u w:val="single"/>
        </w:rPr>
        <w:t>uncontrolled</w:t>
      </w:r>
      <w:r w:rsidRPr="002C788A">
        <w:rPr>
          <w:color w:val="000000"/>
          <w:sz w:val="22"/>
          <w:szCs w:val="22"/>
        </w:rPr>
        <w:t xml:space="preserve"> emissions at approximately 200 ppmvd for </w:t>
      </w:r>
      <w:r>
        <w:rPr>
          <w:color w:val="000000"/>
          <w:sz w:val="22"/>
          <w:szCs w:val="22"/>
        </w:rPr>
        <w:t>large frame combustion turbines</w:t>
      </w:r>
      <w:r w:rsidR="002B04CB">
        <w:rPr>
          <w:color w:val="000000"/>
          <w:sz w:val="22"/>
          <w:szCs w:val="22"/>
        </w:rPr>
        <w:t xml:space="preserve"> such as those under consideration for this project</w:t>
      </w:r>
      <w:r w:rsidRPr="002C788A">
        <w:rPr>
          <w:color w:val="000000"/>
          <w:sz w:val="22"/>
          <w:szCs w:val="22"/>
        </w:rPr>
        <w:t>.</w:t>
      </w:r>
      <w:r w:rsidRPr="002C788A">
        <w:rPr>
          <w:rStyle w:val="FootnoteReference"/>
          <w:color w:val="000000"/>
          <w:szCs w:val="22"/>
        </w:rPr>
        <w:footnoteReference w:id="2"/>
      </w:r>
    </w:p>
    <w:p w:rsidR="00411EBF" w:rsidRPr="00414E91" w:rsidRDefault="00411EBF" w:rsidP="00C070A4">
      <w:pPr>
        <w:widowControl w:val="0"/>
        <w:numPr>
          <w:ilvl w:val="3"/>
          <w:numId w:val="2"/>
        </w:numPr>
        <w:tabs>
          <w:tab w:val="left" w:pos="720"/>
        </w:tabs>
        <w:spacing w:after="120"/>
        <w:ind w:left="720" w:hanging="720"/>
        <w:rPr>
          <w:i/>
          <w:sz w:val="22"/>
          <w:szCs w:val="22"/>
        </w:rPr>
      </w:pPr>
      <w:r w:rsidRPr="00414E91">
        <w:rPr>
          <w:i/>
          <w:color w:val="000000"/>
          <w:sz w:val="22"/>
          <w:szCs w:val="22"/>
        </w:rPr>
        <w:t>NO</w:t>
      </w:r>
      <w:r w:rsidRPr="00414E91">
        <w:rPr>
          <w:i/>
          <w:color w:val="000000"/>
          <w:sz w:val="22"/>
          <w:szCs w:val="22"/>
          <w:vertAlign w:val="subscript"/>
        </w:rPr>
        <w:t>X</w:t>
      </w:r>
      <w:r w:rsidRPr="00414E91">
        <w:rPr>
          <w:i/>
          <w:color w:val="000000"/>
          <w:sz w:val="22"/>
          <w:szCs w:val="22"/>
        </w:rPr>
        <w:t xml:space="preserve"> Controls</w:t>
      </w:r>
    </w:p>
    <w:p w:rsidR="006F2602" w:rsidRPr="006F2602" w:rsidRDefault="006F2602" w:rsidP="006F2602">
      <w:pPr>
        <w:widowControl w:val="0"/>
        <w:spacing w:after="120"/>
        <w:rPr>
          <w:sz w:val="22"/>
          <w:szCs w:val="22"/>
        </w:rPr>
      </w:pPr>
      <w:r>
        <w:rPr>
          <w:color w:val="000000"/>
          <w:sz w:val="22"/>
          <w:szCs w:val="22"/>
        </w:rPr>
        <w:t>The following discussion of NO</w:t>
      </w:r>
      <w:r w:rsidRPr="006F2602">
        <w:rPr>
          <w:color w:val="000000"/>
          <w:sz w:val="22"/>
          <w:szCs w:val="22"/>
          <w:vertAlign w:val="subscript"/>
        </w:rPr>
        <w:t>X</w:t>
      </w:r>
      <w:r>
        <w:rPr>
          <w:color w:val="000000"/>
          <w:sz w:val="22"/>
          <w:szCs w:val="22"/>
        </w:rPr>
        <w:t xml:space="preserve"> controls</w:t>
      </w:r>
      <w:r w:rsidR="0094685C">
        <w:rPr>
          <w:color w:val="000000"/>
          <w:sz w:val="22"/>
          <w:szCs w:val="22"/>
        </w:rPr>
        <w:t xml:space="preserve"> and their associated </w:t>
      </w:r>
      <w:r w:rsidR="0011369F">
        <w:rPr>
          <w:color w:val="000000"/>
          <w:sz w:val="22"/>
          <w:szCs w:val="22"/>
        </w:rPr>
        <w:t>performance</w:t>
      </w:r>
      <w:r>
        <w:rPr>
          <w:color w:val="000000"/>
          <w:sz w:val="22"/>
          <w:szCs w:val="22"/>
        </w:rPr>
        <w:t xml:space="preserve"> </w:t>
      </w:r>
      <w:r w:rsidR="00D65CE5">
        <w:rPr>
          <w:color w:val="000000"/>
          <w:sz w:val="22"/>
          <w:szCs w:val="22"/>
        </w:rPr>
        <w:t>in some cases uses</w:t>
      </w:r>
      <w:r>
        <w:rPr>
          <w:color w:val="000000"/>
          <w:sz w:val="22"/>
          <w:szCs w:val="22"/>
        </w:rPr>
        <w:t xml:space="preserve"> GE </w:t>
      </w:r>
      <w:r w:rsidR="00E02298">
        <w:rPr>
          <w:color w:val="000000"/>
          <w:sz w:val="22"/>
          <w:szCs w:val="22"/>
        </w:rPr>
        <w:t>F</w:t>
      </w:r>
      <w:r>
        <w:rPr>
          <w:color w:val="000000"/>
          <w:sz w:val="22"/>
          <w:szCs w:val="22"/>
        </w:rPr>
        <w:t xml:space="preserve"> frame CT</w:t>
      </w:r>
      <w:r w:rsidR="00E02298">
        <w:rPr>
          <w:color w:val="000000"/>
          <w:sz w:val="22"/>
          <w:szCs w:val="22"/>
        </w:rPr>
        <w:t xml:space="preserve"> models</w:t>
      </w:r>
      <w:r w:rsidR="00097E63">
        <w:rPr>
          <w:color w:val="000000"/>
          <w:sz w:val="22"/>
          <w:szCs w:val="22"/>
        </w:rPr>
        <w:t xml:space="preserve"> </w:t>
      </w:r>
      <w:r w:rsidR="00D65CE5">
        <w:rPr>
          <w:color w:val="000000"/>
          <w:sz w:val="22"/>
          <w:szCs w:val="22"/>
        </w:rPr>
        <w:t>as examples</w:t>
      </w:r>
      <w:r>
        <w:rPr>
          <w:color w:val="000000"/>
          <w:sz w:val="22"/>
          <w:szCs w:val="22"/>
        </w:rPr>
        <w:t>.  However, F frame models from other manufactures</w:t>
      </w:r>
      <w:r w:rsidR="00097E63">
        <w:rPr>
          <w:color w:val="000000"/>
          <w:sz w:val="22"/>
          <w:szCs w:val="22"/>
        </w:rPr>
        <w:t>,</w:t>
      </w:r>
      <w:r>
        <w:rPr>
          <w:color w:val="000000"/>
          <w:sz w:val="22"/>
          <w:szCs w:val="22"/>
        </w:rPr>
        <w:t xml:space="preserve"> such as Siemens</w:t>
      </w:r>
      <w:r w:rsidR="00097E63">
        <w:rPr>
          <w:color w:val="000000"/>
          <w:sz w:val="22"/>
          <w:szCs w:val="22"/>
        </w:rPr>
        <w:t>,</w:t>
      </w:r>
      <w:r>
        <w:rPr>
          <w:color w:val="000000"/>
          <w:sz w:val="22"/>
          <w:szCs w:val="22"/>
        </w:rPr>
        <w:t xml:space="preserve"> offer similar controls and performance.</w:t>
      </w:r>
    </w:p>
    <w:p w:rsidR="00411EBF" w:rsidRPr="002C788A" w:rsidRDefault="00411EBF" w:rsidP="003D31EB">
      <w:pPr>
        <w:spacing w:after="120"/>
        <w:rPr>
          <w:color w:val="000000"/>
          <w:sz w:val="22"/>
          <w:szCs w:val="22"/>
        </w:rPr>
      </w:pPr>
      <w:r w:rsidRPr="002C788A">
        <w:rPr>
          <w:color w:val="000000"/>
          <w:sz w:val="22"/>
          <w:szCs w:val="22"/>
          <w:u w:val="single"/>
        </w:rPr>
        <w:t>Wet Injection</w:t>
      </w:r>
      <w:r w:rsidRPr="002C788A">
        <w:rPr>
          <w:color w:val="000000"/>
          <w:sz w:val="22"/>
          <w:szCs w:val="22"/>
        </w:rPr>
        <w:t>.  Fuel and air are mixed within traditional combustors and the combustion actually occurs on the boundaries of the flame.  This is termed “diffusion flame” combustion.  Injection of either water or steam directly into the combustor lowers the flame temperature and thereby reduces thermal NO</w:t>
      </w:r>
      <w:r w:rsidRPr="002C788A">
        <w:rPr>
          <w:color w:val="000000"/>
          <w:sz w:val="22"/>
          <w:szCs w:val="22"/>
          <w:vertAlign w:val="subscript"/>
        </w:rPr>
        <w:t>X</w:t>
      </w:r>
      <w:r w:rsidRPr="002C788A">
        <w:rPr>
          <w:color w:val="000000"/>
          <w:sz w:val="22"/>
          <w:szCs w:val="22"/>
        </w:rPr>
        <w:t xml:space="preserve"> formation.  There is a physical limit to the amount of water or steam that may be injected before flame instability or cold spots in the combustion zone would cause adverse operating conditions for the </w:t>
      </w:r>
      <w:r w:rsidR="00D65CE5">
        <w:rPr>
          <w:color w:val="000000"/>
          <w:sz w:val="22"/>
          <w:szCs w:val="22"/>
        </w:rPr>
        <w:t>CT</w:t>
      </w:r>
      <w:r w:rsidRPr="002C788A">
        <w:rPr>
          <w:color w:val="000000"/>
          <w:sz w:val="22"/>
          <w:szCs w:val="22"/>
        </w:rPr>
        <w:t>.</w:t>
      </w:r>
      <w:r>
        <w:rPr>
          <w:color w:val="000000"/>
          <w:sz w:val="22"/>
          <w:szCs w:val="22"/>
        </w:rPr>
        <w:t xml:space="preserve"> </w:t>
      </w:r>
      <w:r w:rsidR="00E02298">
        <w:rPr>
          <w:color w:val="000000"/>
          <w:sz w:val="22"/>
          <w:szCs w:val="22"/>
        </w:rPr>
        <w:t xml:space="preserve"> E</w:t>
      </w:r>
      <w:r w:rsidR="00E02298" w:rsidRPr="002C788A">
        <w:rPr>
          <w:color w:val="000000"/>
          <w:sz w:val="22"/>
          <w:szCs w:val="22"/>
        </w:rPr>
        <w:t>missions</w:t>
      </w:r>
      <w:r w:rsidR="00D65CE5">
        <w:rPr>
          <w:color w:val="000000"/>
          <w:sz w:val="22"/>
          <w:szCs w:val="22"/>
        </w:rPr>
        <w:t xml:space="preserve"> of </w:t>
      </w:r>
      <w:r w:rsidRPr="002C788A">
        <w:rPr>
          <w:color w:val="000000"/>
          <w:sz w:val="22"/>
          <w:szCs w:val="22"/>
        </w:rPr>
        <w:t xml:space="preserve">CO and </w:t>
      </w:r>
      <w:r>
        <w:rPr>
          <w:color w:val="000000"/>
          <w:sz w:val="22"/>
          <w:szCs w:val="22"/>
        </w:rPr>
        <w:t xml:space="preserve">VOC </w:t>
      </w:r>
      <w:r w:rsidRPr="002C788A">
        <w:rPr>
          <w:color w:val="000000"/>
          <w:sz w:val="22"/>
          <w:szCs w:val="22"/>
        </w:rPr>
        <w:t xml:space="preserve">are </w:t>
      </w:r>
      <w:r>
        <w:rPr>
          <w:color w:val="000000"/>
          <w:sz w:val="22"/>
          <w:szCs w:val="22"/>
        </w:rPr>
        <w:t xml:space="preserve">very </w:t>
      </w:r>
      <w:r w:rsidRPr="002C788A">
        <w:rPr>
          <w:color w:val="000000"/>
          <w:sz w:val="22"/>
          <w:szCs w:val="22"/>
        </w:rPr>
        <w:t xml:space="preserve">low for </w:t>
      </w:r>
      <w:r>
        <w:rPr>
          <w:color w:val="000000"/>
          <w:sz w:val="22"/>
          <w:szCs w:val="22"/>
        </w:rPr>
        <w:t xml:space="preserve">large </w:t>
      </w:r>
      <w:r w:rsidRPr="002C788A">
        <w:rPr>
          <w:color w:val="000000"/>
          <w:sz w:val="22"/>
          <w:szCs w:val="22"/>
        </w:rPr>
        <w:t>gas turbines</w:t>
      </w:r>
      <w:r>
        <w:rPr>
          <w:color w:val="000000"/>
          <w:sz w:val="22"/>
          <w:szCs w:val="22"/>
        </w:rPr>
        <w:t xml:space="preserve"> when operated at higher loads</w:t>
      </w:r>
      <w:r w:rsidRPr="002C788A">
        <w:rPr>
          <w:color w:val="000000"/>
          <w:sz w:val="22"/>
          <w:szCs w:val="22"/>
        </w:rPr>
        <w:t xml:space="preserve">.  However steam </w:t>
      </w:r>
      <w:r>
        <w:rPr>
          <w:color w:val="000000"/>
          <w:sz w:val="22"/>
          <w:szCs w:val="22"/>
        </w:rPr>
        <w:t xml:space="preserve">or </w:t>
      </w:r>
      <w:r w:rsidRPr="002C788A">
        <w:rPr>
          <w:color w:val="000000"/>
          <w:sz w:val="22"/>
          <w:szCs w:val="22"/>
        </w:rPr>
        <w:t>water injection may increase emissions of both of these pollutants.</w:t>
      </w:r>
      <w:r>
        <w:rPr>
          <w:color w:val="000000"/>
          <w:sz w:val="22"/>
          <w:szCs w:val="22"/>
        </w:rPr>
        <w:t xml:space="preserve"> </w:t>
      </w:r>
    </w:p>
    <w:p w:rsidR="00411EBF" w:rsidRPr="006D10BF" w:rsidRDefault="00411EBF" w:rsidP="003D31EB">
      <w:pPr>
        <w:spacing w:after="120"/>
        <w:rPr>
          <w:color w:val="000000"/>
          <w:sz w:val="22"/>
          <w:szCs w:val="22"/>
        </w:rPr>
      </w:pPr>
      <w:r w:rsidRPr="002C788A">
        <w:rPr>
          <w:color w:val="000000"/>
          <w:sz w:val="22"/>
          <w:szCs w:val="22"/>
        </w:rPr>
        <w:t>Advanced dual</w:t>
      </w:r>
      <w:r>
        <w:rPr>
          <w:color w:val="000000"/>
          <w:sz w:val="22"/>
          <w:szCs w:val="22"/>
        </w:rPr>
        <w:t>-</w:t>
      </w:r>
      <w:r w:rsidRPr="002C788A">
        <w:rPr>
          <w:color w:val="000000"/>
          <w:sz w:val="22"/>
          <w:szCs w:val="22"/>
        </w:rPr>
        <w:t>fuel</w:t>
      </w:r>
      <w:r>
        <w:rPr>
          <w:color w:val="000000"/>
          <w:sz w:val="22"/>
          <w:szCs w:val="22"/>
        </w:rPr>
        <w:t xml:space="preserve"> </w:t>
      </w:r>
      <w:r w:rsidRPr="002C788A">
        <w:rPr>
          <w:color w:val="000000"/>
          <w:sz w:val="22"/>
          <w:szCs w:val="22"/>
        </w:rPr>
        <w:t>combustor designs can tolerate large amounts of steam or water without causing flame instability and can achieve NO</w:t>
      </w:r>
      <w:r w:rsidRPr="002C788A">
        <w:rPr>
          <w:color w:val="000000"/>
          <w:sz w:val="22"/>
          <w:szCs w:val="22"/>
          <w:vertAlign w:val="subscript"/>
        </w:rPr>
        <w:t>X</w:t>
      </w:r>
      <w:r w:rsidRPr="002C788A">
        <w:rPr>
          <w:color w:val="000000"/>
          <w:sz w:val="22"/>
          <w:szCs w:val="22"/>
        </w:rPr>
        <w:t xml:space="preserve"> emissions in the range of 30 to 42 </w:t>
      </w:r>
      <w:r>
        <w:rPr>
          <w:color w:val="000000"/>
          <w:sz w:val="22"/>
          <w:szCs w:val="22"/>
        </w:rPr>
        <w:t>ppmvd @15% O</w:t>
      </w:r>
      <w:r w:rsidRPr="003537C5">
        <w:rPr>
          <w:color w:val="000000"/>
          <w:sz w:val="22"/>
          <w:szCs w:val="22"/>
          <w:vertAlign w:val="subscript"/>
        </w:rPr>
        <w:t>2</w:t>
      </w:r>
      <w:r w:rsidRPr="002C788A">
        <w:rPr>
          <w:color w:val="000000"/>
          <w:sz w:val="22"/>
          <w:szCs w:val="22"/>
        </w:rPr>
        <w:t xml:space="preserve"> when employing wet injection for backup fuel oil firing.  Wet injection results in control efficiencies on the order of 80 to 90% for oil firing.  These values often form the basis, particularly in combined cycle turbines, for further reduction to BACT limits by other techniques as discussed below.</w:t>
      </w:r>
      <w:r>
        <w:rPr>
          <w:color w:val="000000"/>
          <w:sz w:val="22"/>
          <w:szCs w:val="22"/>
        </w:rPr>
        <w:t xml:space="preserve">  </w:t>
      </w:r>
    </w:p>
    <w:p w:rsidR="00411EBF" w:rsidRDefault="00411EBF" w:rsidP="004B5BCD">
      <w:pPr>
        <w:spacing w:after="120"/>
        <w:rPr>
          <w:color w:val="000000"/>
          <w:sz w:val="22"/>
          <w:szCs w:val="22"/>
        </w:rPr>
      </w:pPr>
      <w:r w:rsidRPr="002C788A">
        <w:rPr>
          <w:color w:val="000000"/>
          <w:sz w:val="22"/>
          <w:szCs w:val="22"/>
          <w:u w:val="single"/>
        </w:rPr>
        <w:t>Dry Low NO</w:t>
      </w:r>
      <w:r w:rsidRPr="002C788A">
        <w:rPr>
          <w:color w:val="000000"/>
          <w:sz w:val="22"/>
          <w:szCs w:val="22"/>
          <w:u w:val="single"/>
          <w:vertAlign w:val="subscript"/>
        </w:rPr>
        <w:t>X</w:t>
      </w:r>
      <w:r>
        <w:rPr>
          <w:color w:val="000000"/>
          <w:sz w:val="22"/>
          <w:szCs w:val="22"/>
          <w:u w:val="single"/>
        </w:rPr>
        <w:t xml:space="preserve"> </w:t>
      </w:r>
      <w:r w:rsidRPr="002C788A">
        <w:rPr>
          <w:color w:val="000000"/>
          <w:sz w:val="22"/>
          <w:szCs w:val="22"/>
          <w:u w:val="single"/>
        </w:rPr>
        <w:t>(DLN)</w:t>
      </w:r>
      <w:r>
        <w:rPr>
          <w:color w:val="000000"/>
          <w:sz w:val="22"/>
          <w:szCs w:val="22"/>
          <w:u w:val="single"/>
        </w:rPr>
        <w:t xml:space="preserve"> Combustion</w:t>
      </w:r>
      <w:r w:rsidRPr="002C788A">
        <w:rPr>
          <w:color w:val="000000"/>
          <w:sz w:val="22"/>
          <w:szCs w:val="22"/>
        </w:rPr>
        <w:t>.  The excess air in lean combustion cools the flame and reduces the rate of thermal NO</w:t>
      </w:r>
      <w:r w:rsidRPr="002C788A">
        <w:rPr>
          <w:color w:val="000000"/>
          <w:sz w:val="22"/>
          <w:szCs w:val="22"/>
          <w:vertAlign w:val="subscript"/>
        </w:rPr>
        <w:t>X</w:t>
      </w:r>
      <w:r w:rsidRPr="002C788A">
        <w:rPr>
          <w:color w:val="000000"/>
          <w:sz w:val="22"/>
          <w:szCs w:val="22"/>
        </w:rPr>
        <w:t xml:space="preserve"> formation.  Lean premixing of </w:t>
      </w:r>
      <w:r>
        <w:rPr>
          <w:color w:val="000000"/>
          <w:sz w:val="22"/>
          <w:szCs w:val="22"/>
        </w:rPr>
        <w:t xml:space="preserve">gaseous </w:t>
      </w:r>
      <w:r w:rsidRPr="002C788A">
        <w:rPr>
          <w:color w:val="000000"/>
          <w:sz w:val="22"/>
          <w:szCs w:val="22"/>
        </w:rPr>
        <w:t>fuel and air prior to combustion can further reduce NO</w:t>
      </w:r>
      <w:r w:rsidRPr="002C788A">
        <w:rPr>
          <w:color w:val="000000"/>
          <w:sz w:val="22"/>
          <w:szCs w:val="22"/>
          <w:vertAlign w:val="subscript"/>
        </w:rPr>
        <w:t>X</w:t>
      </w:r>
      <w:r w:rsidRPr="002C788A">
        <w:rPr>
          <w:color w:val="000000"/>
          <w:sz w:val="22"/>
          <w:szCs w:val="22"/>
        </w:rPr>
        <w:t xml:space="preserve"> emissions.  This is accomplished by minimizing localized fuel-rich pockets (and high temperatures) within the combustion zones.</w:t>
      </w:r>
      <w:r>
        <w:rPr>
          <w:color w:val="000000"/>
          <w:sz w:val="22"/>
          <w:szCs w:val="22"/>
        </w:rPr>
        <w:t xml:space="preserve">  </w:t>
      </w:r>
      <w:r w:rsidRPr="002C788A">
        <w:rPr>
          <w:color w:val="000000"/>
          <w:sz w:val="22"/>
          <w:szCs w:val="22"/>
        </w:rPr>
        <w:t>Th</w:t>
      </w:r>
      <w:r>
        <w:rPr>
          <w:color w:val="000000"/>
          <w:sz w:val="22"/>
          <w:szCs w:val="22"/>
        </w:rPr>
        <w:t>is</w:t>
      </w:r>
      <w:r w:rsidRPr="002C788A">
        <w:rPr>
          <w:color w:val="000000"/>
          <w:sz w:val="22"/>
          <w:szCs w:val="22"/>
        </w:rPr>
        <w:t xml:space="preserve"> principle is incorporated into the General Electric </w:t>
      </w:r>
      <w:r>
        <w:rPr>
          <w:color w:val="000000"/>
          <w:sz w:val="22"/>
          <w:szCs w:val="22"/>
        </w:rPr>
        <w:br/>
      </w:r>
      <w:r w:rsidRPr="002C788A">
        <w:rPr>
          <w:color w:val="000000"/>
          <w:sz w:val="22"/>
          <w:szCs w:val="22"/>
        </w:rPr>
        <w:t xml:space="preserve">DLN-2.6 can-annular combustor </w:t>
      </w:r>
      <w:r>
        <w:rPr>
          <w:color w:val="000000"/>
          <w:sz w:val="22"/>
          <w:szCs w:val="22"/>
        </w:rPr>
        <w:t xml:space="preserve">design depicted </w:t>
      </w:r>
      <w:r w:rsidRPr="002C788A">
        <w:rPr>
          <w:color w:val="000000"/>
          <w:sz w:val="22"/>
          <w:szCs w:val="22"/>
        </w:rPr>
        <w:t>in</w:t>
      </w:r>
      <w:r w:rsidR="000E5C22">
        <w:rPr>
          <w:color w:val="000000"/>
          <w:sz w:val="22"/>
          <w:szCs w:val="22"/>
        </w:rPr>
        <w:t xml:space="preserve"> </w:t>
      </w:r>
      <w:r w:rsidR="000E5C22" w:rsidRPr="007B0BE2">
        <w:rPr>
          <w:b/>
          <w:color w:val="000000"/>
          <w:sz w:val="22"/>
          <w:szCs w:val="22"/>
        </w:rPr>
        <w:fldChar w:fldCharType="begin"/>
      </w:r>
      <w:r w:rsidR="000E5C22" w:rsidRPr="007B0BE2">
        <w:rPr>
          <w:b/>
          <w:color w:val="000000"/>
          <w:sz w:val="22"/>
          <w:szCs w:val="22"/>
        </w:rPr>
        <w:instrText xml:space="preserve"> REF _Ref365457657 \h  \* MERGEFORMAT </w:instrText>
      </w:r>
      <w:r w:rsidR="000E5C22" w:rsidRPr="007B0BE2">
        <w:rPr>
          <w:b/>
          <w:color w:val="000000"/>
          <w:sz w:val="22"/>
          <w:szCs w:val="22"/>
        </w:rPr>
      </w:r>
      <w:r w:rsidR="000E5C22" w:rsidRPr="007B0BE2">
        <w:rPr>
          <w:b/>
          <w:color w:val="000000"/>
          <w:sz w:val="22"/>
          <w:szCs w:val="22"/>
        </w:rPr>
        <w:fldChar w:fldCharType="separate"/>
      </w:r>
      <w:r w:rsidR="007F3589" w:rsidRPr="007F3589">
        <w:rPr>
          <w:b/>
          <w:sz w:val="22"/>
          <w:szCs w:val="22"/>
        </w:rPr>
        <w:t xml:space="preserve">Figure </w:t>
      </w:r>
      <w:r w:rsidR="007F3589" w:rsidRPr="007F3589">
        <w:rPr>
          <w:b/>
          <w:noProof/>
          <w:sz w:val="22"/>
          <w:szCs w:val="22"/>
        </w:rPr>
        <w:t>10</w:t>
      </w:r>
      <w:r w:rsidR="000E5C22" w:rsidRPr="007B0BE2">
        <w:rPr>
          <w:b/>
          <w:color w:val="000000"/>
          <w:sz w:val="22"/>
          <w:szCs w:val="22"/>
        </w:rPr>
        <w:fldChar w:fldCharType="end"/>
      </w:r>
      <w:r w:rsidR="000E5C22">
        <w:rPr>
          <w:color w:val="000000"/>
          <w:sz w:val="22"/>
          <w:szCs w:val="22"/>
        </w:rPr>
        <w:t xml:space="preserve"> below</w:t>
      </w:r>
      <w:r w:rsidRPr="002C788A">
        <w:rPr>
          <w:color w:val="000000"/>
          <w:sz w:val="22"/>
          <w:szCs w:val="22"/>
        </w:rPr>
        <w:t>.</w:t>
      </w:r>
    </w:p>
    <w:p w:rsidR="000E5C22" w:rsidRDefault="000E5C22" w:rsidP="000E5C22">
      <w:pPr>
        <w:spacing w:after="120"/>
        <w:rPr>
          <w:color w:val="000000"/>
          <w:sz w:val="22"/>
          <w:szCs w:val="22"/>
        </w:rPr>
      </w:pPr>
      <w:r w:rsidRPr="002C788A">
        <w:rPr>
          <w:color w:val="000000"/>
          <w:sz w:val="22"/>
          <w:szCs w:val="22"/>
        </w:rPr>
        <w:t xml:space="preserve">Each combustor includes six nozzles within which </w:t>
      </w:r>
      <w:r>
        <w:rPr>
          <w:color w:val="000000"/>
          <w:sz w:val="22"/>
          <w:szCs w:val="22"/>
        </w:rPr>
        <w:t xml:space="preserve">gaseous fuel </w:t>
      </w:r>
      <w:r w:rsidRPr="002C788A">
        <w:rPr>
          <w:color w:val="000000"/>
          <w:sz w:val="22"/>
          <w:szCs w:val="22"/>
        </w:rPr>
        <w:t xml:space="preserve">and air have been fully pre-mixed.  There are 16 small fuel passages around the circumference of each combustor known as quaternary fuel pegs.  The six nozzles are sequentially ignited as load increases in a manner that maintains lean pre-mixed combustion and flame stability.  </w:t>
      </w:r>
      <w:r>
        <w:rPr>
          <w:color w:val="000000"/>
          <w:sz w:val="22"/>
          <w:szCs w:val="22"/>
        </w:rPr>
        <w:t>Liquid fuel-based lean premix DLN combustion is generally not feasible for large combustion turbines.</w:t>
      </w:r>
    </w:p>
    <w:p w:rsidR="000E5C22" w:rsidRDefault="000E5C22" w:rsidP="000E5C22">
      <w:pPr>
        <w:spacing w:after="120"/>
        <w:rPr>
          <w:color w:val="000000"/>
          <w:sz w:val="22"/>
          <w:szCs w:val="22"/>
        </w:rPr>
      </w:pPr>
      <w:r w:rsidRPr="00E75521">
        <w:rPr>
          <w:color w:val="000000"/>
          <w:sz w:val="22"/>
          <w:szCs w:val="22"/>
        </w:rPr>
        <w:t>Design</w:t>
      </w:r>
      <w:r w:rsidRPr="002C788A">
        <w:rPr>
          <w:color w:val="000000"/>
          <w:sz w:val="22"/>
          <w:szCs w:val="22"/>
        </w:rPr>
        <w:t xml:space="preserve"> NO</w:t>
      </w:r>
      <w:r w:rsidRPr="002C788A">
        <w:rPr>
          <w:color w:val="000000"/>
          <w:sz w:val="22"/>
          <w:szCs w:val="22"/>
          <w:vertAlign w:val="subscript"/>
        </w:rPr>
        <w:t>X</w:t>
      </w:r>
      <w:r w:rsidRPr="002C788A">
        <w:rPr>
          <w:color w:val="000000"/>
          <w:sz w:val="22"/>
          <w:szCs w:val="22"/>
        </w:rPr>
        <w:t xml:space="preserve">, CO, and VOC emission characteristics </w:t>
      </w:r>
      <w:r>
        <w:rPr>
          <w:color w:val="000000"/>
          <w:sz w:val="22"/>
          <w:szCs w:val="22"/>
        </w:rPr>
        <w:t xml:space="preserve">(basis of guarantees) </w:t>
      </w:r>
      <w:r w:rsidRPr="002C788A">
        <w:rPr>
          <w:color w:val="000000"/>
          <w:sz w:val="22"/>
          <w:szCs w:val="22"/>
        </w:rPr>
        <w:t xml:space="preserve">of the </w:t>
      </w:r>
      <w:r>
        <w:rPr>
          <w:color w:val="000000"/>
          <w:sz w:val="22"/>
          <w:szCs w:val="22"/>
        </w:rPr>
        <w:t xml:space="preserve">GE </w:t>
      </w:r>
      <w:r w:rsidRPr="002C788A">
        <w:rPr>
          <w:color w:val="000000"/>
          <w:sz w:val="22"/>
          <w:szCs w:val="22"/>
        </w:rPr>
        <w:t xml:space="preserve">DLN-2.6 combustor </w:t>
      </w:r>
      <w:r>
        <w:rPr>
          <w:color w:val="000000"/>
          <w:sz w:val="22"/>
          <w:szCs w:val="22"/>
        </w:rPr>
        <w:t xml:space="preserve">for the </w:t>
      </w:r>
      <w:r w:rsidRPr="00E75521">
        <w:rPr>
          <w:color w:val="000000"/>
          <w:sz w:val="22"/>
          <w:szCs w:val="22"/>
          <w:u w:val="single"/>
        </w:rPr>
        <w:t>GE 7FA.03</w:t>
      </w:r>
      <w:r>
        <w:rPr>
          <w:color w:val="000000"/>
          <w:sz w:val="22"/>
          <w:szCs w:val="22"/>
        </w:rPr>
        <w:t xml:space="preserve"> </w:t>
      </w:r>
      <w:r w:rsidRPr="002C788A">
        <w:rPr>
          <w:color w:val="000000"/>
          <w:sz w:val="22"/>
          <w:szCs w:val="22"/>
        </w:rPr>
        <w:t>while firing natural gas are given in</w:t>
      </w:r>
      <w:r>
        <w:rPr>
          <w:color w:val="000000"/>
          <w:sz w:val="22"/>
          <w:szCs w:val="22"/>
        </w:rPr>
        <w:t xml:space="preserve"> </w:t>
      </w:r>
      <w:r w:rsidRPr="00CC27AE">
        <w:rPr>
          <w:b/>
          <w:color w:val="000000"/>
          <w:sz w:val="22"/>
          <w:szCs w:val="22"/>
        </w:rPr>
        <w:fldChar w:fldCharType="begin"/>
      </w:r>
      <w:r w:rsidRPr="00CC27AE">
        <w:rPr>
          <w:b/>
          <w:color w:val="000000"/>
          <w:sz w:val="22"/>
          <w:szCs w:val="22"/>
        </w:rPr>
        <w:instrText xml:space="preserve"> REF _Ref365457755 \h  \* MERGEFORMAT </w:instrText>
      </w:r>
      <w:r w:rsidRPr="00CC27AE">
        <w:rPr>
          <w:b/>
          <w:color w:val="000000"/>
          <w:sz w:val="22"/>
          <w:szCs w:val="22"/>
        </w:rPr>
      </w:r>
      <w:r w:rsidRPr="00CC27AE">
        <w:rPr>
          <w:b/>
          <w:color w:val="000000"/>
          <w:sz w:val="22"/>
          <w:szCs w:val="22"/>
        </w:rPr>
        <w:fldChar w:fldCharType="separate"/>
      </w:r>
      <w:r w:rsidR="007F3589" w:rsidRPr="007F3589">
        <w:rPr>
          <w:b/>
          <w:sz w:val="22"/>
          <w:szCs w:val="22"/>
        </w:rPr>
        <w:t xml:space="preserve">Figure </w:t>
      </w:r>
      <w:r w:rsidR="007F3589" w:rsidRPr="007F3589">
        <w:rPr>
          <w:b/>
          <w:noProof/>
          <w:sz w:val="22"/>
          <w:szCs w:val="22"/>
        </w:rPr>
        <w:t>11</w:t>
      </w:r>
      <w:r w:rsidRPr="00CC27AE">
        <w:rPr>
          <w:b/>
          <w:color w:val="000000"/>
          <w:sz w:val="22"/>
          <w:szCs w:val="22"/>
        </w:rPr>
        <w:fldChar w:fldCharType="end"/>
      </w:r>
      <w:r>
        <w:rPr>
          <w:color w:val="000000"/>
          <w:sz w:val="22"/>
          <w:szCs w:val="22"/>
        </w:rPr>
        <w:t xml:space="preserve"> below.  </w:t>
      </w:r>
      <w:r w:rsidRPr="002C788A">
        <w:rPr>
          <w:color w:val="000000"/>
          <w:sz w:val="22"/>
          <w:szCs w:val="22"/>
        </w:rPr>
        <w:t xml:space="preserve">The combustor </w:t>
      </w:r>
      <w:r>
        <w:rPr>
          <w:color w:val="000000"/>
          <w:sz w:val="22"/>
          <w:szCs w:val="22"/>
        </w:rPr>
        <w:t xml:space="preserve">design is such that </w:t>
      </w:r>
      <w:r w:rsidRPr="002C788A">
        <w:rPr>
          <w:color w:val="000000"/>
          <w:sz w:val="22"/>
          <w:szCs w:val="22"/>
        </w:rPr>
        <w:t>NO</w:t>
      </w:r>
      <w:r w:rsidRPr="002C788A">
        <w:rPr>
          <w:color w:val="000000"/>
          <w:sz w:val="22"/>
          <w:szCs w:val="22"/>
          <w:vertAlign w:val="subscript"/>
        </w:rPr>
        <w:t>X</w:t>
      </w:r>
      <w:r w:rsidRPr="002C788A">
        <w:rPr>
          <w:color w:val="000000"/>
          <w:sz w:val="22"/>
          <w:szCs w:val="22"/>
        </w:rPr>
        <w:t xml:space="preserve"> concentrations </w:t>
      </w:r>
      <w:r>
        <w:rPr>
          <w:color w:val="000000"/>
          <w:sz w:val="22"/>
          <w:szCs w:val="22"/>
        </w:rPr>
        <w:t>can be tuned to achieve 9 ppmvd @15% O</w:t>
      </w:r>
      <w:r w:rsidRPr="003537C5">
        <w:rPr>
          <w:color w:val="000000"/>
          <w:sz w:val="22"/>
          <w:szCs w:val="22"/>
          <w:vertAlign w:val="subscript"/>
        </w:rPr>
        <w:t>2</w:t>
      </w:r>
      <w:r>
        <w:rPr>
          <w:color w:val="000000"/>
          <w:sz w:val="22"/>
          <w:szCs w:val="22"/>
        </w:rPr>
        <w:t xml:space="preserve"> </w:t>
      </w:r>
      <w:r w:rsidRPr="002C788A">
        <w:rPr>
          <w:color w:val="000000"/>
          <w:sz w:val="22"/>
          <w:szCs w:val="22"/>
        </w:rPr>
        <w:t>at loads between 50 and 100 percent of capacity</w:t>
      </w:r>
      <w:r>
        <w:rPr>
          <w:color w:val="000000"/>
          <w:sz w:val="22"/>
          <w:szCs w:val="22"/>
        </w:rPr>
        <w:t xml:space="preserve">.  However, </w:t>
      </w:r>
      <w:r w:rsidR="00D65CE5" w:rsidRPr="00D65CE5">
        <w:rPr>
          <w:i/>
          <w:color w:val="000000"/>
          <w:sz w:val="22"/>
          <w:szCs w:val="22"/>
        </w:rPr>
        <w:t>NO</w:t>
      </w:r>
      <w:r w:rsidR="00D65CE5" w:rsidRPr="00D65CE5">
        <w:rPr>
          <w:i/>
          <w:color w:val="000000"/>
          <w:sz w:val="22"/>
          <w:szCs w:val="22"/>
          <w:vertAlign w:val="subscript"/>
        </w:rPr>
        <w:t>X</w:t>
      </w:r>
      <w:r w:rsidR="00D65CE5" w:rsidRPr="00D65CE5">
        <w:rPr>
          <w:i/>
          <w:color w:val="000000"/>
          <w:sz w:val="22"/>
          <w:szCs w:val="22"/>
        </w:rPr>
        <w:t xml:space="preserve"> </w:t>
      </w:r>
      <w:r w:rsidRPr="00E75521">
        <w:rPr>
          <w:i/>
          <w:color w:val="000000"/>
          <w:sz w:val="22"/>
          <w:szCs w:val="22"/>
        </w:rPr>
        <w:t xml:space="preserve">concentrations as high as 100 ppmvd </w:t>
      </w:r>
      <w:r>
        <w:rPr>
          <w:i/>
          <w:color w:val="000000"/>
          <w:sz w:val="22"/>
          <w:szCs w:val="22"/>
        </w:rPr>
        <w:t>m</w:t>
      </w:r>
      <w:r w:rsidRPr="00E75521">
        <w:rPr>
          <w:i/>
          <w:color w:val="000000"/>
          <w:sz w:val="22"/>
          <w:szCs w:val="22"/>
        </w:rPr>
        <w:t xml:space="preserve">ay occur </w:t>
      </w:r>
      <w:r w:rsidR="00D65CE5">
        <w:rPr>
          <w:i/>
          <w:color w:val="000000"/>
          <w:sz w:val="22"/>
          <w:szCs w:val="22"/>
        </w:rPr>
        <w:t xml:space="preserve">in the exhaust gas when the CT is at </w:t>
      </w:r>
      <w:r w:rsidRPr="00E75521">
        <w:rPr>
          <w:i/>
          <w:color w:val="000000"/>
          <w:sz w:val="22"/>
          <w:szCs w:val="22"/>
        </w:rPr>
        <w:t>less than 50 percent of capacity</w:t>
      </w:r>
      <w:r w:rsidRPr="002C788A">
        <w:rPr>
          <w:color w:val="000000"/>
          <w:sz w:val="22"/>
          <w:szCs w:val="22"/>
        </w:rPr>
        <w:t xml:space="preserve">.  This suggests the need to </w:t>
      </w:r>
      <w:r w:rsidRPr="00E75521">
        <w:rPr>
          <w:i/>
          <w:color w:val="000000"/>
          <w:sz w:val="22"/>
          <w:szCs w:val="22"/>
        </w:rPr>
        <w:t xml:space="preserve">minimize operation at low load conditions and </w:t>
      </w:r>
      <w:r>
        <w:rPr>
          <w:i/>
          <w:color w:val="000000"/>
          <w:sz w:val="22"/>
          <w:szCs w:val="22"/>
        </w:rPr>
        <w:t xml:space="preserve">during </w:t>
      </w:r>
      <w:r w:rsidRPr="00E75521">
        <w:rPr>
          <w:i/>
          <w:color w:val="000000"/>
          <w:sz w:val="22"/>
          <w:szCs w:val="22"/>
        </w:rPr>
        <w:t>startup</w:t>
      </w:r>
      <w:r>
        <w:rPr>
          <w:color w:val="000000"/>
          <w:sz w:val="22"/>
          <w:szCs w:val="22"/>
        </w:rPr>
        <w:t>.  U</w:t>
      </w:r>
      <w:r w:rsidRPr="002C788A">
        <w:rPr>
          <w:color w:val="000000"/>
          <w:sz w:val="22"/>
          <w:szCs w:val="22"/>
        </w:rPr>
        <w:t>nit</w:t>
      </w:r>
      <w:r>
        <w:rPr>
          <w:color w:val="000000"/>
          <w:sz w:val="22"/>
          <w:szCs w:val="22"/>
        </w:rPr>
        <w:t>s</w:t>
      </w:r>
      <w:r w:rsidRPr="002C788A">
        <w:rPr>
          <w:color w:val="000000"/>
          <w:sz w:val="22"/>
          <w:szCs w:val="22"/>
        </w:rPr>
        <w:t xml:space="preserve"> </w:t>
      </w:r>
      <w:r>
        <w:rPr>
          <w:color w:val="000000"/>
          <w:sz w:val="22"/>
          <w:szCs w:val="22"/>
        </w:rPr>
        <w:t xml:space="preserve">guaranteed to achieve </w:t>
      </w:r>
      <w:r w:rsidRPr="002C788A">
        <w:rPr>
          <w:color w:val="000000"/>
          <w:sz w:val="22"/>
          <w:szCs w:val="22"/>
        </w:rPr>
        <w:t xml:space="preserve">9 </w:t>
      </w:r>
      <w:r>
        <w:rPr>
          <w:color w:val="000000"/>
          <w:sz w:val="22"/>
          <w:szCs w:val="22"/>
        </w:rPr>
        <w:t>ppmvd @15% O</w:t>
      </w:r>
      <w:r w:rsidRPr="00626CA5">
        <w:rPr>
          <w:color w:val="000000"/>
          <w:sz w:val="22"/>
          <w:szCs w:val="22"/>
          <w:vertAlign w:val="subscript"/>
        </w:rPr>
        <w:t>2</w:t>
      </w:r>
      <w:r>
        <w:rPr>
          <w:color w:val="000000"/>
          <w:sz w:val="22"/>
          <w:szCs w:val="22"/>
        </w:rPr>
        <w:t xml:space="preserve"> of NO</w:t>
      </w:r>
      <w:r w:rsidRPr="00A10931">
        <w:rPr>
          <w:color w:val="000000"/>
          <w:sz w:val="22"/>
          <w:szCs w:val="22"/>
          <w:vertAlign w:val="subscript"/>
        </w:rPr>
        <w:t>X</w:t>
      </w:r>
      <w:r w:rsidRPr="002C788A">
        <w:rPr>
          <w:color w:val="000000"/>
          <w:sz w:val="22"/>
          <w:szCs w:val="22"/>
        </w:rPr>
        <w:t xml:space="preserve"> </w:t>
      </w:r>
      <w:r>
        <w:rPr>
          <w:color w:val="000000"/>
          <w:sz w:val="22"/>
          <w:szCs w:val="22"/>
        </w:rPr>
        <w:t xml:space="preserve">were typically </w:t>
      </w:r>
      <w:r>
        <w:rPr>
          <w:color w:val="000000"/>
          <w:sz w:val="22"/>
          <w:szCs w:val="22"/>
        </w:rPr>
        <w:lastRenderedPageBreak/>
        <w:t>guaranteed to 9 ppmvd (uncorrected) of CO which equates to approximately 7.4 ppmvd CO @15% O</w:t>
      </w:r>
      <w:r w:rsidRPr="007B714C">
        <w:rPr>
          <w:color w:val="000000"/>
          <w:sz w:val="22"/>
          <w:szCs w:val="22"/>
          <w:vertAlign w:val="subscript"/>
        </w:rPr>
        <w:t>2</w:t>
      </w:r>
      <w:r>
        <w:rPr>
          <w:color w:val="000000"/>
          <w:sz w:val="22"/>
          <w:szCs w:val="22"/>
        </w:rPr>
        <w:t>.  In the further discussion below use of the term ppmvd implies that the value is not corrected to 15% O</w:t>
      </w:r>
      <w:r w:rsidRPr="00626CA5">
        <w:rPr>
          <w:color w:val="000000"/>
          <w:sz w:val="22"/>
          <w:szCs w:val="22"/>
          <w:vertAlign w:val="subscript"/>
        </w:rPr>
        <w:t>2</w:t>
      </w:r>
      <w:r>
        <w:rPr>
          <w:color w:val="000000"/>
          <w:sz w:val="22"/>
          <w:szCs w:val="22"/>
        </w:rPr>
        <w:t>.</w:t>
      </w:r>
    </w:p>
    <w:p w:rsidR="000E5C22" w:rsidRPr="000E5C22" w:rsidRDefault="00411EBF" w:rsidP="000E5C22">
      <w:pPr>
        <w:spacing w:after="120"/>
        <w:rPr>
          <w:color w:val="000000"/>
        </w:rPr>
      </w:pPr>
      <w:r w:rsidRPr="00596417">
        <w:rPr>
          <w:color w:val="000000"/>
          <w:sz w:val="23"/>
        </w:rPr>
        <w:object w:dxaOrig="7200" w:dyaOrig="5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5pt;height:178.95pt" o:ole="" o:bordertopcolor="this" o:borderleftcolor="this" o:borderbottomcolor="this" o:borderrightcolor="this">
            <v:imagedata r:id="rId27" o:title=""/>
            <w10:bordertop type="single" width="8"/>
            <w10:borderleft type="single" width="8"/>
            <w10:borderbottom type="single" width="8"/>
            <w10:borderright type="single" width="8"/>
          </v:shape>
          <o:OLEObject Type="Embed" ProgID="PowerPoint.Show.8" ShapeID="_x0000_i1025" DrawAspect="Content" ObjectID="_1455008438" r:id="rId28"/>
        </w:object>
      </w:r>
      <w:r>
        <w:rPr>
          <w:color w:val="000000"/>
          <w:sz w:val="23"/>
        </w:rPr>
        <w:t xml:space="preserve"> </w:t>
      </w:r>
      <w:r w:rsidR="00927CE6" w:rsidRPr="008251E2">
        <w:rPr>
          <w:noProof/>
          <w:color w:val="000000"/>
          <w:sz w:val="24"/>
          <w:szCs w:val="24"/>
        </w:rPr>
        <w:drawing>
          <wp:inline distT="0" distB="0" distL="0" distR="0">
            <wp:extent cx="2686050" cy="2266950"/>
            <wp:effectExtent l="19050" t="1905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86050" cy="2266950"/>
                    </a:xfrm>
                    <a:prstGeom prst="rect">
                      <a:avLst/>
                    </a:prstGeom>
                    <a:noFill/>
                    <a:ln w="12700" cmpd="sng">
                      <a:solidFill>
                        <a:srgbClr val="000000"/>
                      </a:solidFill>
                      <a:miter lim="800000"/>
                      <a:headEnd/>
                      <a:tailEnd/>
                    </a:ln>
                    <a:effectLst/>
                  </pic:spPr>
                </pic:pic>
              </a:graphicData>
            </a:graphic>
          </wp:inline>
        </w:drawing>
      </w:r>
    </w:p>
    <w:p w:rsidR="00411EBF" w:rsidRPr="000E5C22" w:rsidRDefault="000E5C22" w:rsidP="000E5C22">
      <w:pPr>
        <w:pStyle w:val="Caption"/>
        <w:tabs>
          <w:tab w:val="left" w:pos="4860"/>
        </w:tabs>
        <w:spacing w:before="0"/>
        <w:rPr>
          <w:rFonts w:ascii="Times New Roman Bold" w:hAnsi="Times New Roman Bold"/>
          <w:caps w:val="0"/>
          <w:color w:val="000000"/>
          <w:szCs w:val="22"/>
        </w:rPr>
      </w:pPr>
      <w:bookmarkStart w:id="15" w:name="_Ref365457657"/>
      <w:r w:rsidRPr="000E5C22">
        <w:rPr>
          <w:caps w:val="0"/>
        </w:rPr>
        <w:t xml:space="preserve">Figure </w:t>
      </w:r>
      <w:r w:rsidRPr="000E5C22">
        <w:rPr>
          <w:caps w:val="0"/>
        </w:rPr>
        <w:fldChar w:fldCharType="begin"/>
      </w:r>
      <w:r w:rsidRPr="000E5C22">
        <w:rPr>
          <w:caps w:val="0"/>
        </w:rPr>
        <w:instrText xml:space="preserve"> SEQ Figure \* ARABIC </w:instrText>
      </w:r>
      <w:r w:rsidRPr="000E5C22">
        <w:rPr>
          <w:caps w:val="0"/>
        </w:rPr>
        <w:fldChar w:fldCharType="separate"/>
      </w:r>
      <w:r w:rsidR="007F3589">
        <w:rPr>
          <w:caps w:val="0"/>
          <w:noProof/>
        </w:rPr>
        <w:t>10</w:t>
      </w:r>
      <w:r w:rsidRPr="000E5C22">
        <w:rPr>
          <w:caps w:val="0"/>
        </w:rPr>
        <w:fldChar w:fldCharType="end"/>
      </w:r>
      <w:bookmarkEnd w:id="15"/>
      <w:r w:rsidRPr="000E5C22">
        <w:rPr>
          <w:caps w:val="0"/>
        </w:rPr>
        <w:t xml:space="preserve">.  </w:t>
      </w:r>
      <w:r w:rsidR="00411EBF" w:rsidRPr="000E5C22">
        <w:rPr>
          <w:rFonts w:ascii="Times New Roman Bold" w:hAnsi="Times New Roman Bold"/>
          <w:caps w:val="0"/>
          <w:color w:val="000000"/>
          <w:szCs w:val="22"/>
        </w:rPr>
        <w:t>DLN-2.6 Fuel Nozzle Arrangement</w:t>
      </w:r>
      <w:r w:rsidRPr="000E5C22">
        <w:rPr>
          <w:rFonts w:ascii="Times New Roman Bold" w:hAnsi="Times New Roman Bold"/>
          <w:caps w:val="0"/>
          <w:color w:val="000000"/>
          <w:szCs w:val="22"/>
        </w:rPr>
        <w:t>.</w:t>
      </w:r>
      <w:r w:rsidR="00411EBF" w:rsidRPr="000E5C22">
        <w:rPr>
          <w:rFonts w:ascii="Times New Roman Bold" w:hAnsi="Times New Roman Bold"/>
          <w:caps w:val="0"/>
          <w:color w:val="000000"/>
          <w:szCs w:val="22"/>
        </w:rPr>
        <w:tab/>
      </w:r>
      <w:bookmarkStart w:id="16" w:name="_Ref365457755"/>
      <w:bookmarkStart w:id="17" w:name="_Ref365458227"/>
      <w:bookmarkStart w:id="18" w:name="_Ref365461169"/>
      <w:bookmarkStart w:id="19" w:name="_Ref365531826"/>
      <w:r w:rsidRPr="000E5C22">
        <w:rPr>
          <w:caps w:val="0"/>
        </w:rPr>
        <w:t xml:space="preserve">Figure </w:t>
      </w:r>
      <w:r w:rsidRPr="000E5C22">
        <w:rPr>
          <w:caps w:val="0"/>
        </w:rPr>
        <w:fldChar w:fldCharType="begin"/>
      </w:r>
      <w:r w:rsidRPr="000E5C22">
        <w:rPr>
          <w:caps w:val="0"/>
        </w:rPr>
        <w:instrText xml:space="preserve"> SEQ Figure \* ARABIC </w:instrText>
      </w:r>
      <w:r w:rsidRPr="000E5C22">
        <w:rPr>
          <w:caps w:val="0"/>
        </w:rPr>
        <w:fldChar w:fldCharType="separate"/>
      </w:r>
      <w:r w:rsidR="007F3589">
        <w:rPr>
          <w:caps w:val="0"/>
          <w:noProof/>
        </w:rPr>
        <w:t>11</w:t>
      </w:r>
      <w:r w:rsidRPr="000E5C22">
        <w:rPr>
          <w:caps w:val="0"/>
        </w:rPr>
        <w:fldChar w:fldCharType="end"/>
      </w:r>
      <w:bookmarkEnd w:id="16"/>
      <w:bookmarkEnd w:id="17"/>
      <w:bookmarkEnd w:id="18"/>
      <w:bookmarkEnd w:id="19"/>
      <w:r w:rsidRPr="000E5C22">
        <w:rPr>
          <w:caps w:val="0"/>
        </w:rPr>
        <w:t xml:space="preserve">.  </w:t>
      </w:r>
      <w:r w:rsidR="00411EBF" w:rsidRPr="000E5C22">
        <w:rPr>
          <w:rFonts w:ascii="Times New Roman Bold" w:hAnsi="Times New Roman Bold"/>
          <w:caps w:val="0"/>
          <w:color w:val="000000"/>
          <w:szCs w:val="22"/>
        </w:rPr>
        <w:t>Design Characteristics for DLN-2.6</w:t>
      </w:r>
      <w:r w:rsidRPr="000E5C22">
        <w:rPr>
          <w:rFonts w:ascii="Times New Roman Bold" w:hAnsi="Times New Roman Bold"/>
          <w:caps w:val="0"/>
          <w:color w:val="000000"/>
          <w:szCs w:val="22"/>
        </w:rPr>
        <w:t>.</w:t>
      </w:r>
    </w:p>
    <w:p w:rsidR="00411EBF" w:rsidRDefault="00760DA7" w:rsidP="00743A85">
      <w:pPr>
        <w:spacing w:after="120"/>
        <w:rPr>
          <w:color w:val="000000"/>
          <w:sz w:val="22"/>
          <w:szCs w:val="22"/>
        </w:rPr>
      </w:pPr>
      <w:r w:rsidRPr="00CC27AE">
        <w:rPr>
          <w:b/>
          <w:color w:val="000000"/>
          <w:sz w:val="22"/>
          <w:szCs w:val="22"/>
        </w:rPr>
        <w:fldChar w:fldCharType="begin"/>
      </w:r>
      <w:r w:rsidRPr="00CC27AE">
        <w:rPr>
          <w:b/>
          <w:color w:val="000000"/>
          <w:sz w:val="22"/>
          <w:szCs w:val="22"/>
        </w:rPr>
        <w:instrText xml:space="preserve"> REF _Ref365457932 \h  \* MERGEFORMAT </w:instrText>
      </w:r>
      <w:r w:rsidRPr="00CC27AE">
        <w:rPr>
          <w:b/>
          <w:color w:val="000000"/>
          <w:sz w:val="22"/>
          <w:szCs w:val="22"/>
        </w:rPr>
      </w:r>
      <w:r w:rsidRPr="00CC27AE">
        <w:rPr>
          <w:b/>
          <w:color w:val="000000"/>
          <w:sz w:val="22"/>
          <w:szCs w:val="22"/>
        </w:rPr>
        <w:fldChar w:fldCharType="separate"/>
      </w:r>
      <w:r w:rsidR="007F3589" w:rsidRPr="007F3589">
        <w:rPr>
          <w:b/>
          <w:sz w:val="22"/>
          <w:szCs w:val="22"/>
        </w:rPr>
        <w:t xml:space="preserve">Figure </w:t>
      </w:r>
      <w:r w:rsidR="007F3589" w:rsidRPr="007F3589">
        <w:rPr>
          <w:b/>
          <w:noProof/>
          <w:sz w:val="22"/>
          <w:szCs w:val="22"/>
        </w:rPr>
        <w:t>12</w:t>
      </w:r>
      <w:r w:rsidRPr="00CC27AE">
        <w:rPr>
          <w:b/>
          <w:color w:val="000000"/>
          <w:sz w:val="22"/>
          <w:szCs w:val="22"/>
        </w:rPr>
        <w:fldChar w:fldCharType="end"/>
      </w:r>
      <w:r w:rsidRPr="00760DA7">
        <w:rPr>
          <w:color w:val="000000"/>
          <w:sz w:val="22"/>
          <w:szCs w:val="22"/>
        </w:rPr>
        <w:t xml:space="preserve"> </w:t>
      </w:r>
      <w:r w:rsidR="00411EBF">
        <w:rPr>
          <w:color w:val="000000"/>
          <w:sz w:val="22"/>
          <w:szCs w:val="22"/>
        </w:rPr>
        <w:t>below i</w:t>
      </w:r>
      <w:r w:rsidR="00411EBF" w:rsidRPr="002C788A">
        <w:rPr>
          <w:color w:val="000000"/>
          <w:sz w:val="22"/>
          <w:szCs w:val="22"/>
        </w:rPr>
        <w:t>s from a GE publication and is a plot of NO</w:t>
      </w:r>
      <w:r w:rsidR="00411EBF" w:rsidRPr="002C788A">
        <w:rPr>
          <w:color w:val="000000"/>
          <w:sz w:val="22"/>
          <w:szCs w:val="22"/>
          <w:vertAlign w:val="subscript"/>
        </w:rPr>
        <w:t>X</w:t>
      </w:r>
      <w:r w:rsidR="00411EBF" w:rsidRPr="002C788A">
        <w:rPr>
          <w:color w:val="000000"/>
          <w:sz w:val="22"/>
          <w:szCs w:val="22"/>
        </w:rPr>
        <w:t xml:space="preserve"> data from actual </w:t>
      </w:r>
      <w:r w:rsidR="00411EBF">
        <w:rPr>
          <w:color w:val="000000"/>
          <w:sz w:val="22"/>
          <w:szCs w:val="22"/>
        </w:rPr>
        <w:t xml:space="preserve">GE 7FA.03 combustion turbines (or earlier models) </w:t>
      </w:r>
      <w:r w:rsidR="00411EBF" w:rsidRPr="002C788A">
        <w:rPr>
          <w:color w:val="000000"/>
          <w:sz w:val="22"/>
          <w:szCs w:val="22"/>
        </w:rPr>
        <w:t>or possibly a test facility.</w:t>
      </w:r>
      <w:r w:rsidR="00411EBF">
        <w:rPr>
          <w:color w:val="000000"/>
          <w:sz w:val="22"/>
          <w:szCs w:val="22"/>
        </w:rPr>
        <w:t xml:space="preserve">  Actual NO</w:t>
      </w:r>
      <w:r w:rsidR="00411EBF" w:rsidRPr="004A4C76">
        <w:rPr>
          <w:color w:val="000000"/>
          <w:sz w:val="22"/>
          <w:szCs w:val="22"/>
          <w:vertAlign w:val="subscript"/>
        </w:rPr>
        <w:t>X</w:t>
      </w:r>
      <w:r w:rsidR="00411EBF">
        <w:rPr>
          <w:color w:val="000000"/>
          <w:sz w:val="22"/>
          <w:szCs w:val="22"/>
        </w:rPr>
        <w:t xml:space="preserve"> emissions are less than the design values.  The Department has reviewed numerous reports and low load operation data from GE 7FA.03 units (or earlier 7FA models) in Florida and confirms the accuracy of</w:t>
      </w:r>
      <w:r w:rsidR="00D65CE5">
        <w:rPr>
          <w:color w:val="000000"/>
          <w:sz w:val="22"/>
          <w:szCs w:val="22"/>
        </w:rPr>
        <w:t xml:space="preserve"> </w:t>
      </w:r>
      <w:r w:rsidR="00D65CE5" w:rsidRPr="00CC27AE">
        <w:rPr>
          <w:b/>
          <w:color w:val="000000"/>
          <w:sz w:val="22"/>
          <w:szCs w:val="22"/>
        </w:rPr>
        <w:fldChar w:fldCharType="begin"/>
      </w:r>
      <w:r w:rsidR="00D65CE5" w:rsidRPr="00CC27AE">
        <w:rPr>
          <w:b/>
          <w:color w:val="000000"/>
          <w:sz w:val="22"/>
          <w:szCs w:val="22"/>
        </w:rPr>
        <w:instrText xml:space="preserve"> REF _Ref365457932 \h  \* MERGEFORMAT </w:instrText>
      </w:r>
      <w:r w:rsidR="00D65CE5" w:rsidRPr="00CC27AE">
        <w:rPr>
          <w:b/>
          <w:color w:val="000000"/>
          <w:sz w:val="22"/>
          <w:szCs w:val="22"/>
        </w:rPr>
      </w:r>
      <w:r w:rsidR="00D65CE5" w:rsidRPr="00CC27AE">
        <w:rPr>
          <w:b/>
          <w:color w:val="000000"/>
          <w:sz w:val="22"/>
          <w:szCs w:val="22"/>
        </w:rPr>
        <w:fldChar w:fldCharType="separate"/>
      </w:r>
      <w:r w:rsidR="007F3589" w:rsidRPr="007F3589">
        <w:rPr>
          <w:b/>
          <w:sz w:val="22"/>
        </w:rPr>
        <w:t xml:space="preserve">Figure </w:t>
      </w:r>
      <w:r w:rsidR="007F3589" w:rsidRPr="007F3589">
        <w:rPr>
          <w:b/>
          <w:noProof/>
          <w:sz w:val="22"/>
        </w:rPr>
        <w:t>12</w:t>
      </w:r>
      <w:r w:rsidR="00D65CE5" w:rsidRPr="00CC27AE">
        <w:rPr>
          <w:b/>
          <w:color w:val="000000"/>
          <w:sz w:val="22"/>
          <w:szCs w:val="22"/>
        </w:rPr>
        <w:fldChar w:fldCharType="end"/>
      </w:r>
      <w:r w:rsidR="00411EBF">
        <w:rPr>
          <w:color w:val="000000"/>
          <w:sz w:val="22"/>
          <w:szCs w:val="22"/>
        </w:rPr>
        <w:t>.  Also a</w:t>
      </w:r>
      <w:r w:rsidR="00411EBF" w:rsidRPr="002C788A">
        <w:rPr>
          <w:color w:val="000000"/>
          <w:sz w:val="22"/>
          <w:szCs w:val="22"/>
        </w:rPr>
        <w:t xml:space="preserve">ctual emissions of CO </w:t>
      </w:r>
      <w:r w:rsidR="00411EBF">
        <w:rPr>
          <w:color w:val="000000"/>
          <w:sz w:val="22"/>
          <w:szCs w:val="22"/>
        </w:rPr>
        <w:t xml:space="preserve">at loads greater than 50% of full load </w:t>
      </w:r>
      <w:r w:rsidR="00411EBF" w:rsidRPr="002C788A">
        <w:rPr>
          <w:color w:val="000000"/>
          <w:sz w:val="22"/>
          <w:szCs w:val="22"/>
        </w:rPr>
        <w:t xml:space="preserve">have proven to be less than suggested by </w:t>
      </w:r>
      <w:r w:rsidR="00D65CE5" w:rsidRPr="00D65CE5">
        <w:rPr>
          <w:color w:val="000000"/>
          <w:sz w:val="22"/>
          <w:szCs w:val="22"/>
        </w:rPr>
        <w:fldChar w:fldCharType="begin"/>
      </w:r>
      <w:r w:rsidR="00D65CE5" w:rsidRPr="00D65CE5">
        <w:rPr>
          <w:color w:val="000000"/>
          <w:sz w:val="22"/>
          <w:szCs w:val="22"/>
        </w:rPr>
        <w:instrText xml:space="preserve"> REF _Ref365531826 \h </w:instrText>
      </w:r>
      <w:r w:rsidR="00D65CE5">
        <w:rPr>
          <w:color w:val="000000"/>
          <w:sz w:val="22"/>
          <w:szCs w:val="22"/>
        </w:rPr>
        <w:instrText xml:space="preserve"> \* MERGEFORMAT </w:instrText>
      </w:r>
      <w:r w:rsidR="00D65CE5" w:rsidRPr="00D65CE5">
        <w:rPr>
          <w:color w:val="000000"/>
          <w:sz w:val="22"/>
          <w:szCs w:val="22"/>
        </w:rPr>
      </w:r>
      <w:r w:rsidR="00D65CE5" w:rsidRPr="00D65CE5">
        <w:rPr>
          <w:color w:val="000000"/>
          <w:sz w:val="22"/>
          <w:szCs w:val="22"/>
        </w:rPr>
        <w:fldChar w:fldCharType="separate"/>
      </w:r>
      <w:r w:rsidR="007F3589" w:rsidRPr="007F3589">
        <w:rPr>
          <w:sz w:val="22"/>
        </w:rPr>
        <w:t xml:space="preserve">Figure </w:t>
      </w:r>
      <w:r w:rsidR="007F3589" w:rsidRPr="007F3589">
        <w:rPr>
          <w:noProof/>
          <w:sz w:val="22"/>
        </w:rPr>
        <w:t>11</w:t>
      </w:r>
      <w:r w:rsidR="00D65CE5" w:rsidRPr="00D65CE5">
        <w:rPr>
          <w:color w:val="000000"/>
          <w:sz w:val="22"/>
          <w:szCs w:val="22"/>
        </w:rPr>
        <w:fldChar w:fldCharType="end"/>
      </w:r>
      <w:r w:rsidR="00411EBF">
        <w:rPr>
          <w:color w:val="000000"/>
          <w:sz w:val="22"/>
          <w:szCs w:val="22"/>
        </w:rPr>
        <w:t xml:space="preserve"> above and more like the behavior shown in </w:t>
      </w:r>
      <w:r w:rsidRPr="00CC27AE">
        <w:rPr>
          <w:b/>
          <w:color w:val="000000"/>
          <w:sz w:val="22"/>
          <w:szCs w:val="22"/>
        </w:rPr>
        <w:fldChar w:fldCharType="begin"/>
      </w:r>
      <w:r w:rsidRPr="00CC27AE">
        <w:rPr>
          <w:b/>
          <w:color w:val="000000"/>
          <w:sz w:val="22"/>
          <w:szCs w:val="22"/>
        </w:rPr>
        <w:instrText xml:space="preserve"> REF _Ref365457950 \h  \* MERGEFORMAT </w:instrText>
      </w:r>
      <w:r w:rsidRPr="00CC27AE">
        <w:rPr>
          <w:b/>
          <w:color w:val="000000"/>
          <w:sz w:val="22"/>
          <w:szCs w:val="22"/>
        </w:rPr>
      </w:r>
      <w:r w:rsidRPr="00CC27AE">
        <w:rPr>
          <w:b/>
          <w:color w:val="000000"/>
          <w:sz w:val="22"/>
          <w:szCs w:val="22"/>
        </w:rPr>
        <w:fldChar w:fldCharType="separate"/>
      </w:r>
      <w:r w:rsidR="007F3589" w:rsidRPr="007F3589">
        <w:rPr>
          <w:b/>
          <w:sz w:val="22"/>
          <w:szCs w:val="22"/>
        </w:rPr>
        <w:t xml:space="preserve">Figure </w:t>
      </w:r>
      <w:r w:rsidR="007F3589" w:rsidRPr="007F3589">
        <w:rPr>
          <w:b/>
          <w:noProof/>
          <w:sz w:val="22"/>
          <w:szCs w:val="22"/>
        </w:rPr>
        <w:t>13</w:t>
      </w:r>
      <w:r w:rsidRPr="00CC27AE">
        <w:rPr>
          <w:b/>
          <w:color w:val="000000"/>
          <w:sz w:val="22"/>
          <w:szCs w:val="22"/>
        </w:rPr>
        <w:fldChar w:fldCharType="end"/>
      </w:r>
      <w:r w:rsidRPr="00760DA7">
        <w:rPr>
          <w:color w:val="000000"/>
          <w:sz w:val="22"/>
          <w:szCs w:val="22"/>
        </w:rPr>
        <w:t xml:space="preserve"> </w:t>
      </w:r>
      <w:r w:rsidR="00411EBF">
        <w:rPr>
          <w:color w:val="000000"/>
          <w:sz w:val="22"/>
          <w:szCs w:val="22"/>
        </w:rPr>
        <w:t>below</w:t>
      </w:r>
      <w:r w:rsidR="00411EBF" w:rsidRPr="002C788A">
        <w:rPr>
          <w:color w:val="000000"/>
          <w:sz w:val="22"/>
          <w:szCs w:val="22"/>
        </w:rPr>
        <w:t>.</w:t>
      </w:r>
    </w:p>
    <w:p w:rsidR="00CC27AE" w:rsidRPr="002C788A" w:rsidRDefault="00CC27AE" w:rsidP="00743A85">
      <w:pPr>
        <w:spacing w:after="120"/>
        <w:rPr>
          <w:color w:val="000000"/>
          <w:sz w:val="22"/>
          <w:szCs w:val="22"/>
        </w:rPr>
      </w:pPr>
      <w:r w:rsidRPr="00CC27AE">
        <w:rPr>
          <w:b/>
          <w:sz w:val="22"/>
          <w:szCs w:val="22"/>
        </w:rPr>
        <w:fldChar w:fldCharType="begin"/>
      </w:r>
      <w:r w:rsidRPr="00CC27AE">
        <w:rPr>
          <w:b/>
          <w:sz w:val="22"/>
          <w:szCs w:val="22"/>
        </w:rPr>
        <w:instrText xml:space="preserve"> REF _Ref365458060 \h  \* MERGEFORMAT </w:instrText>
      </w:r>
      <w:r w:rsidRPr="00CC27AE">
        <w:rPr>
          <w:b/>
          <w:sz w:val="22"/>
          <w:szCs w:val="22"/>
        </w:rPr>
      </w:r>
      <w:r w:rsidRPr="00CC27AE">
        <w:rPr>
          <w:b/>
          <w:sz w:val="22"/>
          <w:szCs w:val="22"/>
        </w:rPr>
        <w:fldChar w:fldCharType="separate"/>
      </w:r>
      <w:r w:rsidR="007F3589" w:rsidRPr="007F3589">
        <w:rPr>
          <w:b/>
          <w:sz w:val="22"/>
          <w:szCs w:val="22"/>
        </w:rPr>
        <w:t xml:space="preserve">Table </w:t>
      </w:r>
      <w:r w:rsidR="007F3589" w:rsidRPr="007F3589">
        <w:rPr>
          <w:b/>
          <w:noProof/>
          <w:sz w:val="22"/>
          <w:szCs w:val="22"/>
        </w:rPr>
        <w:t>6</w:t>
      </w:r>
      <w:r w:rsidRPr="00CC27AE">
        <w:rPr>
          <w:b/>
          <w:sz w:val="22"/>
          <w:szCs w:val="22"/>
        </w:rPr>
        <w:fldChar w:fldCharType="end"/>
      </w:r>
      <w:r w:rsidRPr="00760DA7">
        <w:rPr>
          <w:sz w:val="22"/>
          <w:szCs w:val="22"/>
        </w:rPr>
        <w:t xml:space="preserve"> </w:t>
      </w:r>
      <w:r>
        <w:rPr>
          <w:sz w:val="22"/>
          <w:szCs w:val="22"/>
        </w:rPr>
        <w:t xml:space="preserve">below summarizes </w:t>
      </w:r>
      <w:r w:rsidRPr="002C788A">
        <w:rPr>
          <w:sz w:val="22"/>
          <w:szCs w:val="22"/>
        </w:rPr>
        <w:t xml:space="preserve">the results of the new and clean tests conducted on </w:t>
      </w:r>
      <w:r>
        <w:rPr>
          <w:sz w:val="22"/>
          <w:szCs w:val="22"/>
        </w:rPr>
        <w:t xml:space="preserve">a </w:t>
      </w:r>
      <w:r w:rsidRPr="002C788A">
        <w:rPr>
          <w:sz w:val="22"/>
          <w:szCs w:val="22"/>
        </w:rPr>
        <w:t xml:space="preserve">dual-fuel </w:t>
      </w:r>
      <w:r w:rsidRPr="00E75521">
        <w:rPr>
          <w:sz w:val="22"/>
          <w:szCs w:val="22"/>
          <w:u w:val="single"/>
        </w:rPr>
        <w:t>GE 7FA.03</w:t>
      </w:r>
      <w:r>
        <w:rPr>
          <w:sz w:val="22"/>
          <w:szCs w:val="22"/>
        </w:rPr>
        <w:t xml:space="preserve"> CTG with DLN-2.6 combustors </w:t>
      </w:r>
      <w:r w:rsidRPr="002C788A">
        <w:rPr>
          <w:sz w:val="22"/>
          <w:szCs w:val="22"/>
        </w:rPr>
        <w:t xml:space="preserve">operating in </w:t>
      </w:r>
      <w:r w:rsidRPr="007B714C">
        <w:rPr>
          <w:sz w:val="22"/>
          <w:szCs w:val="22"/>
        </w:rPr>
        <w:t>simple</w:t>
      </w:r>
      <w:r w:rsidRPr="002C788A">
        <w:rPr>
          <w:sz w:val="22"/>
          <w:szCs w:val="22"/>
        </w:rPr>
        <w:t xml:space="preserve"> cycle mode and burning natural gas at the </w:t>
      </w:r>
      <w:r>
        <w:rPr>
          <w:sz w:val="22"/>
          <w:szCs w:val="22"/>
        </w:rPr>
        <w:t xml:space="preserve">existing </w:t>
      </w:r>
      <w:r w:rsidRPr="002C788A">
        <w:rPr>
          <w:sz w:val="22"/>
          <w:szCs w:val="22"/>
        </w:rPr>
        <w:t xml:space="preserve">Tampa Electric </w:t>
      </w:r>
      <w:r>
        <w:rPr>
          <w:sz w:val="22"/>
          <w:szCs w:val="22"/>
        </w:rPr>
        <w:t xml:space="preserve">(TECO) </w:t>
      </w:r>
      <w:r w:rsidRPr="002C788A">
        <w:rPr>
          <w:sz w:val="22"/>
          <w:szCs w:val="22"/>
        </w:rPr>
        <w:t>Polk Power Station.</w:t>
      </w:r>
      <w:r w:rsidRPr="002C788A">
        <w:rPr>
          <w:rStyle w:val="FootnoteReference"/>
          <w:szCs w:val="22"/>
        </w:rPr>
        <w:footnoteReference w:id="3"/>
      </w:r>
      <w:r w:rsidRPr="002C788A">
        <w:rPr>
          <w:sz w:val="22"/>
          <w:szCs w:val="22"/>
        </w:rPr>
        <w:t xml:space="preserve">  </w:t>
      </w:r>
      <w:r w:rsidRPr="00283834">
        <w:rPr>
          <w:color w:val="000000"/>
          <w:sz w:val="22"/>
          <w:szCs w:val="22"/>
        </w:rPr>
        <w:t xml:space="preserve">The test results </w:t>
      </w:r>
      <w:r w:rsidRPr="008B4626">
        <w:rPr>
          <w:color w:val="000000"/>
          <w:sz w:val="22"/>
          <w:szCs w:val="22"/>
          <w:u w:val="single"/>
        </w:rPr>
        <w:t>over a range of loads</w:t>
      </w:r>
      <w:r>
        <w:rPr>
          <w:color w:val="000000"/>
          <w:sz w:val="22"/>
          <w:szCs w:val="22"/>
        </w:rPr>
        <w:t xml:space="preserve"> </w:t>
      </w:r>
      <w:r w:rsidRPr="00283834">
        <w:rPr>
          <w:color w:val="000000"/>
          <w:sz w:val="22"/>
          <w:szCs w:val="22"/>
        </w:rPr>
        <w:t xml:space="preserve">confirm </w:t>
      </w:r>
      <w:r>
        <w:rPr>
          <w:color w:val="000000"/>
          <w:sz w:val="22"/>
          <w:szCs w:val="22"/>
        </w:rPr>
        <w:t xml:space="preserve">that </w:t>
      </w:r>
      <w:r w:rsidRPr="00283834">
        <w:rPr>
          <w:color w:val="000000"/>
          <w:sz w:val="22"/>
          <w:szCs w:val="22"/>
        </w:rPr>
        <w:t>NO</w:t>
      </w:r>
      <w:r w:rsidRPr="00283834">
        <w:rPr>
          <w:color w:val="000000"/>
          <w:sz w:val="22"/>
          <w:szCs w:val="22"/>
          <w:vertAlign w:val="subscript"/>
        </w:rPr>
        <w:t>X</w:t>
      </w:r>
      <w:r w:rsidRPr="00283834">
        <w:rPr>
          <w:color w:val="000000"/>
          <w:sz w:val="22"/>
          <w:szCs w:val="22"/>
        </w:rPr>
        <w:t xml:space="preserve">, CO, and VOC emissions </w:t>
      </w:r>
      <w:r>
        <w:rPr>
          <w:color w:val="000000"/>
          <w:sz w:val="22"/>
          <w:szCs w:val="22"/>
        </w:rPr>
        <w:t xml:space="preserve">are, in practice, consistently </w:t>
      </w:r>
      <w:r w:rsidRPr="00283834">
        <w:rPr>
          <w:color w:val="000000"/>
          <w:sz w:val="22"/>
          <w:szCs w:val="22"/>
        </w:rPr>
        <w:t xml:space="preserve">less than the </w:t>
      </w:r>
      <w:r>
        <w:rPr>
          <w:color w:val="000000"/>
          <w:sz w:val="22"/>
          <w:szCs w:val="22"/>
        </w:rPr>
        <w:t xml:space="preserve">design (guarantee) values given in </w:t>
      </w:r>
      <w:r w:rsidRPr="00CC27AE">
        <w:rPr>
          <w:b/>
          <w:color w:val="000000"/>
          <w:sz w:val="22"/>
          <w:szCs w:val="22"/>
        </w:rPr>
        <w:fldChar w:fldCharType="begin"/>
      </w:r>
      <w:r w:rsidRPr="00CC27AE">
        <w:rPr>
          <w:b/>
          <w:color w:val="000000"/>
          <w:sz w:val="22"/>
          <w:szCs w:val="22"/>
        </w:rPr>
        <w:instrText xml:space="preserve"> REF _Ref365458227 \h  \* MERGEFORMAT </w:instrText>
      </w:r>
      <w:r w:rsidRPr="00CC27AE">
        <w:rPr>
          <w:b/>
          <w:color w:val="000000"/>
          <w:sz w:val="22"/>
          <w:szCs w:val="22"/>
        </w:rPr>
      </w:r>
      <w:r w:rsidRPr="00CC27AE">
        <w:rPr>
          <w:b/>
          <w:color w:val="000000"/>
          <w:sz w:val="22"/>
          <w:szCs w:val="22"/>
        </w:rPr>
        <w:fldChar w:fldCharType="separate"/>
      </w:r>
      <w:r w:rsidR="007F3589" w:rsidRPr="007F3589">
        <w:rPr>
          <w:b/>
          <w:sz w:val="22"/>
          <w:szCs w:val="22"/>
        </w:rPr>
        <w:t>Figure</w:t>
      </w:r>
      <w:r w:rsidR="007F3589" w:rsidRPr="007F3589">
        <w:rPr>
          <w:b/>
          <w:caps/>
          <w:sz w:val="22"/>
          <w:szCs w:val="22"/>
        </w:rPr>
        <w:t xml:space="preserve"> </w:t>
      </w:r>
      <w:r w:rsidR="007F3589" w:rsidRPr="007F3589">
        <w:rPr>
          <w:b/>
          <w:caps/>
          <w:noProof/>
          <w:sz w:val="22"/>
          <w:szCs w:val="22"/>
        </w:rPr>
        <w:t>11</w:t>
      </w:r>
      <w:r w:rsidRPr="00CC27AE">
        <w:rPr>
          <w:b/>
          <w:color w:val="000000"/>
          <w:sz w:val="22"/>
          <w:szCs w:val="22"/>
        </w:rPr>
        <w:fldChar w:fldCharType="end"/>
      </w:r>
    </w:p>
    <w:p w:rsidR="00411EBF" w:rsidRPr="00491BE4" w:rsidRDefault="00927CE6" w:rsidP="00DB1142">
      <w:pPr>
        <w:tabs>
          <w:tab w:val="left" w:pos="4500"/>
        </w:tabs>
        <w:spacing w:after="120"/>
        <w:rPr>
          <w:color w:val="000000"/>
          <w:sz w:val="24"/>
          <w:szCs w:val="24"/>
        </w:rPr>
      </w:pPr>
      <w:r w:rsidRPr="00491BE4">
        <w:rPr>
          <w:noProof/>
          <w:color w:val="000000"/>
          <w:sz w:val="24"/>
          <w:szCs w:val="24"/>
        </w:rPr>
        <w:drawing>
          <wp:inline distT="0" distB="0" distL="0" distR="0">
            <wp:extent cx="2997200" cy="2330450"/>
            <wp:effectExtent l="19050" t="19050" r="1270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l="1591"/>
                    <a:stretch>
                      <a:fillRect/>
                    </a:stretch>
                  </pic:blipFill>
                  <pic:spPr bwMode="auto">
                    <a:xfrm>
                      <a:off x="0" y="0"/>
                      <a:ext cx="2997200" cy="2330450"/>
                    </a:xfrm>
                    <a:prstGeom prst="rect">
                      <a:avLst/>
                    </a:prstGeom>
                    <a:noFill/>
                    <a:ln w="12700" cmpd="sng">
                      <a:solidFill>
                        <a:schemeClr val="tx1"/>
                      </a:solidFill>
                      <a:miter lim="800000"/>
                      <a:headEnd/>
                      <a:tailEnd/>
                    </a:ln>
                    <a:effectLst/>
                  </pic:spPr>
                </pic:pic>
              </a:graphicData>
            </a:graphic>
          </wp:inline>
        </w:drawing>
      </w:r>
      <w:r w:rsidR="00411EBF">
        <w:rPr>
          <w:color w:val="000000"/>
          <w:sz w:val="24"/>
          <w:szCs w:val="24"/>
        </w:rPr>
        <w:t xml:space="preserve">  </w:t>
      </w:r>
      <w:r w:rsidRPr="000A7B71">
        <w:rPr>
          <w:noProof/>
          <w:color w:val="000000"/>
          <w:sz w:val="24"/>
          <w:szCs w:val="24"/>
        </w:rPr>
        <w:drawing>
          <wp:inline distT="0" distB="0" distL="0" distR="0">
            <wp:extent cx="2806700" cy="2330450"/>
            <wp:effectExtent l="19050" t="19050" r="12700" b="1270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t="2554" r="3075" b="2991"/>
                    <a:stretch>
                      <a:fillRect/>
                    </a:stretch>
                  </pic:blipFill>
                  <pic:spPr bwMode="auto">
                    <a:xfrm>
                      <a:off x="0" y="0"/>
                      <a:ext cx="2806700" cy="2330450"/>
                    </a:xfrm>
                    <a:prstGeom prst="rect">
                      <a:avLst/>
                    </a:prstGeom>
                    <a:noFill/>
                    <a:ln w="12700" cmpd="sng">
                      <a:solidFill>
                        <a:schemeClr val="bg2"/>
                      </a:solidFill>
                      <a:miter lim="800000"/>
                      <a:headEnd/>
                      <a:tailEnd/>
                    </a:ln>
                    <a:effectLst/>
                  </pic:spPr>
                </pic:pic>
              </a:graphicData>
            </a:graphic>
          </wp:inline>
        </w:drawing>
      </w:r>
    </w:p>
    <w:p w:rsidR="00411EBF" w:rsidRPr="00760DA7" w:rsidRDefault="00760DA7" w:rsidP="00760DA7">
      <w:pPr>
        <w:pStyle w:val="Caption"/>
        <w:tabs>
          <w:tab w:val="left" w:pos="4860"/>
        </w:tabs>
        <w:spacing w:before="0"/>
        <w:rPr>
          <w:caps w:val="0"/>
          <w:color w:val="000000"/>
          <w:szCs w:val="22"/>
        </w:rPr>
      </w:pPr>
      <w:bookmarkStart w:id="20" w:name="_Ref365457932"/>
      <w:r w:rsidRPr="00760DA7">
        <w:rPr>
          <w:caps w:val="0"/>
        </w:rPr>
        <w:t xml:space="preserve">Figure </w:t>
      </w:r>
      <w:r w:rsidRPr="00760DA7">
        <w:rPr>
          <w:caps w:val="0"/>
        </w:rPr>
        <w:fldChar w:fldCharType="begin"/>
      </w:r>
      <w:r w:rsidRPr="00760DA7">
        <w:rPr>
          <w:caps w:val="0"/>
        </w:rPr>
        <w:instrText xml:space="preserve"> SEQ Figure \* ARABIC </w:instrText>
      </w:r>
      <w:r w:rsidRPr="00760DA7">
        <w:rPr>
          <w:caps w:val="0"/>
        </w:rPr>
        <w:fldChar w:fldCharType="separate"/>
      </w:r>
      <w:r w:rsidR="007F3589">
        <w:rPr>
          <w:caps w:val="0"/>
          <w:noProof/>
        </w:rPr>
        <w:t>12</w:t>
      </w:r>
      <w:r w:rsidRPr="00760DA7">
        <w:rPr>
          <w:caps w:val="0"/>
        </w:rPr>
        <w:fldChar w:fldCharType="end"/>
      </w:r>
      <w:bookmarkEnd w:id="20"/>
      <w:r w:rsidRPr="00760DA7">
        <w:rPr>
          <w:caps w:val="0"/>
        </w:rPr>
        <w:t xml:space="preserve">.  </w:t>
      </w:r>
      <w:r w:rsidR="00411EBF" w:rsidRPr="00760DA7">
        <w:rPr>
          <w:caps w:val="0"/>
          <w:color w:val="000000"/>
          <w:szCs w:val="22"/>
        </w:rPr>
        <w:t>NO</w:t>
      </w:r>
      <w:r w:rsidR="00411EBF" w:rsidRPr="00760DA7">
        <w:rPr>
          <w:caps w:val="0"/>
          <w:color w:val="000000"/>
          <w:szCs w:val="22"/>
          <w:vertAlign w:val="subscript"/>
        </w:rPr>
        <w:t>X</w:t>
      </w:r>
      <w:r w:rsidR="00411EBF" w:rsidRPr="00760DA7">
        <w:rPr>
          <w:caps w:val="0"/>
          <w:color w:val="000000"/>
          <w:szCs w:val="22"/>
        </w:rPr>
        <w:t xml:space="preserve"> Performance of DLN-2.6 (GE 7FA.03)</w:t>
      </w:r>
      <w:r w:rsidRPr="00760DA7">
        <w:rPr>
          <w:caps w:val="0"/>
          <w:color w:val="000000"/>
          <w:szCs w:val="22"/>
        </w:rPr>
        <w:t>.</w:t>
      </w:r>
      <w:r w:rsidRPr="00760DA7">
        <w:rPr>
          <w:caps w:val="0"/>
          <w:color w:val="000000"/>
          <w:szCs w:val="22"/>
        </w:rPr>
        <w:tab/>
      </w:r>
      <w:bookmarkStart w:id="21" w:name="_Ref365457950"/>
      <w:r w:rsidRPr="00760DA7">
        <w:rPr>
          <w:caps w:val="0"/>
        </w:rPr>
        <w:t xml:space="preserve">Figure </w:t>
      </w:r>
      <w:r w:rsidRPr="00760DA7">
        <w:rPr>
          <w:caps w:val="0"/>
        </w:rPr>
        <w:fldChar w:fldCharType="begin"/>
      </w:r>
      <w:r w:rsidRPr="00760DA7">
        <w:rPr>
          <w:caps w:val="0"/>
        </w:rPr>
        <w:instrText xml:space="preserve"> SEQ Figure \* ARABIC </w:instrText>
      </w:r>
      <w:r w:rsidRPr="00760DA7">
        <w:rPr>
          <w:caps w:val="0"/>
        </w:rPr>
        <w:fldChar w:fldCharType="separate"/>
      </w:r>
      <w:r w:rsidR="007F3589">
        <w:rPr>
          <w:caps w:val="0"/>
          <w:noProof/>
        </w:rPr>
        <w:t>13</w:t>
      </w:r>
      <w:r w:rsidRPr="00760DA7">
        <w:rPr>
          <w:caps w:val="0"/>
        </w:rPr>
        <w:fldChar w:fldCharType="end"/>
      </w:r>
      <w:bookmarkEnd w:id="21"/>
      <w:r w:rsidRPr="00760DA7">
        <w:rPr>
          <w:caps w:val="0"/>
        </w:rPr>
        <w:t xml:space="preserve">.  </w:t>
      </w:r>
      <w:r w:rsidR="00411EBF" w:rsidRPr="00760DA7">
        <w:rPr>
          <w:caps w:val="0"/>
          <w:color w:val="000000"/>
          <w:szCs w:val="22"/>
        </w:rPr>
        <w:t>CO Performance of DLN-2.6</w:t>
      </w:r>
      <w:r w:rsidRPr="00760DA7">
        <w:rPr>
          <w:caps w:val="0"/>
          <w:color w:val="000000"/>
          <w:szCs w:val="22"/>
        </w:rPr>
        <w:t>.</w:t>
      </w:r>
    </w:p>
    <w:p w:rsidR="00411EBF" w:rsidRPr="00AB7023" w:rsidRDefault="00760DA7" w:rsidP="00AB7023">
      <w:pPr>
        <w:spacing w:after="120"/>
        <w:jc w:val="center"/>
        <w:rPr>
          <w:rFonts w:ascii="Times New Roman Bold" w:hAnsi="Times New Roman Bold"/>
          <w:b/>
          <w:caps/>
          <w:color w:val="000000"/>
          <w:sz w:val="22"/>
          <w:szCs w:val="22"/>
        </w:rPr>
      </w:pPr>
      <w:bookmarkStart w:id="22" w:name="_Ref365458060"/>
      <w:r w:rsidRPr="00AB7023">
        <w:rPr>
          <w:rFonts w:ascii="Times New Roman Bold" w:hAnsi="Times New Roman Bold"/>
          <w:b/>
          <w:caps/>
          <w:sz w:val="22"/>
          <w:szCs w:val="22"/>
        </w:rPr>
        <w:lastRenderedPageBreak/>
        <w:t xml:space="preserve">Table </w:t>
      </w:r>
      <w:r w:rsidRPr="00AB7023">
        <w:rPr>
          <w:rFonts w:ascii="Times New Roman Bold" w:hAnsi="Times New Roman Bold"/>
          <w:b/>
          <w:caps/>
          <w:sz w:val="22"/>
          <w:szCs w:val="22"/>
        </w:rPr>
        <w:fldChar w:fldCharType="begin"/>
      </w:r>
      <w:r w:rsidRPr="00AB7023">
        <w:rPr>
          <w:rFonts w:ascii="Times New Roman Bold" w:hAnsi="Times New Roman Bold"/>
          <w:b/>
          <w:caps/>
          <w:sz w:val="22"/>
          <w:szCs w:val="22"/>
        </w:rPr>
        <w:instrText xml:space="preserve"> SEQ Table \* ARABIC </w:instrText>
      </w:r>
      <w:r w:rsidRPr="00AB7023">
        <w:rPr>
          <w:rFonts w:ascii="Times New Roman Bold" w:hAnsi="Times New Roman Bold"/>
          <w:b/>
          <w:caps/>
          <w:sz w:val="22"/>
          <w:szCs w:val="22"/>
        </w:rPr>
        <w:fldChar w:fldCharType="separate"/>
      </w:r>
      <w:r w:rsidR="007F3589">
        <w:rPr>
          <w:rFonts w:ascii="Times New Roman Bold" w:hAnsi="Times New Roman Bold"/>
          <w:b/>
          <w:caps/>
          <w:noProof/>
          <w:sz w:val="22"/>
          <w:szCs w:val="22"/>
        </w:rPr>
        <w:t>6</w:t>
      </w:r>
      <w:r w:rsidRPr="00AB7023">
        <w:rPr>
          <w:rFonts w:ascii="Times New Roman Bold" w:hAnsi="Times New Roman Bold"/>
          <w:b/>
          <w:caps/>
          <w:sz w:val="22"/>
          <w:szCs w:val="22"/>
        </w:rPr>
        <w:fldChar w:fldCharType="end"/>
      </w:r>
      <w:bookmarkEnd w:id="22"/>
      <w:r w:rsidRPr="00AB7023">
        <w:rPr>
          <w:rFonts w:ascii="Times New Roman Bold" w:hAnsi="Times New Roman Bold"/>
          <w:b/>
          <w:caps/>
          <w:sz w:val="22"/>
          <w:szCs w:val="22"/>
        </w:rPr>
        <w:t xml:space="preserve"> </w:t>
      </w:r>
      <w:r w:rsidR="00411EBF" w:rsidRPr="00AB7023">
        <w:rPr>
          <w:rFonts w:ascii="Times New Roman Bold" w:hAnsi="Times New Roman Bold"/>
          <w:b/>
          <w:bCs/>
          <w:caps/>
          <w:color w:val="000000"/>
          <w:sz w:val="22"/>
          <w:szCs w:val="22"/>
        </w:rPr>
        <w:t>- Performance of DLN-2.6 Combustors on GE 7FA.03, TECO Polk Power Station (</w:t>
      </w:r>
      <w:r w:rsidR="00411EBF" w:rsidRPr="00AB7023">
        <w:rPr>
          <w:rFonts w:ascii="Times New Roman Bold" w:hAnsi="Times New Roman Bold"/>
          <w:b/>
          <w:bCs/>
          <w:color w:val="000000"/>
          <w:sz w:val="22"/>
          <w:szCs w:val="22"/>
        </w:rPr>
        <w:t>ppmvd</w:t>
      </w:r>
      <w:r w:rsidR="00411EBF" w:rsidRPr="00AB7023">
        <w:rPr>
          <w:rFonts w:ascii="Times New Roman Bold" w:hAnsi="Times New Roman Bold"/>
          <w:b/>
          <w:bCs/>
          <w:caps/>
          <w:color w:val="000000"/>
          <w:sz w:val="22"/>
          <w:szCs w:val="22"/>
        </w:rPr>
        <w:t>)</w:t>
      </w:r>
      <w:r w:rsidRPr="00AB7023">
        <w:rPr>
          <w:rFonts w:ascii="Times New Roman Bold" w:hAnsi="Times New Roman Bold"/>
          <w:b/>
          <w:bCs/>
          <w:caps/>
          <w:color w:val="000000"/>
          <w:sz w:val="22"/>
          <w:szCs w:val="22"/>
        </w:rPr>
        <w:t>.</w:t>
      </w:r>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2160"/>
        <w:gridCol w:w="2191"/>
        <w:gridCol w:w="2129"/>
      </w:tblGrid>
      <w:tr w:rsidR="00411EBF" w:rsidRPr="00283834" w:rsidTr="002E7738">
        <w:trPr>
          <w:trHeight w:val="144"/>
          <w:tblHeader/>
        </w:trPr>
        <w:tc>
          <w:tcPr>
            <w:tcW w:w="2587" w:type="dxa"/>
            <w:shd w:val="clear" w:color="auto" w:fill="C6D9F1"/>
            <w:vAlign w:val="center"/>
          </w:tcPr>
          <w:p w:rsidR="00411EBF" w:rsidRPr="00760DA7" w:rsidRDefault="00411EBF" w:rsidP="00760DA7">
            <w:pPr>
              <w:tabs>
                <w:tab w:val="left" w:pos="4680"/>
                <w:tab w:val="left" w:pos="6840"/>
              </w:tabs>
              <w:spacing w:before="20" w:after="20"/>
              <w:jc w:val="center"/>
              <w:rPr>
                <w:b/>
              </w:rPr>
            </w:pPr>
            <w:r w:rsidRPr="00760DA7">
              <w:rPr>
                <w:b/>
              </w:rPr>
              <w:t>Percent of Full Load</w:t>
            </w:r>
          </w:p>
        </w:tc>
        <w:tc>
          <w:tcPr>
            <w:tcW w:w="2160" w:type="dxa"/>
            <w:shd w:val="clear" w:color="auto" w:fill="C6D9F1"/>
            <w:vAlign w:val="center"/>
          </w:tcPr>
          <w:p w:rsidR="00411EBF" w:rsidRPr="00760DA7" w:rsidRDefault="00411EBF" w:rsidP="00760DA7">
            <w:pPr>
              <w:tabs>
                <w:tab w:val="left" w:pos="4680"/>
                <w:tab w:val="left" w:pos="6840"/>
              </w:tabs>
              <w:spacing w:before="20" w:after="20"/>
              <w:jc w:val="center"/>
              <w:rPr>
                <w:b/>
              </w:rPr>
            </w:pPr>
            <w:r w:rsidRPr="00760DA7">
              <w:rPr>
                <w:b/>
              </w:rPr>
              <w:t>NO</w:t>
            </w:r>
            <w:r w:rsidRPr="00760DA7">
              <w:rPr>
                <w:b/>
                <w:vertAlign w:val="subscript"/>
              </w:rPr>
              <w:t>X</w:t>
            </w:r>
            <w:r w:rsidRPr="00760DA7">
              <w:rPr>
                <w:b/>
              </w:rPr>
              <w:t xml:space="preserve"> (@15% O</w:t>
            </w:r>
            <w:r w:rsidRPr="00760DA7">
              <w:rPr>
                <w:b/>
                <w:vertAlign w:val="subscript"/>
              </w:rPr>
              <w:t>2</w:t>
            </w:r>
            <w:r w:rsidRPr="00760DA7">
              <w:rPr>
                <w:b/>
              </w:rPr>
              <w:t>)</w:t>
            </w:r>
          </w:p>
        </w:tc>
        <w:tc>
          <w:tcPr>
            <w:tcW w:w="2191" w:type="dxa"/>
            <w:shd w:val="clear" w:color="auto" w:fill="C6D9F1"/>
            <w:vAlign w:val="center"/>
          </w:tcPr>
          <w:p w:rsidR="00411EBF" w:rsidRPr="00760DA7" w:rsidRDefault="00411EBF" w:rsidP="00760DA7">
            <w:pPr>
              <w:tabs>
                <w:tab w:val="left" w:pos="4680"/>
                <w:tab w:val="left" w:pos="6840"/>
              </w:tabs>
              <w:spacing w:before="20" w:after="20"/>
              <w:jc w:val="center"/>
              <w:rPr>
                <w:b/>
              </w:rPr>
            </w:pPr>
            <w:r w:rsidRPr="00760DA7">
              <w:rPr>
                <w:b/>
              </w:rPr>
              <w:t>CO</w:t>
            </w:r>
          </w:p>
        </w:tc>
        <w:tc>
          <w:tcPr>
            <w:tcW w:w="2129" w:type="dxa"/>
            <w:shd w:val="clear" w:color="auto" w:fill="C6D9F1"/>
            <w:vAlign w:val="center"/>
          </w:tcPr>
          <w:p w:rsidR="00411EBF" w:rsidRPr="00760DA7" w:rsidRDefault="00411EBF" w:rsidP="00760DA7">
            <w:pPr>
              <w:tabs>
                <w:tab w:val="left" w:pos="4680"/>
                <w:tab w:val="left" w:pos="6840"/>
              </w:tabs>
              <w:spacing w:before="20" w:after="20"/>
              <w:jc w:val="center"/>
              <w:rPr>
                <w:b/>
              </w:rPr>
            </w:pPr>
            <w:r w:rsidRPr="00760DA7">
              <w:rPr>
                <w:b/>
              </w:rPr>
              <w:t>VOC</w:t>
            </w:r>
          </w:p>
        </w:tc>
      </w:tr>
      <w:tr w:rsidR="00411EBF" w:rsidRPr="00283834" w:rsidTr="002E7738">
        <w:trPr>
          <w:trHeight w:val="144"/>
        </w:trPr>
        <w:tc>
          <w:tcPr>
            <w:tcW w:w="2587" w:type="dxa"/>
          </w:tcPr>
          <w:p w:rsidR="00411EBF" w:rsidRPr="00760DA7" w:rsidRDefault="00411EBF" w:rsidP="00760DA7">
            <w:pPr>
              <w:tabs>
                <w:tab w:val="left" w:pos="4680"/>
                <w:tab w:val="left" w:pos="6840"/>
              </w:tabs>
              <w:spacing w:before="20" w:after="20"/>
              <w:jc w:val="center"/>
            </w:pPr>
            <w:r w:rsidRPr="00760DA7">
              <w:t>50</w:t>
            </w:r>
          </w:p>
        </w:tc>
        <w:tc>
          <w:tcPr>
            <w:tcW w:w="2160" w:type="dxa"/>
          </w:tcPr>
          <w:p w:rsidR="00411EBF" w:rsidRPr="00760DA7" w:rsidRDefault="00411EBF" w:rsidP="00760DA7">
            <w:pPr>
              <w:tabs>
                <w:tab w:val="left" w:pos="4680"/>
                <w:tab w:val="left" w:pos="6840"/>
              </w:tabs>
              <w:spacing w:before="20" w:after="20"/>
              <w:jc w:val="center"/>
            </w:pPr>
            <w:r w:rsidRPr="00760DA7">
              <w:t>5.3</w:t>
            </w:r>
          </w:p>
        </w:tc>
        <w:tc>
          <w:tcPr>
            <w:tcW w:w="2191" w:type="dxa"/>
          </w:tcPr>
          <w:p w:rsidR="00411EBF" w:rsidRPr="00760DA7" w:rsidRDefault="00411EBF" w:rsidP="00760DA7">
            <w:pPr>
              <w:tabs>
                <w:tab w:val="left" w:pos="4680"/>
                <w:tab w:val="left" w:pos="6840"/>
              </w:tabs>
              <w:spacing w:before="20" w:after="20"/>
              <w:jc w:val="center"/>
            </w:pPr>
            <w:r w:rsidRPr="00760DA7">
              <w:t>1.6</w:t>
            </w:r>
          </w:p>
        </w:tc>
        <w:tc>
          <w:tcPr>
            <w:tcW w:w="2129" w:type="dxa"/>
          </w:tcPr>
          <w:p w:rsidR="00411EBF" w:rsidRPr="00760DA7" w:rsidRDefault="00411EBF" w:rsidP="00760DA7">
            <w:pPr>
              <w:tabs>
                <w:tab w:val="left" w:pos="4680"/>
                <w:tab w:val="left" w:pos="6840"/>
              </w:tabs>
              <w:spacing w:before="20" w:after="20"/>
              <w:jc w:val="center"/>
            </w:pPr>
            <w:r w:rsidRPr="00760DA7">
              <w:t>0.5</w:t>
            </w:r>
          </w:p>
        </w:tc>
      </w:tr>
      <w:tr w:rsidR="00411EBF" w:rsidRPr="00283834" w:rsidTr="002E7738">
        <w:trPr>
          <w:trHeight w:val="144"/>
        </w:trPr>
        <w:tc>
          <w:tcPr>
            <w:tcW w:w="2587" w:type="dxa"/>
          </w:tcPr>
          <w:p w:rsidR="00411EBF" w:rsidRPr="00760DA7" w:rsidRDefault="00411EBF" w:rsidP="00760DA7">
            <w:pPr>
              <w:tabs>
                <w:tab w:val="left" w:pos="4680"/>
                <w:tab w:val="left" w:pos="6840"/>
              </w:tabs>
              <w:spacing w:before="20" w:after="20"/>
              <w:jc w:val="center"/>
            </w:pPr>
            <w:r w:rsidRPr="00760DA7">
              <w:t>70</w:t>
            </w:r>
          </w:p>
        </w:tc>
        <w:tc>
          <w:tcPr>
            <w:tcW w:w="2160" w:type="dxa"/>
          </w:tcPr>
          <w:p w:rsidR="00411EBF" w:rsidRPr="00760DA7" w:rsidRDefault="00411EBF" w:rsidP="00760DA7">
            <w:pPr>
              <w:tabs>
                <w:tab w:val="left" w:pos="4680"/>
                <w:tab w:val="left" w:pos="6840"/>
              </w:tabs>
              <w:spacing w:before="20" w:after="20"/>
              <w:jc w:val="center"/>
            </w:pPr>
            <w:r w:rsidRPr="00760DA7">
              <w:t>6.3</w:t>
            </w:r>
          </w:p>
        </w:tc>
        <w:tc>
          <w:tcPr>
            <w:tcW w:w="2191" w:type="dxa"/>
          </w:tcPr>
          <w:p w:rsidR="00411EBF" w:rsidRPr="00760DA7" w:rsidRDefault="00411EBF" w:rsidP="00760DA7">
            <w:pPr>
              <w:tabs>
                <w:tab w:val="left" w:pos="4680"/>
                <w:tab w:val="left" w:pos="6840"/>
              </w:tabs>
              <w:spacing w:before="20" w:after="20"/>
              <w:jc w:val="center"/>
            </w:pPr>
            <w:r w:rsidRPr="00760DA7">
              <w:t>0.5</w:t>
            </w:r>
          </w:p>
        </w:tc>
        <w:tc>
          <w:tcPr>
            <w:tcW w:w="2129" w:type="dxa"/>
          </w:tcPr>
          <w:p w:rsidR="00411EBF" w:rsidRPr="00760DA7" w:rsidRDefault="00411EBF" w:rsidP="00760DA7">
            <w:pPr>
              <w:tabs>
                <w:tab w:val="left" w:pos="4680"/>
                <w:tab w:val="left" w:pos="6840"/>
              </w:tabs>
              <w:spacing w:before="20" w:after="20"/>
              <w:jc w:val="center"/>
            </w:pPr>
            <w:r w:rsidRPr="00760DA7">
              <w:t>0.4</w:t>
            </w:r>
          </w:p>
        </w:tc>
      </w:tr>
      <w:tr w:rsidR="00411EBF" w:rsidRPr="00283834" w:rsidTr="002E7738">
        <w:trPr>
          <w:trHeight w:val="144"/>
        </w:trPr>
        <w:tc>
          <w:tcPr>
            <w:tcW w:w="2587" w:type="dxa"/>
          </w:tcPr>
          <w:p w:rsidR="00411EBF" w:rsidRPr="00760DA7" w:rsidRDefault="00411EBF" w:rsidP="00760DA7">
            <w:pPr>
              <w:tabs>
                <w:tab w:val="left" w:pos="4680"/>
                <w:tab w:val="left" w:pos="6840"/>
              </w:tabs>
              <w:spacing w:before="20" w:after="20"/>
              <w:jc w:val="center"/>
            </w:pPr>
            <w:r w:rsidRPr="00760DA7">
              <w:t>85</w:t>
            </w:r>
          </w:p>
        </w:tc>
        <w:tc>
          <w:tcPr>
            <w:tcW w:w="2160" w:type="dxa"/>
          </w:tcPr>
          <w:p w:rsidR="00411EBF" w:rsidRPr="00760DA7" w:rsidRDefault="00411EBF" w:rsidP="00760DA7">
            <w:pPr>
              <w:tabs>
                <w:tab w:val="left" w:pos="4680"/>
                <w:tab w:val="left" w:pos="6840"/>
              </w:tabs>
              <w:spacing w:before="20" w:after="20"/>
              <w:jc w:val="center"/>
            </w:pPr>
            <w:r w:rsidRPr="00760DA7">
              <w:t>6.2</w:t>
            </w:r>
          </w:p>
        </w:tc>
        <w:tc>
          <w:tcPr>
            <w:tcW w:w="2191" w:type="dxa"/>
          </w:tcPr>
          <w:p w:rsidR="00411EBF" w:rsidRPr="00760DA7" w:rsidRDefault="00411EBF" w:rsidP="00760DA7">
            <w:pPr>
              <w:tabs>
                <w:tab w:val="left" w:pos="4680"/>
                <w:tab w:val="left" w:pos="6840"/>
              </w:tabs>
              <w:spacing w:before="20" w:after="20"/>
              <w:jc w:val="center"/>
            </w:pPr>
            <w:r w:rsidRPr="00760DA7">
              <w:t>0.4</w:t>
            </w:r>
          </w:p>
        </w:tc>
        <w:tc>
          <w:tcPr>
            <w:tcW w:w="2129" w:type="dxa"/>
          </w:tcPr>
          <w:p w:rsidR="00411EBF" w:rsidRPr="00760DA7" w:rsidRDefault="00411EBF" w:rsidP="00760DA7">
            <w:pPr>
              <w:tabs>
                <w:tab w:val="left" w:pos="4680"/>
                <w:tab w:val="left" w:pos="6840"/>
              </w:tabs>
              <w:spacing w:before="20" w:after="20"/>
              <w:jc w:val="center"/>
            </w:pPr>
            <w:r w:rsidRPr="00760DA7">
              <w:t>0.2</w:t>
            </w:r>
          </w:p>
        </w:tc>
      </w:tr>
      <w:tr w:rsidR="00411EBF" w:rsidRPr="00283834" w:rsidTr="002E7738">
        <w:trPr>
          <w:trHeight w:val="144"/>
        </w:trPr>
        <w:tc>
          <w:tcPr>
            <w:tcW w:w="2587" w:type="dxa"/>
          </w:tcPr>
          <w:p w:rsidR="00411EBF" w:rsidRPr="00760DA7" w:rsidRDefault="00411EBF" w:rsidP="00760DA7">
            <w:pPr>
              <w:tabs>
                <w:tab w:val="left" w:pos="4680"/>
                <w:tab w:val="left" w:pos="6840"/>
              </w:tabs>
              <w:spacing w:before="20" w:after="20"/>
              <w:jc w:val="center"/>
            </w:pPr>
            <w:r w:rsidRPr="00760DA7">
              <w:t>100</w:t>
            </w:r>
          </w:p>
        </w:tc>
        <w:tc>
          <w:tcPr>
            <w:tcW w:w="2160" w:type="dxa"/>
          </w:tcPr>
          <w:p w:rsidR="00411EBF" w:rsidRPr="00760DA7" w:rsidRDefault="00411EBF" w:rsidP="00760DA7">
            <w:pPr>
              <w:tabs>
                <w:tab w:val="left" w:pos="4680"/>
                <w:tab w:val="left" w:pos="6840"/>
              </w:tabs>
              <w:spacing w:before="20" w:after="20"/>
              <w:jc w:val="center"/>
            </w:pPr>
            <w:r w:rsidRPr="00760DA7">
              <w:t>7.6</w:t>
            </w:r>
          </w:p>
        </w:tc>
        <w:tc>
          <w:tcPr>
            <w:tcW w:w="2191" w:type="dxa"/>
          </w:tcPr>
          <w:p w:rsidR="00411EBF" w:rsidRPr="00760DA7" w:rsidRDefault="00411EBF" w:rsidP="00760DA7">
            <w:pPr>
              <w:tabs>
                <w:tab w:val="left" w:pos="4680"/>
                <w:tab w:val="left" w:pos="6840"/>
              </w:tabs>
              <w:spacing w:before="20" w:after="20"/>
              <w:jc w:val="center"/>
            </w:pPr>
            <w:r w:rsidRPr="00760DA7">
              <w:t>0.3</w:t>
            </w:r>
          </w:p>
        </w:tc>
        <w:tc>
          <w:tcPr>
            <w:tcW w:w="2129" w:type="dxa"/>
          </w:tcPr>
          <w:p w:rsidR="00411EBF" w:rsidRPr="00760DA7" w:rsidRDefault="00411EBF" w:rsidP="00760DA7">
            <w:pPr>
              <w:tabs>
                <w:tab w:val="left" w:pos="4680"/>
                <w:tab w:val="left" w:pos="6840"/>
              </w:tabs>
              <w:spacing w:before="20" w:after="20"/>
              <w:jc w:val="center"/>
            </w:pPr>
            <w:r w:rsidRPr="00760DA7">
              <w:t>0.1</w:t>
            </w:r>
          </w:p>
        </w:tc>
      </w:tr>
    </w:tbl>
    <w:p w:rsidR="00411EBF" w:rsidRPr="00857036" w:rsidRDefault="00411EBF" w:rsidP="00857036">
      <w:pPr>
        <w:pStyle w:val="BodyTextIndent2"/>
        <w:widowControl w:val="0"/>
        <w:tabs>
          <w:tab w:val="clear" w:pos="630"/>
          <w:tab w:val="left" w:pos="360"/>
        </w:tabs>
        <w:spacing w:before="120"/>
        <w:ind w:left="0"/>
        <w:rPr>
          <w:sz w:val="22"/>
          <w:szCs w:val="22"/>
        </w:rPr>
      </w:pPr>
      <w:r w:rsidRPr="00857036">
        <w:rPr>
          <w:sz w:val="22"/>
          <w:szCs w:val="22"/>
        </w:rPr>
        <w:t>Numerous simple cycle GE 7FA.03 units with DLN-2.6 technology for NO</w:t>
      </w:r>
      <w:r w:rsidRPr="00857036">
        <w:rPr>
          <w:sz w:val="22"/>
          <w:szCs w:val="22"/>
          <w:vertAlign w:val="subscript"/>
        </w:rPr>
        <w:t>X</w:t>
      </w:r>
      <w:r w:rsidRPr="00857036">
        <w:rPr>
          <w:sz w:val="22"/>
          <w:szCs w:val="22"/>
        </w:rPr>
        <w:t xml:space="preserve"> control have been installed in Florida and throughout the United States with guarantees of 9 ppmvd @15% O</w:t>
      </w:r>
      <w:r w:rsidRPr="00857036">
        <w:rPr>
          <w:sz w:val="22"/>
          <w:szCs w:val="22"/>
          <w:vertAlign w:val="subscript"/>
        </w:rPr>
        <w:t>2</w:t>
      </w:r>
      <w:r w:rsidRPr="00857036">
        <w:rPr>
          <w:sz w:val="22"/>
          <w:szCs w:val="22"/>
        </w:rPr>
        <w:t>.  This represents a reduction greater than 95</w:t>
      </w:r>
      <w:r w:rsidR="001D1FB0">
        <w:rPr>
          <w:sz w:val="22"/>
          <w:szCs w:val="22"/>
        </w:rPr>
        <w:t>%</w:t>
      </w:r>
      <w:r>
        <w:rPr>
          <w:sz w:val="22"/>
          <w:szCs w:val="22"/>
        </w:rPr>
        <w:t xml:space="preserve">, assuming </w:t>
      </w:r>
      <w:r w:rsidRPr="00857036">
        <w:rPr>
          <w:sz w:val="22"/>
          <w:szCs w:val="22"/>
        </w:rPr>
        <w:t xml:space="preserve">uncontrolled emissions </w:t>
      </w:r>
      <w:r>
        <w:rPr>
          <w:sz w:val="22"/>
          <w:szCs w:val="22"/>
        </w:rPr>
        <w:t xml:space="preserve">are </w:t>
      </w:r>
      <w:r w:rsidRPr="00857036">
        <w:rPr>
          <w:sz w:val="22"/>
          <w:szCs w:val="22"/>
        </w:rPr>
        <w:t>200 ppmvd.</w:t>
      </w:r>
    </w:p>
    <w:p w:rsidR="00411EBF" w:rsidRDefault="007054E3" w:rsidP="0039684A">
      <w:pPr>
        <w:pStyle w:val="BodyTextIndent2"/>
        <w:widowControl w:val="0"/>
        <w:tabs>
          <w:tab w:val="clear" w:pos="630"/>
          <w:tab w:val="left" w:pos="360"/>
        </w:tabs>
        <w:spacing w:after="60"/>
        <w:ind w:left="0"/>
        <w:rPr>
          <w:sz w:val="22"/>
          <w:szCs w:val="22"/>
        </w:rPr>
      </w:pPr>
      <w:r w:rsidRPr="007054E3">
        <w:rPr>
          <w:noProof/>
        </w:rPr>
        <w:drawing>
          <wp:inline distT="0" distB="0" distL="0" distR="0">
            <wp:extent cx="3084830" cy="1550670"/>
            <wp:effectExtent l="19050" t="19050" r="20320" b="1143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84830" cy="1550670"/>
                    </a:xfrm>
                    <a:prstGeom prst="rect">
                      <a:avLst/>
                    </a:prstGeom>
                    <a:noFill/>
                    <a:ln>
                      <a:solidFill>
                        <a:schemeClr val="tx1"/>
                      </a:solidFill>
                    </a:ln>
                  </pic:spPr>
                </pic:pic>
              </a:graphicData>
            </a:graphic>
          </wp:inline>
        </w:drawing>
      </w:r>
      <w:r w:rsidR="00927CE6" w:rsidRPr="0039684A">
        <w:rPr>
          <w:noProof/>
          <w:sz w:val="22"/>
          <w:szCs w:val="22"/>
          <w:bdr w:val="single" w:sz="8" w:space="0" w:color="auto"/>
        </w:rPr>
        <w:drawing>
          <wp:inline distT="0" distB="0" distL="0" distR="0">
            <wp:extent cx="1327150" cy="1549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l="2380" t="1639"/>
                    <a:stretch>
                      <a:fillRect/>
                    </a:stretch>
                  </pic:blipFill>
                  <pic:spPr bwMode="auto">
                    <a:xfrm>
                      <a:off x="0" y="0"/>
                      <a:ext cx="1327150" cy="1549400"/>
                    </a:xfrm>
                    <a:prstGeom prst="rect">
                      <a:avLst/>
                    </a:prstGeom>
                    <a:noFill/>
                    <a:ln>
                      <a:noFill/>
                    </a:ln>
                  </pic:spPr>
                </pic:pic>
              </a:graphicData>
            </a:graphic>
          </wp:inline>
        </w:drawing>
      </w:r>
      <w:r w:rsidR="00927CE6" w:rsidRPr="0039684A">
        <w:rPr>
          <w:noProof/>
          <w:sz w:val="22"/>
          <w:szCs w:val="22"/>
          <w:bdr w:val="single" w:sz="8" w:space="0" w:color="auto"/>
        </w:rPr>
        <w:drawing>
          <wp:inline distT="0" distB="0" distL="0" distR="0">
            <wp:extent cx="1339850" cy="15494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l="2347" t="2438"/>
                    <a:stretch>
                      <a:fillRect/>
                    </a:stretch>
                  </pic:blipFill>
                  <pic:spPr bwMode="auto">
                    <a:xfrm>
                      <a:off x="0" y="0"/>
                      <a:ext cx="1339850" cy="1549400"/>
                    </a:xfrm>
                    <a:prstGeom prst="rect">
                      <a:avLst/>
                    </a:prstGeom>
                    <a:noFill/>
                    <a:ln>
                      <a:noFill/>
                    </a:ln>
                  </pic:spPr>
                </pic:pic>
              </a:graphicData>
            </a:graphic>
          </wp:inline>
        </w:drawing>
      </w:r>
    </w:p>
    <w:p w:rsidR="00F11CC1" w:rsidRPr="00F11CC1" w:rsidRDefault="00F11CC1" w:rsidP="00F11CC1">
      <w:pPr>
        <w:pStyle w:val="Caption"/>
        <w:tabs>
          <w:tab w:val="left" w:pos="5040"/>
        </w:tabs>
        <w:spacing w:before="0"/>
        <w:ind w:left="270"/>
        <w:rPr>
          <w:rFonts w:ascii="Times New Roman Bold" w:hAnsi="Times New Roman Bold"/>
          <w:caps w:val="0"/>
          <w:szCs w:val="22"/>
        </w:rPr>
      </w:pPr>
      <w:bookmarkStart w:id="23" w:name="_Ref365459602"/>
      <w:r w:rsidRPr="00F11CC1">
        <w:rPr>
          <w:rFonts w:ascii="Times New Roman Bold" w:hAnsi="Times New Roman Bold"/>
          <w:caps w:val="0"/>
        </w:rPr>
        <w:t xml:space="preserve">Figure </w:t>
      </w:r>
      <w:r w:rsidRPr="00F11CC1">
        <w:rPr>
          <w:rFonts w:ascii="Times New Roman Bold" w:hAnsi="Times New Roman Bold"/>
          <w:caps w:val="0"/>
        </w:rPr>
        <w:fldChar w:fldCharType="begin"/>
      </w:r>
      <w:r w:rsidRPr="00F11CC1">
        <w:rPr>
          <w:rFonts w:ascii="Times New Roman Bold" w:hAnsi="Times New Roman Bold"/>
          <w:caps w:val="0"/>
        </w:rPr>
        <w:instrText xml:space="preserve"> SEQ Figure \* ARABIC </w:instrText>
      </w:r>
      <w:r w:rsidRPr="00F11CC1">
        <w:rPr>
          <w:rFonts w:ascii="Times New Roman Bold" w:hAnsi="Times New Roman Bold"/>
          <w:caps w:val="0"/>
        </w:rPr>
        <w:fldChar w:fldCharType="separate"/>
      </w:r>
      <w:r w:rsidR="007F3589">
        <w:rPr>
          <w:rFonts w:ascii="Times New Roman Bold" w:hAnsi="Times New Roman Bold"/>
          <w:caps w:val="0"/>
          <w:noProof/>
        </w:rPr>
        <w:t>14</w:t>
      </w:r>
      <w:r w:rsidRPr="00F11CC1">
        <w:rPr>
          <w:rFonts w:ascii="Times New Roman Bold" w:hAnsi="Times New Roman Bold"/>
          <w:caps w:val="0"/>
        </w:rPr>
        <w:fldChar w:fldCharType="end"/>
      </w:r>
      <w:bookmarkEnd w:id="23"/>
      <w:r w:rsidRPr="00F11CC1">
        <w:rPr>
          <w:rFonts w:ascii="Times New Roman Bold" w:hAnsi="Times New Roman Bold"/>
          <w:caps w:val="0"/>
        </w:rPr>
        <w:t xml:space="preserve">.  </w:t>
      </w:r>
      <w:r w:rsidR="00411EBF" w:rsidRPr="00F11CC1">
        <w:rPr>
          <w:rFonts w:ascii="Times New Roman Bold" w:hAnsi="Times New Roman Bold"/>
          <w:caps w:val="0"/>
          <w:szCs w:val="22"/>
        </w:rPr>
        <w:t>DLN-2.6 with GE Start-up NO</w:t>
      </w:r>
      <w:r w:rsidR="00411EBF" w:rsidRPr="00F11CC1">
        <w:rPr>
          <w:rFonts w:ascii="Times New Roman Bold" w:hAnsi="Times New Roman Bold"/>
          <w:caps w:val="0"/>
          <w:szCs w:val="22"/>
          <w:vertAlign w:val="subscript"/>
        </w:rPr>
        <w:t>X</w:t>
      </w:r>
      <w:r w:rsidRPr="00F11CC1">
        <w:rPr>
          <w:rFonts w:ascii="Times New Roman Bold" w:hAnsi="Times New Roman Bold"/>
          <w:caps w:val="0"/>
          <w:szCs w:val="22"/>
        </w:rPr>
        <w:t>.</w:t>
      </w:r>
      <w:r w:rsidRPr="00F11CC1">
        <w:rPr>
          <w:rFonts w:ascii="Times New Roman Bold" w:hAnsi="Times New Roman Bold"/>
          <w:caps w:val="0"/>
          <w:szCs w:val="22"/>
        </w:rPr>
        <w:tab/>
      </w:r>
      <w:bookmarkStart w:id="24" w:name="_Ref365533664"/>
      <w:r w:rsidRPr="00F11CC1">
        <w:rPr>
          <w:rFonts w:ascii="Times New Roman Bold" w:hAnsi="Times New Roman Bold"/>
          <w:caps w:val="0"/>
        </w:rPr>
        <w:t xml:space="preserve">Figure </w:t>
      </w:r>
      <w:r w:rsidRPr="00F11CC1">
        <w:rPr>
          <w:rFonts w:ascii="Times New Roman Bold" w:hAnsi="Times New Roman Bold"/>
          <w:caps w:val="0"/>
        </w:rPr>
        <w:fldChar w:fldCharType="begin"/>
      </w:r>
      <w:r w:rsidRPr="00F11CC1">
        <w:rPr>
          <w:rFonts w:ascii="Times New Roman Bold" w:hAnsi="Times New Roman Bold"/>
          <w:caps w:val="0"/>
        </w:rPr>
        <w:instrText xml:space="preserve"> SEQ Figure \* ARABIC </w:instrText>
      </w:r>
      <w:r w:rsidRPr="00F11CC1">
        <w:rPr>
          <w:rFonts w:ascii="Times New Roman Bold" w:hAnsi="Times New Roman Bold"/>
          <w:caps w:val="0"/>
        </w:rPr>
        <w:fldChar w:fldCharType="separate"/>
      </w:r>
      <w:r w:rsidR="007F3589">
        <w:rPr>
          <w:rFonts w:ascii="Times New Roman Bold" w:hAnsi="Times New Roman Bold"/>
          <w:caps w:val="0"/>
          <w:noProof/>
        </w:rPr>
        <w:t>15</w:t>
      </w:r>
      <w:r w:rsidRPr="00F11CC1">
        <w:rPr>
          <w:rFonts w:ascii="Times New Roman Bold" w:hAnsi="Times New Roman Bold"/>
          <w:caps w:val="0"/>
        </w:rPr>
        <w:fldChar w:fldCharType="end"/>
      </w:r>
      <w:bookmarkEnd w:id="24"/>
      <w:r w:rsidRPr="00F11CC1">
        <w:rPr>
          <w:rFonts w:ascii="Times New Roman Bold" w:hAnsi="Times New Roman Bold"/>
          <w:caps w:val="0"/>
        </w:rPr>
        <w:t xml:space="preserve">.  </w:t>
      </w:r>
      <w:r w:rsidR="00411EBF" w:rsidRPr="00F11CC1">
        <w:rPr>
          <w:rFonts w:ascii="Times New Roman Bold" w:hAnsi="Times New Roman Bold"/>
          <w:caps w:val="0"/>
          <w:szCs w:val="22"/>
        </w:rPr>
        <w:t>Low Load Opacity Improvement</w:t>
      </w:r>
      <w:r w:rsidRPr="00F11CC1">
        <w:rPr>
          <w:rFonts w:ascii="Times New Roman Bold" w:hAnsi="Times New Roman Bold"/>
          <w:caps w:val="0"/>
          <w:szCs w:val="22"/>
        </w:rPr>
        <w:t>.</w:t>
      </w:r>
    </w:p>
    <w:p w:rsidR="0072033E" w:rsidRDefault="0072033E" w:rsidP="0072033E">
      <w:pPr>
        <w:pStyle w:val="BodyTextIndent2"/>
        <w:widowControl w:val="0"/>
        <w:tabs>
          <w:tab w:val="clear" w:pos="630"/>
          <w:tab w:val="left" w:pos="360"/>
        </w:tabs>
        <w:ind w:left="0"/>
        <w:rPr>
          <w:sz w:val="22"/>
          <w:szCs w:val="22"/>
        </w:rPr>
      </w:pPr>
      <w:r>
        <w:rPr>
          <w:sz w:val="22"/>
          <w:szCs w:val="22"/>
        </w:rPr>
        <w:t xml:space="preserve">The larger </w:t>
      </w:r>
      <w:r w:rsidRPr="00666C8F">
        <w:rPr>
          <w:sz w:val="22"/>
          <w:szCs w:val="22"/>
          <w:u w:val="single"/>
        </w:rPr>
        <w:t>GE</w:t>
      </w:r>
      <w:r>
        <w:rPr>
          <w:sz w:val="22"/>
          <w:szCs w:val="22"/>
          <w:u w:val="single"/>
        </w:rPr>
        <w:t xml:space="preserve"> </w:t>
      </w:r>
      <w:r w:rsidRPr="00666C8F">
        <w:rPr>
          <w:sz w:val="22"/>
          <w:szCs w:val="22"/>
          <w:u w:val="single"/>
        </w:rPr>
        <w:t>7FA.05</w:t>
      </w:r>
      <w:r>
        <w:rPr>
          <w:sz w:val="22"/>
          <w:szCs w:val="22"/>
        </w:rPr>
        <w:t xml:space="preserve"> combustion turbines that FPL may install at the Lauderdale Plant could include features from a series of GE products known as Operational Flexibility Enhancements (OpFlex</w:t>
      </w:r>
      <w:r w:rsidRPr="00872E11">
        <w:rPr>
          <w:sz w:val="22"/>
          <w:szCs w:val="22"/>
          <w:vertAlign w:val="superscript"/>
        </w:rPr>
        <w:t>TM</w:t>
      </w:r>
      <w:r>
        <w:rPr>
          <w:sz w:val="22"/>
          <w:szCs w:val="22"/>
        </w:rPr>
        <w:t>) which involve advanced fuel scheduling.  The Lauderdale peaking unit project may incorporate at least one the products that will reduce NO</w:t>
      </w:r>
      <w:r w:rsidRPr="00666C8F">
        <w:rPr>
          <w:sz w:val="22"/>
          <w:szCs w:val="22"/>
          <w:vertAlign w:val="subscript"/>
        </w:rPr>
        <w:t>X</w:t>
      </w:r>
      <w:r>
        <w:rPr>
          <w:sz w:val="22"/>
          <w:szCs w:val="22"/>
        </w:rPr>
        <w:t xml:space="preserve"> and visible emissions (and presumably CO) at low loads while minimizing startup and excess emissions.  </w:t>
      </w:r>
      <w:r w:rsidRPr="00CC27AE">
        <w:rPr>
          <w:b/>
          <w:sz w:val="22"/>
          <w:szCs w:val="22"/>
        </w:rPr>
        <w:fldChar w:fldCharType="begin"/>
      </w:r>
      <w:r w:rsidRPr="00CC27AE">
        <w:rPr>
          <w:b/>
          <w:sz w:val="22"/>
          <w:szCs w:val="22"/>
        </w:rPr>
        <w:instrText xml:space="preserve"> REF _Ref365459602 \h  \* MERGEFORMAT </w:instrText>
      </w:r>
      <w:r w:rsidRPr="00CC27AE">
        <w:rPr>
          <w:b/>
          <w:sz w:val="22"/>
          <w:szCs w:val="22"/>
        </w:rPr>
      </w:r>
      <w:r w:rsidRPr="00CC27AE">
        <w:rPr>
          <w:b/>
          <w:sz w:val="22"/>
          <w:szCs w:val="22"/>
        </w:rPr>
        <w:fldChar w:fldCharType="separate"/>
      </w:r>
      <w:r w:rsidR="007F3589" w:rsidRPr="007F3589">
        <w:rPr>
          <w:b/>
          <w:sz w:val="22"/>
          <w:szCs w:val="22"/>
        </w:rPr>
        <w:t xml:space="preserve">Figure </w:t>
      </w:r>
      <w:r w:rsidR="007F3589" w:rsidRPr="007F3589">
        <w:rPr>
          <w:b/>
          <w:noProof/>
          <w:sz w:val="22"/>
          <w:szCs w:val="22"/>
        </w:rPr>
        <w:t>14</w:t>
      </w:r>
      <w:r w:rsidRPr="00CC27AE">
        <w:rPr>
          <w:b/>
          <w:sz w:val="22"/>
          <w:szCs w:val="22"/>
        </w:rPr>
        <w:fldChar w:fldCharType="end"/>
      </w:r>
      <w:r>
        <w:rPr>
          <w:sz w:val="22"/>
          <w:szCs w:val="22"/>
        </w:rPr>
        <w:t xml:space="preserve"> above from a GE brochure on OpFlex</w:t>
      </w:r>
      <w:r w:rsidRPr="00872E11">
        <w:rPr>
          <w:sz w:val="22"/>
          <w:szCs w:val="22"/>
          <w:vertAlign w:val="superscript"/>
        </w:rPr>
        <w:t>TM</w:t>
      </w:r>
      <w:r>
        <w:rPr>
          <w:sz w:val="22"/>
          <w:szCs w:val="22"/>
        </w:rPr>
        <w:t xml:space="preserve"> indicates the substantial NO</w:t>
      </w:r>
      <w:r w:rsidRPr="00B4655A">
        <w:rPr>
          <w:sz w:val="22"/>
          <w:szCs w:val="22"/>
          <w:vertAlign w:val="subscript"/>
        </w:rPr>
        <w:t>X</w:t>
      </w:r>
      <w:r>
        <w:rPr>
          <w:sz w:val="22"/>
          <w:szCs w:val="22"/>
        </w:rPr>
        <w:t xml:space="preserve"> reductions during low load operation and startup expected from these features.  </w:t>
      </w:r>
      <w:r w:rsidRPr="00CC27AE">
        <w:rPr>
          <w:b/>
          <w:sz w:val="22"/>
          <w:szCs w:val="22"/>
        </w:rPr>
        <w:fldChar w:fldCharType="begin"/>
      </w:r>
      <w:r w:rsidRPr="00CC27AE">
        <w:rPr>
          <w:b/>
          <w:sz w:val="22"/>
          <w:szCs w:val="22"/>
        </w:rPr>
        <w:instrText xml:space="preserve"> REF _Ref365533664 \h  \* MERGEFORMAT </w:instrText>
      </w:r>
      <w:r w:rsidRPr="00CC27AE">
        <w:rPr>
          <w:b/>
          <w:sz w:val="22"/>
          <w:szCs w:val="22"/>
        </w:rPr>
      </w:r>
      <w:r w:rsidRPr="00CC27AE">
        <w:rPr>
          <w:b/>
          <w:sz w:val="22"/>
          <w:szCs w:val="22"/>
        </w:rPr>
        <w:fldChar w:fldCharType="separate"/>
      </w:r>
      <w:r w:rsidR="007F3589" w:rsidRPr="007F3589">
        <w:rPr>
          <w:b/>
          <w:sz w:val="22"/>
        </w:rPr>
        <w:t xml:space="preserve">Figure </w:t>
      </w:r>
      <w:r w:rsidR="007F3589" w:rsidRPr="007F3589">
        <w:rPr>
          <w:b/>
          <w:noProof/>
          <w:sz w:val="22"/>
        </w:rPr>
        <w:t>15</w:t>
      </w:r>
      <w:r w:rsidRPr="00CC27AE">
        <w:rPr>
          <w:b/>
          <w:sz w:val="22"/>
          <w:szCs w:val="22"/>
        </w:rPr>
        <w:fldChar w:fldCharType="end"/>
      </w:r>
      <w:r w:rsidRPr="001D1FB0">
        <w:rPr>
          <w:sz w:val="22"/>
          <w:szCs w:val="22"/>
        </w:rPr>
        <w:t xml:space="preserve"> </w:t>
      </w:r>
      <w:r>
        <w:rPr>
          <w:sz w:val="22"/>
          <w:szCs w:val="22"/>
        </w:rPr>
        <w:t>above shows the improvement in low load visible emissions following the installation of GE Start-up NO</w:t>
      </w:r>
      <w:r w:rsidRPr="003C783E">
        <w:rPr>
          <w:sz w:val="22"/>
          <w:szCs w:val="22"/>
          <w:vertAlign w:val="subscript"/>
        </w:rPr>
        <w:t>X</w:t>
      </w:r>
      <w:r>
        <w:rPr>
          <w:sz w:val="22"/>
          <w:szCs w:val="22"/>
        </w:rPr>
        <w:t xml:space="preserve"> on an existing GE 7FA.03.</w:t>
      </w:r>
    </w:p>
    <w:p w:rsidR="00411EBF" w:rsidRDefault="00411EBF" w:rsidP="00913332">
      <w:pPr>
        <w:pStyle w:val="BodyTextIndent2"/>
        <w:widowControl w:val="0"/>
        <w:tabs>
          <w:tab w:val="clear" w:pos="630"/>
          <w:tab w:val="left" w:pos="360"/>
          <w:tab w:val="left" w:pos="5040"/>
        </w:tabs>
        <w:ind w:left="0"/>
        <w:rPr>
          <w:sz w:val="22"/>
          <w:szCs w:val="22"/>
        </w:rPr>
      </w:pPr>
      <w:r>
        <w:rPr>
          <w:sz w:val="22"/>
          <w:szCs w:val="22"/>
        </w:rPr>
        <w:t>The GE Start-up NO</w:t>
      </w:r>
      <w:r w:rsidRPr="00286948">
        <w:rPr>
          <w:sz w:val="22"/>
          <w:szCs w:val="22"/>
          <w:vertAlign w:val="subscript"/>
        </w:rPr>
        <w:t>X</w:t>
      </w:r>
      <w:r>
        <w:rPr>
          <w:sz w:val="22"/>
          <w:szCs w:val="22"/>
        </w:rPr>
        <w:t xml:space="preserve"> profiles are similar to those shown in </w:t>
      </w:r>
      <w:r w:rsidR="00323092" w:rsidRPr="00CC27AE">
        <w:rPr>
          <w:b/>
          <w:sz w:val="22"/>
          <w:szCs w:val="22"/>
        </w:rPr>
        <w:fldChar w:fldCharType="begin"/>
      </w:r>
      <w:r w:rsidR="00323092" w:rsidRPr="00CC27AE">
        <w:rPr>
          <w:b/>
          <w:sz w:val="22"/>
          <w:szCs w:val="22"/>
        </w:rPr>
        <w:instrText xml:space="preserve"> REF _Ref365461169 \h  \* MERGEFORMAT </w:instrText>
      </w:r>
      <w:r w:rsidR="00323092" w:rsidRPr="00CC27AE">
        <w:rPr>
          <w:b/>
          <w:sz w:val="22"/>
          <w:szCs w:val="22"/>
        </w:rPr>
      </w:r>
      <w:r w:rsidR="00323092" w:rsidRPr="00CC27AE">
        <w:rPr>
          <w:b/>
          <w:sz w:val="22"/>
          <w:szCs w:val="22"/>
        </w:rPr>
        <w:fldChar w:fldCharType="separate"/>
      </w:r>
      <w:r w:rsidR="007F3589" w:rsidRPr="007F3589">
        <w:rPr>
          <w:b/>
          <w:sz w:val="22"/>
          <w:szCs w:val="22"/>
        </w:rPr>
        <w:t xml:space="preserve">Figure </w:t>
      </w:r>
      <w:r w:rsidR="007F3589" w:rsidRPr="007F3589">
        <w:rPr>
          <w:b/>
          <w:noProof/>
          <w:sz w:val="22"/>
          <w:szCs w:val="22"/>
        </w:rPr>
        <w:t>11</w:t>
      </w:r>
      <w:r w:rsidR="00323092" w:rsidRPr="00CC27AE">
        <w:rPr>
          <w:b/>
          <w:sz w:val="22"/>
          <w:szCs w:val="22"/>
        </w:rPr>
        <w:fldChar w:fldCharType="end"/>
      </w:r>
      <w:r w:rsidRPr="00323092">
        <w:rPr>
          <w:sz w:val="22"/>
          <w:szCs w:val="22"/>
        </w:rPr>
        <w:t xml:space="preserve"> and </w:t>
      </w:r>
      <w:r w:rsidR="00323092" w:rsidRPr="00CC27AE">
        <w:rPr>
          <w:b/>
          <w:sz w:val="22"/>
          <w:szCs w:val="22"/>
        </w:rPr>
        <w:fldChar w:fldCharType="begin"/>
      </w:r>
      <w:r w:rsidR="00323092" w:rsidRPr="00CC27AE">
        <w:rPr>
          <w:b/>
          <w:sz w:val="22"/>
          <w:szCs w:val="22"/>
        </w:rPr>
        <w:instrText xml:space="preserve"> REF _Ref365457932 \h  \* MERGEFORMAT </w:instrText>
      </w:r>
      <w:r w:rsidR="00323092" w:rsidRPr="00CC27AE">
        <w:rPr>
          <w:b/>
          <w:sz w:val="22"/>
          <w:szCs w:val="22"/>
        </w:rPr>
      </w:r>
      <w:r w:rsidR="00323092" w:rsidRPr="00CC27AE">
        <w:rPr>
          <w:b/>
          <w:sz w:val="22"/>
          <w:szCs w:val="22"/>
        </w:rPr>
        <w:fldChar w:fldCharType="separate"/>
      </w:r>
      <w:r w:rsidR="007F3589" w:rsidRPr="007F3589">
        <w:rPr>
          <w:b/>
          <w:sz w:val="22"/>
          <w:szCs w:val="22"/>
        </w:rPr>
        <w:t xml:space="preserve">Figure </w:t>
      </w:r>
      <w:r w:rsidR="007F3589" w:rsidRPr="007F3589">
        <w:rPr>
          <w:b/>
          <w:noProof/>
          <w:sz w:val="22"/>
          <w:szCs w:val="22"/>
        </w:rPr>
        <w:t>12</w:t>
      </w:r>
      <w:r w:rsidR="00323092" w:rsidRPr="00CC27AE">
        <w:rPr>
          <w:b/>
          <w:sz w:val="22"/>
          <w:szCs w:val="22"/>
        </w:rPr>
        <w:fldChar w:fldCharType="end"/>
      </w:r>
      <w:r>
        <w:rPr>
          <w:sz w:val="22"/>
          <w:szCs w:val="22"/>
        </w:rPr>
        <w:t xml:space="preserve"> for higher loads but are far superior for low load operation.  Given simple cycle peaking operation, it is easy to conclude that startup and low load emissions will be less for the larger GE 7FA.05 units with GE Start-up NO</w:t>
      </w:r>
      <w:r w:rsidRPr="00286948">
        <w:rPr>
          <w:sz w:val="22"/>
          <w:szCs w:val="22"/>
          <w:vertAlign w:val="subscript"/>
        </w:rPr>
        <w:t>X</w:t>
      </w:r>
      <w:r>
        <w:rPr>
          <w:sz w:val="22"/>
          <w:szCs w:val="22"/>
        </w:rPr>
        <w:t xml:space="preserve"> than the smaller GE 7FA.03 and GE 7FA.04 units without the feature.  </w:t>
      </w:r>
    </w:p>
    <w:p w:rsidR="00411EBF" w:rsidRPr="00283834" w:rsidRDefault="00411EBF" w:rsidP="00B4655A">
      <w:pPr>
        <w:pStyle w:val="BodyText"/>
        <w:widowControl w:val="0"/>
        <w:spacing w:after="60"/>
        <w:rPr>
          <w:sz w:val="22"/>
          <w:szCs w:val="22"/>
        </w:rPr>
      </w:pPr>
      <w:r w:rsidRPr="00283834">
        <w:rPr>
          <w:noProof/>
          <w:sz w:val="22"/>
          <w:szCs w:val="22"/>
          <w:u w:val="single"/>
        </w:rPr>
        <w:t>Selective Catalytic Reduction (SCR)</w:t>
      </w:r>
      <w:r w:rsidRPr="00283834">
        <w:rPr>
          <w:noProof/>
          <w:sz w:val="22"/>
          <w:szCs w:val="22"/>
        </w:rPr>
        <w:t xml:space="preserve">.  </w:t>
      </w:r>
      <w:r w:rsidRPr="00283834">
        <w:rPr>
          <w:sz w:val="22"/>
          <w:szCs w:val="22"/>
        </w:rPr>
        <w:t>SCR is an add-on NO</w:t>
      </w:r>
      <w:r w:rsidRPr="00283834">
        <w:rPr>
          <w:sz w:val="22"/>
          <w:szCs w:val="22"/>
          <w:vertAlign w:val="subscript"/>
        </w:rPr>
        <w:t>X</w:t>
      </w:r>
      <w:r w:rsidRPr="00283834">
        <w:rPr>
          <w:sz w:val="22"/>
          <w:szCs w:val="22"/>
        </w:rPr>
        <w:t xml:space="preserve"> control technology that is employed in the exhaust stream following the gas turbine.  SCR reduces NO</w:t>
      </w:r>
      <w:r w:rsidRPr="00283834">
        <w:rPr>
          <w:sz w:val="22"/>
          <w:szCs w:val="22"/>
          <w:vertAlign w:val="subscript"/>
        </w:rPr>
        <w:t>X</w:t>
      </w:r>
      <w:r w:rsidRPr="00283834">
        <w:rPr>
          <w:sz w:val="22"/>
          <w:szCs w:val="22"/>
        </w:rPr>
        <w:t xml:space="preserve"> emissions by injecting ammonia </w:t>
      </w:r>
      <w:r>
        <w:rPr>
          <w:sz w:val="22"/>
          <w:szCs w:val="22"/>
        </w:rPr>
        <w:t>(NH</w:t>
      </w:r>
      <w:r w:rsidRPr="00A2098E">
        <w:rPr>
          <w:sz w:val="22"/>
          <w:szCs w:val="22"/>
          <w:vertAlign w:val="subscript"/>
        </w:rPr>
        <w:t>3</w:t>
      </w:r>
      <w:r>
        <w:rPr>
          <w:sz w:val="22"/>
          <w:szCs w:val="22"/>
        </w:rPr>
        <w:t xml:space="preserve">) </w:t>
      </w:r>
      <w:r w:rsidRPr="00283834">
        <w:rPr>
          <w:sz w:val="22"/>
          <w:szCs w:val="22"/>
        </w:rPr>
        <w:t xml:space="preserve">into the flue gas in the presence of a catalyst. </w:t>
      </w:r>
      <w:r>
        <w:rPr>
          <w:sz w:val="22"/>
          <w:szCs w:val="22"/>
        </w:rPr>
        <w:t xml:space="preserve"> </w:t>
      </w:r>
      <w:r w:rsidRPr="00283834">
        <w:rPr>
          <w:sz w:val="22"/>
          <w:szCs w:val="22"/>
        </w:rPr>
        <w:t>Ammonia reacts with NO</w:t>
      </w:r>
      <w:r w:rsidRPr="00283834">
        <w:rPr>
          <w:sz w:val="22"/>
          <w:szCs w:val="22"/>
          <w:vertAlign w:val="subscript"/>
        </w:rPr>
        <w:t>X</w:t>
      </w:r>
      <w:r w:rsidRPr="00283834">
        <w:rPr>
          <w:sz w:val="22"/>
          <w:szCs w:val="22"/>
        </w:rPr>
        <w:t xml:space="preserve"> in the presence of a catalyst and excess oxygen yielding molecular nitrogen and water </w:t>
      </w:r>
      <w:r>
        <w:rPr>
          <w:sz w:val="22"/>
          <w:szCs w:val="22"/>
        </w:rPr>
        <w:t>(H</w:t>
      </w:r>
      <w:r w:rsidRPr="00A2098E">
        <w:rPr>
          <w:sz w:val="22"/>
          <w:szCs w:val="22"/>
          <w:vertAlign w:val="subscript"/>
        </w:rPr>
        <w:t>2</w:t>
      </w:r>
      <w:r>
        <w:rPr>
          <w:sz w:val="22"/>
          <w:szCs w:val="22"/>
        </w:rPr>
        <w:t xml:space="preserve">O) </w:t>
      </w:r>
      <w:r w:rsidRPr="00283834">
        <w:rPr>
          <w:sz w:val="22"/>
          <w:szCs w:val="22"/>
        </w:rPr>
        <w:t>according to the following simplified reaction:</w:t>
      </w:r>
    </w:p>
    <w:p w:rsidR="00411EBF" w:rsidRPr="00283834" w:rsidRDefault="00411EBF" w:rsidP="002B04CB">
      <w:pPr>
        <w:pStyle w:val="BodyText"/>
        <w:widowControl w:val="0"/>
        <w:spacing w:after="60"/>
        <w:jc w:val="center"/>
        <w:rPr>
          <w:sz w:val="22"/>
          <w:szCs w:val="22"/>
        </w:rPr>
      </w:pPr>
      <w:r w:rsidRPr="00283834">
        <w:rPr>
          <w:position w:val="-12"/>
          <w:sz w:val="22"/>
          <w:szCs w:val="22"/>
        </w:rPr>
        <w:object w:dxaOrig="3420" w:dyaOrig="360">
          <v:shape id="_x0000_i1026" type="#_x0000_t75" style="width:170.35pt;height:18.25pt" o:ole="">
            <v:imagedata r:id="rId35" o:title=""/>
          </v:shape>
          <o:OLEObject Type="Embed" ProgID="Equation.3" ShapeID="_x0000_i1026" DrawAspect="Content" ObjectID="_1455008439" r:id="rId36"/>
        </w:object>
      </w:r>
    </w:p>
    <w:p w:rsidR="00411EBF" w:rsidRDefault="00411EBF" w:rsidP="00BB520A">
      <w:pPr>
        <w:spacing w:after="120"/>
        <w:rPr>
          <w:color w:val="000000"/>
          <w:sz w:val="22"/>
          <w:szCs w:val="22"/>
        </w:rPr>
      </w:pPr>
      <w:r w:rsidRPr="00283834">
        <w:rPr>
          <w:color w:val="000000"/>
          <w:sz w:val="22"/>
          <w:szCs w:val="22"/>
        </w:rPr>
        <w:t xml:space="preserve">The catalysts </w:t>
      </w:r>
      <w:r>
        <w:rPr>
          <w:color w:val="000000"/>
          <w:sz w:val="22"/>
          <w:szCs w:val="22"/>
        </w:rPr>
        <w:t>are available for applications at temperatures between roughly 300 and 1,100</w:t>
      </w:r>
      <w:r w:rsidR="00FE2233">
        <w:rPr>
          <w:color w:val="000000"/>
          <w:sz w:val="22"/>
          <w:szCs w:val="22"/>
        </w:rPr>
        <w:t>degrees Fahrenheit (</w:t>
      </w:r>
      <w:r w:rsidRPr="00283834">
        <w:rPr>
          <w:color w:val="000000"/>
          <w:sz w:val="22"/>
          <w:szCs w:val="22"/>
          <w:vertAlign w:val="superscript"/>
        </w:rPr>
        <w:t>o</w:t>
      </w:r>
      <w:r w:rsidRPr="00283834">
        <w:rPr>
          <w:color w:val="000000"/>
          <w:sz w:val="22"/>
          <w:szCs w:val="22"/>
        </w:rPr>
        <w:t>F</w:t>
      </w:r>
      <w:r w:rsidR="00FE2233">
        <w:rPr>
          <w:color w:val="000000"/>
          <w:sz w:val="22"/>
          <w:szCs w:val="22"/>
        </w:rPr>
        <w:t>)</w:t>
      </w:r>
      <w:r>
        <w:rPr>
          <w:color w:val="000000"/>
          <w:sz w:val="22"/>
          <w:szCs w:val="22"/>
        </w:rPr>
        <w:t xml:space="preserve"> and typically are comprised of </w:t>
      </w:r>
      <w:r w:rsidRPr="00283834">
        <w:rPr>
          <w:color w:val="000000"/>
          <w:sz w:val="22"/>
          <w:szCs w:val="22"/>
        </w:rPr>
        <w:t>titanium oxide (</w:t>
      </w:r>
      <w:r>
        <w:rPr>
          <w:color w:val="000000"/>
          <w:sz w:val="22"/>
          <w:szCs w:val="22"/>
        </w:rPr>
        <w:t xml:space="preserve">as </w:t>
      </w:r>
      <w:r w:rsidRPr="00283834">
        <w:rPr>
          <w:color w:val="000000"/>
          <w:sz w:val="22"/>
          <w:szCs w:val="22"/>
        </w:rPr>
        <w:t>TiO</w:t>
      </w:r>
      <w:r w:rsidRPr="00283834">
        <w:rPr>
          <w:color w:val="000000"/>
          <w:sz w:val="22"/>
          <w:szCs w:val="22"/>
          <w:vertAlign w:val="subscript"/>
        </w:rPr>
        <w:t>2</w:t>
      </w:r>
      <w:r w:rsidRPr="00283834">
        <w:rPr>
          <w:color w:val="000000"/>
          <w:sz w:val="22"/>
          <w:szCs w:val="22"/>
        </w:rPr>
        <w:t>)</w:t>
      </w:r>
      <w:r>
        <w:rPr>
          <w:color w:val="000000"/>
          <w:sz w:val="22"/>
          <w:szCs w:val="22"/>
        </w:rPr>
        <w:t xml:space="preserve">, </w:t>
      </w:r>
      <w:r w:rsidRPr="00283834">
        <w:rPr>
          <w:color w:val="000000"/>
          <w:sz w:val="22"/>
          <w:szCs w:val="22"/>
        </w:rPr>
        <w:t>vanadium (</w:t>
      </w:r>
      <w:r>
        <w:rPr>
          <w:color w:val="000000"/>
          <w:sz w:val="22"/>
          <w:szCs w:val="22"/>
        </w:rPr>
        <w:t xml:space="preserve">as </w:t>
      </w:r>
      <w:r w:rsidRPr="00283834">
        <w:rPr>
          <w:color w:val="000000"/>
          <w:sz w:val="22"/>
          <w:szCs w:val="22"/>
        </w:rPr>
        <w:t>V</w:t>
      </w:r>
      <w:r w:rsidRPr="00B40AA7">
        <w:rPr>
          <w:color w:val="000000"/>
          <w:sz w:val="22"/>
          <w:szCs w:val="22"/>
          <w:vertAlign w:val="subscript"/>
        </w:rPr>
        <w:t>2</w:t>
      </w:r>
      <w:r>
        <w:rPr>
          <w:color w:val="000000"/>
          <w:sz w:val="22"/>
          <w:szCs w:val="22"/>
        </w:rPr>
        <w:t>O</w:t>
      </w:r>
      <w:r w:rsidRPr="00B40AA7">
        <w:rPr>
          <w:color w:val="000000"/>
          <w:sz w:val="22"/>
          <w:szCs w:val="22"/>
          <w:vertAlign w:val="subscript"/>
        </w:rPr>
        <w:t>5</w:t>
      </w:r>
      <w:r w:rsidRPr="00283834">
        <w:rPr>
          <w:color w:val="000000"/>
          <w:sz w:val="22"/>
          <w:szCs w:val="22"/>
        </w:rPr>
        <w:t xml:space="preserve">) </w:t>
      </w:r>
      <w:r>
        <w:rPr>
          <w:color w:val="000000"/>
          <w:sz w:val="22"/>
          <w:szCs w:val="22"/>
        </w:rPr>
        <w:t>and tungsten (as WO</w:t>
      </w:r>
      <w:r w:rsidRPr="00B40AA7">
        <w:rPr>
          <w:color w:val="000000"/>
          <w:sz w:val="22"/>
          <w:szCs w:val="22"/>
          <w:vertAlign w:val="subscript"/>
        </w:rPr>
        <w:t>3</w:t>
      </w:r>
      <w:r>
        <w:rPr>
          <w:color w:val="000000"/>
          <w:sz w:val="22"/>
          <w:szCs w:val="22"/>
        </w:rPr>
        <w:t xml:space="preserve">).  The formulations contain progressively less vanadium and become more costly for the higher temperature applications.  There are numerous examples of SCR installations at continuous duty combined cycle units throughout Florida.  In combined cycle units, the catalyst can be placed at an optimal temperature (roughly 400 to 600 </w:t>
      </w:r>
      <w:r w:rsidRPr="00283834">
        <w:rPr>
          <w:color w:val="000000"/>
          <w:sz w:val="22"/>
          <w:szCs w:val="22"/>
          <w:vertAlign w:val="superscript"/>
        </w:rPr>
        <w:t>o</w:t>
      </w:r>
      <w:r w:rsidRPr="00283834">
        <w:rPr>
          <w:color w:val="000000"/>
          <w:sz w:val="22"/>
          <w:szCs w:val="22"/>
        </w:rPr>
        <w:t>F</w:t>
      </w:r>
      <w:r>
        <w:rPr>
          <w:color w:val="000000"/>
          <w:sz w:val="22"/>
          <w:szCs w:val="22"/>
        </w:rPr>
        <w:t>) for the purposes of high efficiency and lowest cost within the heat recovery steam generator.  In such applications, NO</w:t>
      </w:r>
      <w:r w:rsidRPr="00BB520A">
        <w:rPr>
          <w:color w:val="000000"/>
          <w:sz w:val="22"/>
          <w:szCs w:val="22"/>
          <w:vertAlign w:val="subscript"/>
        </w:rPr>
        <w:t>X</w:t>
      </w:r>
      <w:r>
        <w:rPr>
          <w:color w:val="000000"/>
          <w:sz w:val="22"/>
          <w:szCs w:val="22"/>
        </w:rPr>
        <w:t xml:space="preserve"> emissions on the order of 2.0 ppmvd @15% O</w:t>
      </w:r>
      <w:r w:rsidRPr="009A1B18">
        <w:rPr>
          <w:color w:val="000000"/>
          <w:sz w:val="22"/>
          <w:szCs w:val="22"/>
          <w:vertAlign w:val="subscript"/>
        </w:rPr>
        <w:t>2</w:t>
      </w:r>
      <w:r>
        <w:rPr>
          <w:color w:val="000000"/>
          <w:sz w:val="22"/>
          <w:szCs w:val="22"/>
        </w:rPr>
        <w:t xml:space="preserve"> are achieved.</w:t>
      </w:r>
    </w:p>
    <w:p w:rsidR="00411EBF" w:rsidRPr="00283834" w:rsidRDefault="00411EBF" w:rsidP="00BB520A">
      <w:pPr>
        <w:spacing w:after="120"/>
        <w:rPr>
          <w:color w:val="000000"/>
          <w:sz w:val="22"/>
          <w:szCs w:val="22"/>
        </w:rPr>
      </w:pPr>
      <w:r w:rsidRPr="00283834">
        <w:rPr>
          <w:color w:val="000000"/>
          <w:sz w:val="22"/>
          <w:szCs w:val="22"/>
        </w:rPr>
        <w:lastRenderedPageBreak/>
        <w:t>At high</w:t>
      </w:r>
      <w:r>
        <w:rPr>
          <w:color w:val="000000"/>
          <w:sz w:val="22"/>
          <w:szCs w:val="22"/>
        </w:rPr>
        <w:t>er</w:t>
      </w:r>
      <w:r w:rsidRPr="00283834">
        <w:rPr>
          <w:color w:val="000000"/>
          <w:sz w:val="22"/>
          <w:szCs w:val="22"/>
        </w:rPr>
        <w:t xml:space="preserve"> temperatures, </w:t>
      </w:r>
      <w:r>
        <w:rPr>
          <w:color w:val="000000"/>
          <w:sz w:val="22"/>
          <w:szCs w:val="22"/>
        </w:rPr>
        <w:t>vanadium</w:t>
      </w:r>
      <w:r w:rsidRPr="00283834">
        <w:rPr>
          <w:color w:val="000000"/>
          <w:sz w:val="22"/>
          <w:szCs w:val="22"/>
        </w:rPr>
        <w:t xml:space="preserve"> can </w:t>
      </w:r>
      <w:r>
        <w:rPr>
          <w:color w:val="000000"/>
          <w:sz w:val="22"/>
          <w:szCs w:val="22"/>
        </w:rPr>
        <w:t xml:space="preserve">actually </w:t>
      </w:r>
      <w:r w:rsidRPr="00283834">
        <w:rPr>
          <w:color w:val="000000"/>
          <w:sz w:val="22"/>
          <w:szCs w:val="22"/>
        </w:rPr>
        <w:t>contribute to ammonia oxidation forming more NO</w:t>
      </w:r>
      <w:r w:rsidRPr="00283834">
        <w:rPr>
          <w:color w:val="000000"/>
          <w:sz w:val="22"/>
          <w:szCs w:val="22"/>
          <w:vertAlign w:val="subscript"/>
        </w:rPr>
        <w:t>X</w:t>
      </w:r>
      <w:r w:rsidRPr="00283834">
        <w:rPr>
          <w:color w:val="000000"/>
          <w:sz w:val="22"/>
          <w:szCs w:val="22"/>
        </w:rPr>
        <w:t xml:space="preserve"> or forming nitrogen without reducing NO</w:t>
      </w:r>
      <w:r w:rsidRPr="00283834">
        <w:rPr>
          <w:color w:val="000000"/>
          <w:sz w:val="22"/>
          <w:szCs w:val="22"/>
          <w:vertAlign w:val="subscript"/>
        </w:rPr>
        <w:t>X</w:t>
      </w:r>
      <w:r w:rsidRPr="00283834">
        <w:rPr>
          <w:color w:val="000000"/>
          <w:sz w:val="22"/>
          <w:szCs w:val="22"/>
        </w:rPr>
        <w:t xml:space="preserve"> according to:</w:t>
      </w:r>
    </w:p>
    <w:p w:rsidR="00411EBF" w:rsidRPr="00283834" w:rsidRDefault="00411EBF" w:rsidP="002B04CB">
      <w:pPr>
        <w:spacing w:after="60"/>
        <w:jc w:val="center"/>
        <w:rPr>
          <w:color w:val="000000"/>
          <w:sz w:val="22"/>
          <w:szCs w:val="22"/>
        </w:rPr>
      </w:pPr>
      <w:r w:rsidRPr="00283834">
        <w:rPr>
          <w:color w:val="000000"/>
          <w:position w:val="-12"/>
          <w:sz w:val="22"/>
          <w:szCs w:val="22"/>
        </w:rPr>
        <w:object w:dxaOrig="2860" w:dyaOrig="360">
          <v:shape id="_x0000_i1027" type="#_x0000_t75" style="width:143.45pt;height:18.25pt" o:ole="">
            <v:imagedata r:id="rId37" o:title=""/>
          </v:shape>
          <o:OLEObject Type="Embed" ProgID="Equation.3" ShapeID="_x0000_i1027" DrawAspect="Content" ObjectID="_1455008440" r:id="rId38"/>
        </w:object>
      </w:r>
      <w:r w:rsidRPr="00283834">
        <w:rPr>
          <w:color w:val="000000"/>
          <w:sz w:val="22"/>
          <w:szCs w:val="22"/>
        </w:rPr>
        <w:t xml:space="preserve"> </w:t>
      </w:r>
      <w:proofErr w:type="gramStart"/>
      <w:r w:rsidRPr="00283834">
        <w:rPr>
          <w:color w:val="000000"/>
          <w:sz w:val="22"/>
          <w:szCs w:val="22"/>
        </w:rPr>
        <w:t>and</w:t>
      </w:r>
      <w:proofErr w:type="gramEnd"/>
      <w:r>
        <w:rPr>
          <w:color w:val="000000"/>
          <w:sz w:val="22"/>
          <w:szCs w:val="22"/>
        </w:rPr>
        <w:t xml:space="preserve"> </w:t>
      </w:r>
      <w:r w:rsidRPr="00283834">
        <w:rPr>
          <w:color w:val="000000"/>
          <w:position w:val="-12"/>
          <w:sz w:val="22"/>
          <w:szCs w:val="22"/>
        </w:rPr>
        <w:object w:dxaOrig="2820" w:dyaOrig="360">
          <v:shape id="_x0000_i1028" type="#_x0000_t75" style="width:140.8pt;height:18.25pt" o:ole="">
            <v:imagedata r:id="rId39" o:title=""/>
          </v:shape>
          <o:OLEObject Type="Embed" ProgID="Equation.3" ShapeID="_x0000_i1028" DrawAspect="Content" ObjectID="_1455008441" r:id="rId40"/>
        </w:object>
      </w:r>
    </w:p>
    <w:p w:rsidR="00411EBF" w:rsidRPr="00022FA3" w:rsidRDefault="00411EBF" w:rsidP="00BB520A">
      <w:pPr>
        <w:spacing w:after="120"/>
        <w:rPr>
          <w:color w:val="000000"/>
          <w:sz w:val="22"/>
          <w:szCs w:val="22"/>
        </w:rPr>
      </w:pPr>
      <w:r>
        <w:rPr>
          <w:color w:val="000000"/>
          <w:sz w:val="22"/>
          <w:szCs w:val="22"/>
        </w:rPr>
        <w:t>Therefore, less V</w:t>
      </w:r>
      <w:r w:rsidRPr="001520A0">
        <w:rPr>
          <w:color w:val="000000"/>
          <w:sz w:val="22"/>
          <w:szCs w:val="22"/>
          <w:vertAlign w:val="subscript"/>
        </w:rPr>
        <w:t>2</w:t>
      </w:r>
      <w:r>
        <w:rPr>
          <w:color w:val="000000"/>
          <w:sz w:val="22"/>
          <w:szCs w:val="22"/>
        </w:rPr>
        <w:t>O</w:t>
      </w:r>
      <w:r w:rsidRPr="001520A0">
        <w:rPr>
          <w:color w:val="000000"/>
          <w:sz w:val="22"/>
          <w:szCs w:val="22"/>
          <w:vertAlign w:val="subscript"/>
        </w:rPr>
        <w:t>5</w:t>
      </w:r>
      <w:r>
        <w:rPr>
          <w:color w:val="000000"/>
          <w:sz w:val="22"/>
          <w:szCs w:val="22"/>
        </w:rPr>
        <w:t xml:space="preserve"> is used in formulations for higher temperature applications.  The lowest cost for a given application may involve cost optimization between the selection of a catalyst formulation and the equipment to cool gas to the operating temperature of the formulation.  </w:t>
      </w:r>
      <w:r>
        <w:rPr>
          <w:sz w:val="22"/>
          <w:szCs w:val="22"/>
        </w:rPr>
        <w:t xml:space="preserve">SCR was installed on two small </w:t>
      </w:r>
      <w:r w:rsidRPr="006E0664">
        <w:rPr>
          <w:sz w:val="22"/>
          <w:szCs w:val="22"/>
        </w:rPr>
        <w:t xml:space="preserve">GE LM6000 </w:t>
      </w:r>
      <w:r w:rsidRPr="00BB520A">
        <w:rPr>
          <w:sz w:val="22"/>
          <w:szCs w:val="22"/>
        </w:rPr>
        <w:t>simple cycle</w:t>
      </w:r>
      <w:r>
        <w:rPr>
          <w:sz w:val="22"/>
          <w:szCs w:val="22"/>
        </w:rPr>
        <w:t xml:space="preserve"> </w:t>
      </w:r>
      <w:r w:rsidRPr="006E0664">
        <w:rPr>
          <w:sz w:val="22"/>
          <w:szCs w:val="22"/>
        </w:rPr>
        <w:t>units at the City of Tallahassee’s Hopkins facility.</w:t>
      </w:r>
      <w:r>
        <w:rPr>
          <w:sz w:val="22"/>
          <w:szCs w:val="22"/>
        </w:rPr>
        <w:t xml:space="preserve">  These are characterized by exhaust gas less than </w:t>
      </w:r>
      <w:r w:rsidRPr="00022FA3">
        <w:rPr>
          <w:sz w:val="22"/>
          <w:szCs w:val="22"/>
        </w:rPr>
        <w:t xml:space="preserve">900 </w:t>
      </w:r>
      <w:r w:rsidRPr="00022FA3">
        <w:rPr>
          <w:color w:val="000000"/>
          <w:sz w:val="22"/>
          <w:szCs w:val="22"/>
          <w:vertAlign w:val="superscript"/>
        </w:rPr>
        <w:t>o</w:t>
      </w:r>
      <w:r w:rsidRPr="00022FA3">
        <w:rPr>
          <w:color w:val="000000"/>
          <w:sz w:val="22"/>
          <w:szCs w:val="22"/>
        </w:rPr>
        <w:t>F</w:t>
      </w:r>
      <w:r>
        <w:rPr>
          <w:color w:val="000000"/>
          <w:sz w:val="22"/>
          <w:szCs w:val="22"/>
        </w:rPr>
        <w:t xml:space="preserve"> and exhaust gas cooling was not required</w:t>
      </w:r>
      <w:r w:rsidRPr="00022FA3">
        <w:rPr>
          <w:color w:val="000000"/>
          <w:sz w:val="22"/>
          <w:szCs w:val="22"/>
        </w:rPr>
        <w:t>.</w:t>
      </w:r>
    </w:p>
    <w:p w:rsidR="00F76E91" w:rsidRDefault="00411EBF" w:rsidP="008A43A1">
      <w:pPr>
        <w:spacing w:after="120"/>
        <w:rPr>
          <w:color w:val="000000"/>
          <w:sz w:val="22"/>
          <w:szCs w:val="22"/>
        </w:rPr>
      </w:pPr>
      <w:r w:rsidRPr="00022FA3">
        <w:rPr>
          <w:color w:val="000000"/>
          <w:sz w:val="22"/>
          <w:szCs w:val="22"/>
        </w:rPr>
        <w:t xml:space="preserve">For the highest temperature applications (&gt;1100 </w:t>
      </w:r>
      <w:r w:rsidRPr="00022FA3">
        <w:rPr>
          <w:color w:val="000000"/>
          <w:sz w:val="22"/>
          <w:szCs w:val="22"/>
          <w:vertAlign w:val="superscript"/>
        </w:rPr>
        <w:t>o</w:t>
      </w:r>
      <w:r w:rsidRPr="00022FA3">
        <w:rPr>
          <w:color w:val="000000"/>
          <w:sz w:val="22"/>
          <w:szCs w:val="22"/>
        </w:rPr>
        <w:t>F), such as large frame simple cycle turbines like the GE7FA.05, mo</w:t>
      </w:r>
      <w:r>
        <w:rPr>
          <w:color w:val="000000"/>
          <w:sz w:val="22"/>
          <w:szCs w:val="22"/>
        </w:rPr>
        <w:t>re</w:t>
      </w:r>
      <w:r w:rsidRPr="00022FA3">
        <w:rPr>
          <w:color w:val="000000"/>
          <w:sz w:val="22"/>
          <w:szCs w:val="22"/>
        </w:rPr>
        <w:t xml:space="preserve"> expensive formulations or substantial tempering air </w:t>
      </w:r>
      <w:r>
        <w:rPr>
          <w:color w:val="000000"/>
          <w:sz w:val="22"/>
          <w:szCs w:val="22"/>
        </w:rPr>
        <w:t>would be required</w:t>
      </w:r>
      <w:r w:rsidRPr="00022FA3">
        <w:rPr>
          <w:color w:val="000000"/>
          <w:sz w:val="22"/>
          <w:szCs w:val="22"/>
        </w:rPr>
        <w:t xml:space="preserve">.  </w:t>
      </w:r>
      <w:r w:rsidR="00F76E91">
        <w:rPr>
          <w:color w:val="000000"/>
          <w:sz w:val="22"/>
          <w:szCs w:val="22"/>
        </w:rPr>
        <w:t>Per the</w:t>
      </w:r>
      <w:r w:rsidR="00CC27AE">
        <w:rPr>
          <w:color w:val="000000"/>
          <w:sz w:val="22"/>
          <w:szCs w:val="22"/>
        </w:rPr>
        <w:t xml:space="preserve"> FPL</w:t>
      </w:r>
      <w:r w:rsidR="00F76E91">
        <w:rPr>
          <w:color w:val="000000"/>
          <w:sz w:val="22"/>
          <w:szCs w:val="22"/>
        </w:rPr>
        <w:t xml:space="preserve"> </w:t>
      </w:r>
      <w:r w:rsidR="007944FF">
        <w:rPr>
          <w:color w:val="000000"/>
          <w:sz w:val="22"/>
          <w:szCs w:val="22"/>
        </w:rPr>
        <w:t>Lauderdale</w:t>
      </w:r>
      <w:r w:rsidR="00F76E91">
        <w:rPr>
          <w:color w:val="000000"/>
          <w:sz w:val="22"/>
          <w:szCs w:val="22"/>
        </w:rPr>
        <w:t xml:space="preserve"> Project application:</w:t>
      </w:r>
    </w:p>
    <w:p w:rsidR="00F76E91" w:rsidRPr="00F76E91" w:rsidRDefault="00F76E91" w:rsidP="00F76E91">
      <w:pPr>
        <w:spacing w:after="120"/>
        <w:rPr>
          <w:i/>
          <w:color w:val="000000"/>
          <w:sz w:val="22"/>
          <w:szCs w:val="22"/>
        </w:rPr>
      </w:pPr>
      <w:r>
        <w:rPr>
          <w:i/>
          <w:color w:val="000000"/>
          <w:sz w:val="22"/>
          <w:szCs w:val="22"/>
        </w:rPr>
        <w:t>“</w:t>
      </w:r>
      <w:r w:rsidRPr="00F76E91">
        <w:rPr>
          <w:i/>
          <w:color w:val="000000"/>
          <w:sz w:val="22"/>
          <w:szCs w:val="22"/>
        </w:rPr>
        <w:t>The total capital costs of SCR for the Project exceed $15,000,000 per CT.  The total annualized cost of applying SCR with low-NO</w:t>
      </w:r>
      <w:r w:rsidRPr="002B04CB">
        <w:rPr>
          <w:i/>
          <w:color w:val="000000"/>
          <w:sz w:val="22"/>
          <w:szCs w:val="22"/>
          <w:vertAlign w:val="subscript"/>
        </w:rPr>
        <w:t>X</w:t>
      </w:r>
      <w:r w:rsidRPr="00F76E91">
        <w:rPr>
          <w:i/>
          <w:color w:val="000000"/>
          <w:sz w:val="22"/>
          <w:szCs w:val="22"/>
        </w:rPr>
        <w:t xml:space="preserve"> combustion technology ranges from is approximately $3.3 million to $2.7 million.  The incremental cost effectiveness of adding SCR to the low- NO</w:t>
      </w:r>
      <w:r w:rsidRPr="002B04CB">
        <w:rPr>
          <w:i/>
          <w:color w:val="000000"/>
          <w:sz w:val="22"/>
          <w:szCs w:val="22"/>
          <w:vertAlign w:val="subscript"/>
        </w:rPr>
        <w:t>X</w:t>
      </w:r>
      <w:r w:rsidRPr="00F76E91">
        <w:rPr>
          <w:i/>
          <w:color w:val="000000"/>
          <w:sz w:val="22"/>
          <w:szCs w:val="22"/>
        </w:rPr>
        <w:t xml:space="preserve"> combustors and water injection (for oil firing) is estimated at over $20,000 per ton of NOX removed, based on 3,390 hours of operation with 500 hour of oil firing.</w:t>
      </w:r>
      <w:r>
        <w:rPr>
          <w:i/>
          <w:color w:val="000000"/>
          <w:sz w:val="22"/>
          <w:szCs w:val="22"/>
        </w:rPr>
        <w:t>”</w:t>
      </w:r>
    </w:p>
    <w:p w:rsidR="00411EBF" w:rsidRPr="00022FA3" w:rsidRDefault="00411EBF" w:rsidP="008A43A1">
      <w:pPr>
        <w:spacing w:after="120"/>
        <w:rPr>
          <w:sz w:val="22"/>
          <w:szCs w:val="22"/>
        </w:rPr>
      </w:pPr>
      <w:r w:rsidRPr="00022FA3">
        <w:rPr>
          <w:sz w:val="22"/>
          <w:szCs w:val="22"/>
        </w:rPr>
        <w:t xml:space="preserve">The target values would be 14 and 2 </w:t>
      </w:r>
      <w:r>
        <w:rPr>
          <w:sz w:val="22"/>
          <w:szCs w:val="22"/>
        </w:rPr>
        <w:t>ppmvd @15% O</w:t>
      </w:r>
      <w:r w:rsidRPr="009A1B18">
        <w:rPr>
          <w:sz w:val="22"/>
          <w:szCs w:val="22"/>
          <w:vertAlign w:val="subscript"/>
        </w:rPr>
        <w:t>2</w:t>
      </w:r>
      <w:r w:rsidRPr="00022FA3">
        <w:rPr>
          <w:sz w:val="22"/>
          <w:szCs w:val="22"/>
        </w:rPr>
        <w:t xml:space="preserve"> while firing fuel oil and natural gas, respectively.  The Department does not necessarily accept the </w:t>
      </w:r>
      <w:r w:rsidR="00F76E91">
        <w:rPr>
          <w:sz w:val="22"/>
          <w:szCs w:val="22"/>
        </w:rPr>
        <w:t xml:space="preserve">FPL’s </w:t>
      </w:r>
      <w:r w:rsidRPr="00022FA3">
        <w:rPr>
          <w:sz w:val="22"/>
          <w:szCs w:val="22"/>
        </w:rPr>
        <w:t>cost estimates.  However, the Department concurs that hot SCR is not cost-effective for th</w:t>
      </w:r>
      <w:r>
        <w:rPr>
          <w:sz w:val="22"/>
          <w:szCs w:val="22"/>
        </w:rPr>
        <w:t xml:space="preserve">e proposed </w:t>
      </w:r>
      <w:r w:rsidRPr="00022FA3">
        <w:rPr>
          <w:sz w:val="22"/>
          <w:szCs w:val="22"/>
        </w:rPr>
        <w:t xml:space="preserve">primarily natural gas-fueled, </w:t>
      </w:r>
      <w:r>
        <w:rPr>
          <w:sz w:val="22"/>
          <w:szCs w:val="22"/>
        </w:rPr>
        <w:t xml:space="preserve">limited </w:t>
      </w:r>
      <w:r w:rsidRPr="00022FA3">
        <w:rPr>
          <w:sz w:val="22"/>
          <w:szCs w:val="22"/>
        </w:rPr>
        <w:t xml:space="preserve">operation, simple cycle </w:t>
      </w:r>
      <w:r>
        <w:rPr>
          <w:sz w:val="22"/>
          <w:szCs w:val="22"/>
        </w:rPr>
        <w:t xml:space="preserve">units </w:t>
      </w:r>
      <w:r w:rsidRPr="00022FA3">
        <w:rPr>
          <w:sz w:val="22"/>
          <w:szCs w:val="22"/>
        </w:rPr>
        <w:t xml:space="preserve">with a very high exhaust gas temperature.  </w:t>
      </w:r>
    </w:p>
    <w:p w:rsidR="00411EBF" w:rsidRPr="00283834" w:rsidRDefault="00411EBF" w:rsidP="000B75A8">
      <w:pPr>
        <w:pStyle w:val="BodyText2"/>
        <w:widowControl w:val="0"/>
        <w:numPr>
          <w:ilvl w:val="0"/>
          <w:numId w:val="0"/>
        </w:numPr>
        <w:jc w:val="left"/>
        <w:rPr>
          <w:color w:val="000000"/>
          <w:szCs w:val="22"/>
        </w:rPr>
      </w:pPr>
      <w:r>
        <w:rPr>
          <w:szCs w:val="22"/>
          <w:u w:val="single"/>
        </w:rPr>
        <w:t xml:space="preserve">Catalytic Combustion - </w:t>
      </w:r>
      <w:r w:rsidRPr="00872E11">
        <w:rPr>
          <w:szCs w:val="22"/>
          <w:u w:val="single"/>
        </w:rPr>
        <w:t>XONON</w:t>
      </w:r>
      <w:r w:rsidRPr="000B75A8">
        <w:rPr>
          <w:szCs w:val="22"/>
          <w:u w:val="single"/>
          <w:vertAlign w:val="superscript"/>
        </w:rPr>
        <w:t>TM</w:t>
      </w:r>
      <w:r>
        <w:rPr>
          <w:color w:val="000000"/>
          <w:szCs w:val="22"/>
        </w:rPr>
        <w:t xml:space="preserve">.  </w:t>
      </w:r>
      <w:r w:rsidRPr="00283834">
        <w:rPr>
          <w:color w:val="000000"/>
          <w:szCs w:val="22"/>
        </w:rPr>
        <w:t>XONON</w:t>
      </w:r>
      <w:r w:rsidRPr="00283834">
        <w:rPr>
          <w:color w:val="000000"/>
          <w:szCs w:val="22"/>
          <w:vertAlign w:val="superscript"/>
        </w:rPr>
        <w:t>TM</w:t>
      </w:r>
      <w:r w:rsidRPr="00283834">
        <w:rPr>
          <w:color w:val="000000"/>
          <w:szCs w:val="22"/>
        </w:rPr>
        <w:t xml:space="preserve"> </w:t>
      </w:r>
      <w:r>
        <w:rPr>
          <w:color w:val="000000"/>
          <w:szCs w:val="22"/>
        </w:rPr>
        <w:t xml:space="preserve">operates </w:t>
      </w:r>
      <w:r w:rsidRPr="00283834">
        <w:rPr>
          <w:color w:val="000000"/>
          <w:szCs w:val="22"/>
        </w:rPr>
        <w:t>by partially burning fuel in a low temperature pre-combustor and completing the combustion in a catalytic combustor.  The overall result is low temperature partial combustion (and thus lower NO</w:t>
      </w:r>
      <w:r w:rsidRPr="00283834">
        <w:rPr>
          <w:color w:val="000000"/>
          <w:szCs w:val="22"/>
          <w:vertAlign w:val="subscript"/>
        </w:rPr>
        <w:t>X</w:t>
      </w:r>
      <w:r w:rsidRPr="00283834">
        <w:rPr>
          <w:color w:val="000000"/>
          <w:szCs w:val="22"/>
        </w:rPr>
        <w:t xml:space="preserve"> production) followed by flameless catalytic combustion to further attenuate NO</w:t>
      </w:r>
      <w:r w:rsidRPr="00283834">
        <w:rPr>
          <w:color w:val="000000"/>
          <w:szCs w:val="22"/>
          <w:vertAlign w:val="subscript"/>
        </w:rPr>
        <w:t>X</w:t>
      </w:r>
      <w:r w:rsidRPr="00283834">
        <w:rPr>
          <w:color w:val="000000"/>
          <w:szCs w:val="22"/>
        </w:rPr>
        <w:t xml:space="preserve"> formation.</w:t>
      </w:r>
    </w:p>
    <w:p w:rsidR="00411EBF" w:rsidRPr="00283834" w:rsidRDefault="00411EBF" w:rsidP="008D70C9">
      <w:pPr>
        <w:pStyle w:val="BodyText2"/>
        <w:widowControl w:val="0"/>
        <w:numPr>
          <w:ilvl w:val="0"/>
          <w:numId w:val="0"/>
        </w:numPr>
        <w:jc w:val="left"/>
        <w:rPr>
          <w:color w:val="000000"/>
          <w:szCs w:val="22"/>
        </w:rPr>
      </w:pPr>
      <w:r w:rsidRPr="00283834">
        <w:rPr>
          <w:color w:val="000000"/>
          <w:szCs w:val="22"/>
        </w:rPr>
        <w:t>In 1998, Catalytica announced the startup of a 1.5 MW Kawasaki gas turbine equipped with XONON</w:t>
      </w:r>
      <w:r w:rsidRPr="00283834">
        <w:rPr>
          <w:color w:val="000000"/>
          <w:szCs w:val="22"/>
          <w:vertAlign w:val="superscript"/>
        </w:rPr>
        <w:t>TM</w:t>
      </w:r>
      <w:r w:rsidRPr="00283834">
        <w:rPr>
          <w:color w:val="000000"/>
          <w:szCs w:val="22"/>
        </w:rPr>
        <w:t>.</w:t>
      </w:r>
      <w:r w:rsidRPr="00283834">
        <w:rPr>
          <w:color w:val="000000"/>
          <w:szCs w:val="22"/>
          <w:vertAlign w:val="superscript"/>
        </w:rPr>
        <w:footnoteReference w:id="4"/>
      </w:r>
      <w:r w:rsidRPr="00283834">
        <w:rPr>
          <w:color w:val="000000"/>
          <w:szCs w:val="22"/>
        </w:rPr>
        <w:t xml:space="preserve">  The turbine is owned by Catalytica and is located at the Gianera Generating Station of Silicon Valley Power, a municipally owned utility serving the City of Santa Clara, California.  This turbine and XONON</w:t>
      </w:r>
      <w:r w:rsidRPr="00283834">
        <w:rPr>
          <w:color w:val="000000"/>
          <w:szCs w:val="22"/>
          <w:vertAlign w:val="superscript"/>
        </w:rPr>
        <w:t>TM</w:t>
      </w:r>
      <w:r w:rsidRPr="00283834">
        <w:rPr>
          <w:color w:val="000000"/>
          <w:szCs w:val="22"/>
        </w:rPr>
        <w:t xml:space="preserve"> system successfully completed over 18,000 hours of commercial operation.</w:t>
      </w:r>
      <w:r w:rsidRPr="00283834">
        <w:rPr>
          <w:color w:val="000000"/>
          <w:szCs w:val="22"/>
          <w:vertAlign w:val="superscript"/>
        </w:rPr>
        <w:t xml:space="preserve"> </w:t>
      </w:r>
      <w:r w:rsidRPr="00283834">
        <w:rPr>
          <w:color w:val="000000"/>
          <w:szCs w:val="22"/>
          <w:vertAlign w:val="superscript"/>
        </w:rPr>
        <w:footnoteReference w:id="5"/>
      </w:r>
      <w:r w:rsidRPr="00283834">
        <w:rPr>
          <w:color w:val="000000"/>
          <w:szCs w:val="22"/>
        </w:rPr>
        <w:t xml:space="preserve">  </w:t>
      </w:r>
      <w:r>
        <w:rPr>
          <w:color w:val="000000"/>
          <w:szCs w:val="22"/>
        </w:rPr>
        <w:t>At</w:t>
      </w:r>
      <w:r w:rsidRPr="00283834">
        <w:rPr>
          <w:color w:val="000000"/>
          <w:szCs w:val="22"/>
        </w:rPr>
        <w:t xml:space="preserve"> least five such units are operating or under construction with emission limits ranging from 3 to 20 </w:t>
      </w:r>
      <w:r>
        <w:rPr>
          <w:color w:val="000000"/>
          <w:szCs w:val="22"/>
        </w:rPr>
        <w:br/>
        <w:t>ppmvd @15% O</w:t>
      </w:r>
      <w:r w:rsidRPr="009A1B18">
        <w:rPr>
          <w:color w:val="000000"/>
          <w:szCs w:val="22"/>
          <w:vertAlign w:val="subscript"/>
        </w:rPr>
        <w:t>2</w:t>
      </w:r>
      <w:r w:rsidRPr="00283834">
        <w:rPr>
          <w:color w:val="000000"/>
          <w:szCs w:val="22"/>
        </w:rPr>
        <w:t>.</w:t>
      </w:r>
    </w:p>
    <w:p w:rsidR="00411EBF" w:rsidRPr="00283834" w:rsidRDefault="00411EBF" w:rsidP="008D70C9">
      <w:pPr>
        <w:pStyle w:val="BodyText2"/>
        <w:widowControl w:val="0"/>
        <w:numPr>
          <w:ilvl w:val="0"/>
          <w:numId w:val="0"/>
        </w:numPr>
        <w:jc w:val="left"/>
        <w:rPr>
          <w:color w:val="000000"/>
          <w:szCs w:val="22"/>
        </w:rPr>
      </w:pPr>
      <w:r w:rsidRPr="00283834">
        <w:rPr>
          <w:color w:val="000000"/>
          <w:szCs w:val="22"/>
        </w:rPr>
        <w:t>Emission tests conducted through the EPA’s Environmental Technology Verification Program (ETV) confirm NO</w:t>
      </w:r>
      <w:r w:rsidRPr="00283834">
        <w:rPr>
          <w:color w:val="000000"/>
          <w:szCs w:val="22"/>
          <w:vertAlign w:val="subscript"/>
        </w:rPr>
        <w:t>X</w:t>
      </w:r>
      <w:r w:rsidRPr="00283834">
        <w:rPr>
          <w:color w:val="000000"/>
          <w:szCs w:val="22"/>
        </w:rPr>
        <w:t xml:space="preserve"> emissions slightly greater than 1 ppm.</w:t>
      </w:r>
      <w:r w:rsidRPr="00283834">
        <w:rPr>
          <w:rStyle w:val="FootnoteReference"/>
          <w:color w:val="000000"/>
          <w:szCs w:val="22"/>
        </w:rPr>
        <w:footnoteReference w:id="6"/>
      </w:r>
      <w:r w:rsidRPr="00283834">
        <w:rPr>
          <w:color w:val="000000"/>
          <w:szCs w:val="22"/>
        </w:rPr>
        <w:t xml:space="preserve">  Despite the very low emission potential of XONON, the technology has not yet been demonstrated to achieve similarly low emissions on large turbines.</w:t>
      </w:r>
      <w:r w:rsidR="00300EC3">
        <w:rPr>
          <w:color w:val="000000"/>
          <w:szCs w:val="22"/>
        </w:rPr>
        <w:t xml:space="preserve">  </w:t>
      </w:r>
      <w:r w:rsidRPr="00283834">
        <w:rPr>
          <w:color w:val="000000"/>
          <w:szCs w:val="22"/>
        </w:rPr>
        <w:t xml:space="preserve">It is difficult to apply XONON on large units because they require relatively large combustors and would not likely deliver the same power as a unit relying on conventional diffusion flame or lean premixed combustion.  </w:t>
      </w:r>
      <w:r>
        <w:rPr>
          <w:color w:val="000000"/>
          <w:szCs w:val="22"/>
        </w:rPr>
        <w:t>In 2008, the technology was available for gas turbines in the 10 to 15 MW bracket with an expectation of NO</w:t>
      </w:r>
      <w:r w:rsidRPr="008D70C9">
        <w:rPr>
          <w:color w:val="000000"/>
          <w:szCs w:val="22"/>
          <w:vertAlign w:val="subscript"/>
        </w:rPr>
        <w:t>X</w:t>
      </w:r>
      <w:r>
        <w:rPr>
          <w:color w:val="000000"/>
          <w:szCs w:val="22"/>
        </w:rPr>
        <w:t xml:space="preserve"> emissions less than 5 ppmvd @15% O</w:t>
      </w:r>
      <w:r w:rsidRPr="009A1B18">
        <w:rPr>
          <w:color w:val="000000"/>
          <w:szCs w:val="22"/>
          <w:vertAlign w:val="subscript"/>
        </w:rPr>
        <w:t>2</w:t>
      </w:r>
      <w:r>
        <w:rPr>
          <w:color w:val="000000"/>
          <w:szCs w:val="22"/>
        </w:rPr>
        <w:t xml:space="preserve">.  </w:t>
      </w:r>
      <w:r w:rsidRPr="00283834">
        <w:rPr>
          <w:color w:val="000000"/>
          <w:szCs w:val="22"/>
        </w:rPr>
        <w:t xml:space="preserve">This technology is not feasible at this time for the </w:t>
      </w:r>
      <w:r w:rsidR="007944FF">
        <w:rPr>
          <w:color w:val="000000"/>
          <w:szCs w:val="22"/>
        </w:rPr>
        <w:t>Lauderdale</w:t>
      </w:r>
      <w:r w:rsidR="00300EC3">
        <w:rPr>
          <w:color w:val="000000"/>
          <w:szCs w:val="22"/>
        </w:rPr>
        <w:t xml:space="preserve"> </w:t>
      </w:r>
      <w:r>
        <w:rPr>
          <w:color w:val="000000"/>
          <w:szCs w:val="22"/>
        </w:rPr>
        <w:t>project.</w:t>
      </w:r>
    </w:p>
    <w:p w:rsidR="00411EBF" w:rsidRDefault="00411EBF" w:rsidP="00A250EC">
      <w:pPr>
        <w:pStyle w:val="BodyText2"/>
        <w:jc w:val="left"/>
        <w:rPr>
          <w:szCs w:val="22"/>
        </w:rPr>
      </w:pPr>
      <w:r>
        <w:rPr>
          <w:szCs w:val="22"/>
          <w:u w:val="single"/>
        </w:rPr>
        <w:t xml:space="preserve">EMx (Formerly </w:t>
      </w:r>
      <w:r w:rsidRPr="008D70C9">
        <w:rPr>
          <w:szCs w:val="22"/>
          <w:u w:val="single"/>
        </w:rPr>
        <w:t>SCONO</w:t>
      </w:r>
      <w:r w:rsidRPr="008D70C9">
        <w:rPr>
          <w:szCs w:val="22"/>
          <w:u w:val="single"/>
          <w:vertAlign w:val="subscript"/>
        </w:rPr>
        <w:t>X</w:t>
      </w:r>
      <w:r w:rsidRPr="008D70C9">
        <w:rPr>
          <w:szCs w:val="22"/>
          <w:u w:val="single"/>
          <w:vertAlign w:val="superscript"/>
        </w:rPr>
        <w:t>TM</w:t>
      </w:r>
      <w:r>
        <w:rPr>
          <w:szCs w:val="22"/>
        </w:rPr>
        <w:t>)</w:t>
      </w:r>
      <w:r w:rsidRPr="008D70C9">
        <w:rPr>
          <w:szCs w:val="22"/>
        </w:rPr>
        <w:t xml:space="preserve">  </w:t>
      </w:r>
      <w:r>
        <w:rPr>
          <w:szCs w:val="22"/>
        </w:rPr>
        <w:t xml:space="preserve">EMx </w:t>
      </w:r>
      <w:r w:rsidRPr="008D70C9">
        <w:rPr>
          <w:szCs w:val="22"/>
        </w:rPr>
        <w:t>is a NO</w:t>
      </w:r>
      <w:r w:rsidRPr="008D70C9">
        <w:rPr>
          <w:szCs w:val="22"/>
          <w:vertAlign w:val="subscript"/>
        </w:rPr>
        <w:t>X</w:t>
      </w:r>
      <w:r w:rsidRPr="008D70C9">
        <w:rPr>
          <w:szCs w:val="22"/>
        </w:rPr>
        <w:t xml:space="preserve"> and CO control system</w:t>
      </w:r>
      <w:r>
        <w:rPr>
          <w:szCs w:val="22"/>
        </w:rPr>
        <w:t xml:space="preserve">.  </w:t>
      </w:r>
      <w:r w:rsidRPr="008D70C9">
        <w:rPr>
          <w:szCs w:val="22"/>
        </w:rPr>
        <w:t>Specialized potassium carbonate catalyst beds reduce NO</w:t>
      </w:r>
      <w:r w:rsidRPr="008D70C9">
        <w:rPr>
          <w:szCs w:val="22"/>
          <w:vertAlign w:val="subscript"/>
        </w:rPr>
        <w:t>X</w:t>
      </w:r>
      <w:r w:rsidRPr="008D70C9">
        <w:rPr>
          <w:szCs w:val="22"/>
        </w:rPr>
        <w:t xml:space="preserve"> emissions using an oxidation-absorption-regeneration cycle.  </w:t>
      </w:r>
      <w:r>
        <w:rPr>
          <w:szCs w:val="22"/>
        </w:rPr>
        <w:t xml:space="preserve">One benefit is that it does not require ammonia injection.  </w:t>
      </w:r>
      <w:r w:rsidRPr="008D70C9">
        <w:rPr>
          <w:szCs w:val="22"/>
        </w:rPr>
        <w:t xml:space="preserve">The required operating temperature range is between 300°F and </w:t>
      </w:r>
      <w:r w:rsidRPr="008D70C9">
        <w:rPr>
          <w:szCs w:val="22"/>
        </w:rPr>
        <w:lastRenderedPageBreak/>
        <w:t xml:space="preserve">700°F, which exists within a </w:t>
      </w:r>
      <w:r>
        <w:rPr>
          <w:szCs w:val="22"/>
        </w:rPr>
        <w:t xml:space="preserve">heat recovery steam generator of a combined cycle unit but not in a simple cycle unit.  Therefore substantial gas cooling would be required.  EMx costs much more than SCR, is mechanically very complicated and requires on-site hydrogen production from natural gas.  Even if it is technically feasible, it is </w:t>
      </w:r>
      <w:r w:rsidRPr="008D70C9">
        <w:rPr>
          <w:szCs w:val="22"/>
        </w:rPr>
        <w:t xml:space="preserve">not </w:t>
      </w:r>
      <w:r>
        <w:rPr>
          <w:szCs w:val="22"/>
        </w:rPr>
        <w:t xml:space="preserve">cost-effective for this project.  </w:t>
      </w:r>
    </w:p>
    <w:p w:rsidR="00411EBF" w:rsidRPr="00414E91" w:rsidRDefault="00411EBF" w:rsidP="00C070A4">
      <w:pPr>
        <w:widowControl w:val="0"/>
        <w:numPr>
          <w:ilvl w:val="3"/>
          <w:numId w:val="2"/>
        </w:numPr>
        <w:tabs>
          <w:tab w:val="left" w:pos="720"/>
        </w:tabs>
        <w:spacing w:after="120"/>
        <w:ind w:left="720" w:hanging="720"/>
        <w:rPr>
          <w:i/>
          <w:sz w:val="22"/>
          <w:szCs w:val="22"/>
        </w:rPr>
      </w:pPr>
      <w:r w:rsidRPr="00414E91">
        <w:rPr>
          <w:i/>
          <w:sz w:val="22"/>
          <w:szCs w:val="22"/>
        </w:rPr>
        <w:t xml:space="preserve">Requirements of 40 CFR Parts 60 and 63 on the Combustion Turbines </w:t>
      </w:r>
      <w:r w:rsidR="006D1877" w:rsidRPr="00414E91">
        <w:rPr>
          <w:i/>
          <w:sz w:val="22"/>
          <w:szCs w:val="22"/>
        </w:rPr>
        <w:t>with R</w:t>
      </w:r>
      <w:r w:rsidRPr="00414E91">
        <w:rPr>
          <w:i/>
          <w:sz w:val="22"/>
          <w:szCs w:val="22"/>
        </w:rPr>
        <w:t>espect to NO</w:t>
      </w:r>
      <w:r w:rsidRPr="00414E91">
        <w:rPr>
          <w:i/>
          <w:sz w:val="22"/>
          <w:szCs w:val="22"/>
          <w:vertAlign w:val="subscript"/>
        </w:rPr>
        <w:t>X</w:t>
      </w:r>
    </w:p>
    <w:p w:rsidR="00411EBF" w:rsidRDefault="00411EBF" w:rsidP="00DD2693">
      <w:pPr>
        <w:pStyle w:val="BodyText"/>
        <w:widowControl w:val="0"/>
        <w:rPr>
          <w:iCs/>
          <w:sz w:val="22"/>
          <w:szCs w:val="22"/>
        </w:rPr>
      </w:pPr>
      <w:r w:rsidRPr="00DD2693">
        <w:rPr>
          <w:sz w:val="22"/>
          <w:szCs w:val="22"/>
        </w:rPr>
        <w:t xml:space="preserve">As stated in the definition of BACT given above, </w:t>
      </w:r>
      <w:r w:rsidRPr="00BA101B">
        <w:rPr>
          <w:i/>
          <w:sz w:val="22"/>
          <w:szCs w:val="22"/>
        </w:rPr>
        <w:t>“in no event shall application of BACT result in emissions of any pollutant which would exceed the emissions allowed by any applicable standard under 40 CFR Parts 60, 61, and 63”</w:t>
      </w:r>
      <w:r w:rsidRPr="00DD2693">
        <w:rPr>
          <w:sz w:val="22"/>
          <w:szCs w:val="22"/>
        </w:rPr>
        <w:t xml:space="preserve">.  </w:t>
      </w:r>
      <w:r>
        <w:rPr>
          <w:sz w:val="22"/>
          <w:szCs w:val="22"/>
        </w:rPr>
        <w:t xml:space="preserve">The </w:t>
      </w:r>
      <w:r w:rsidR="008A504D">
        <w:rPr>
          <w:sz w:val="22"/>
          <w:szCs w:val="22"/>
        </w:rPr>
        <w:t>five</w:t>
      </w:r>
      <w:r>
        <w:rPr>
          <w:sz w:val="22"/>
          <w:szCs w:val="22"/>
        </w:rPr>
        <w:t xml:space="preserve"> new combustion turbines are subject to the requirements in </w:t>
      </w:r>
      <w:r w:rsidRPr="00DD2693">
        <w:rPr>
          <w:iCs/>
          <w:sz w:val="22"/>
          <w:szCs w:val="22"/>
        </w:rPr>
        <w:t>40</w:t>
      </w:r>
      <w:r>
        <w:rPr>
          <w:iCs/>
          <w:sz w:val="22"/>
          <w:szCs w:val="22"/>
        </w:rPr>
        <w:t xml:space="preserve"> </w:t>
      </w:r>
      <w:r w:rsidRPr="00DD2693">
        <w:rPr>
          <w:iCs/>
          <w:sz w:val="22"/>
          <w:szCs w:val="22"/>
        </w:rPr>
        <w:t>CFR</w:t>
      </w:r>
      <w:r>
        <w:rPr>
          <w:iCs/>
          <w:sz w:val="22"/>
          <w:szCs w:val="22"/>
        </w:rPr>
        <w:t xml:space="preserve"> </w:t>
      </w:r>
      <w:r w:rsidRPr="00DD2693">
        <w:rPr>
          <w:iCs/>
          <w:sz w:val="22"/>
          <w:szCs w:val="22"/>
        </w:rPr>
        <w:t xml:space="preserve">60, Subpart KKKK - Standards of Performance for Stationary Combustion Turbines that Commence Construction after February 18, 2005.  </w:t>
      </w:r>
      <w:r>
        <w:rPr>
          <w:iCs/>
          <w:sz w:val="22"/>
          <w:szCs w:val="22"/>
        </w:rPr>
        <w:t xml:space="preserve">The citation is abbreviated as NSPS </w:t>
      </w:r>
      <w:r w:rsidR="008A504D">
        <w:rPr>
          <w:iCs/>
          <w:sz w:val="22"/>
          <w:szCs w:val="22"/>
        </w:rPr>
        <w:t xml:space="preserve">Subpart </w:t>
      </w:r>
      <w:r>
        <w:rPr>
          <w:iCs/>
          <w:sz w:val="22"/>
          <w:szCs w:val="22"/>
        </w:rPr>
        <w:t xml:space="preserve">KKKK for the purposes of subsequent discussion.  </w:t>
      </w:r>
      <w:hyperlink r:id="rId41" w:history="1">
        <w:r w:rsidR="008A504D">
          <w:rPr>
            <w:rStyle w:val="Hyperlink"/>
            <w:iCs/>
            <w:sz w:val="22"/>
            <w:szCs w:val="22"/>
          </w:rPr>
          <w:t>Link to NSPS Subpart KKKK</w:t>
        </w:r>
      </w:hyperlink>
      <w:r>
        <w:rPr>
          <w:iCs/>
          <w:sz w:val="22"/>
          <w:szCs w:val="22"/>
        </w:rPr>
        <w:t xml:space="preserve">.  </w:t>
      </w:r>
      <w:r w:rsidR="004139F3" w:rsidRPr="00CC27AE">
        <w:rPr>
          <w:b/>
          <w:iCs/>
          <w:sz w:val="22"/>
          <w:szCs w:val="22"/>
        </w:rPr>
        <w:fldChar w:fldCharType="begin"/>
      </w:r>
      <w:r w:rsidR="004139F3" w:rsidRPr="00CC27AE">
        <w:rPr>
          <w:b/>
          <w:iCs/>
          <w:sz w:val="22"/>
          <w:szCs w:val="22"/>
        </w:rPr>
        <w:instrText xml:space="preserve"> REF _Ref365466459 \h  \* MERGEFORMAT </w:instrText>
      </w:r>
      <w:r w:rsidR="004139F3" w:rsidRPr="00CC27AE">
        <w:rPr>
          <w:b/>
          <w:iCs/>
          <w:sz w:val="22"/>
          <w:szCs w:val="22"/>
        </w:rPr>
      </w:r>
      <w:r w:rsidR="004139F3" w:rsidRPr="00CC27AE">
        <w:rPr>
          <w:b/>
          <w:iCs/>
          <w:sz w:val="22"/>
          <w:szCs w:val="22"/>
        </w:rPr>
        <w:fldChar w:fldCharType="separate"/>
      </w:r>
      <w:r w:rsidR="007F3589" w:rsidRPr="007F3589">
        <w:rPr>
          <w:b/>
          <w:sz w:val="22"/>
          <w:szCs w:val="22"/>
        </w:rPr>
        <w:t xml:space="preserve">Table </w:t>
      </w:r>
      <w:r w:rsidR="007F3589" w:rsidRPr="007F3589">
        <w:rPr>
          <w:b/>
          <w:noProof/>
          <w:sz w:val="22"/>
          <w:szCs w:val="22"/>
        </w:rPr>
        <w:t>7</w:t>
      </w:r>
      <w:r w:rsidR="004139F3" w:rsidRPr="00CC27AE">
        <w:rPr>
          <w:b/>
          <w:iCs/>
          <w:sz w:val="22"/>
          <w:szCs w:val="22"/>
        </w:rPr>
        <w:fldChar w:fldCharType="end"/>
      </w:r>
      <w:r w:rsidR="004139F3">
        <w:rPr>
          <w:iCs/>
          <w:sz w:val="22"/>
          <w:szCs w:val="22"/>
        </w:rPr>
        <w:t xml:space="preserve"> </w:t>
      </w:r>
      <w:r>
        <w:rPr>
          <w:iCs/>
          <w:sz w:val="22"/>
          <w:szCs w:val="22"/>
        </w:rPr>
        <w:t xml:space="preserve">below includes the emission standards applicable to the </w:t>
      </w:r>
      <w:r w:rsidR="00941103">
        <w:rPr>
          <w:iCs/>
          <w:sz w:val="22"/>
          <w:szCs w:val="22"/>
        </w:rPr>
        <w:t xml:space="preserve">FPL </w:t>
      </w:r>
      <w:r w:rsidR="007944FF">
        <w:rPr>
          <w:iCs/>
          <w:sz w:val="22"/>
          <w:szCs w:val="22"/>
        </w:rPr>
        <w:t>Lauderdale</w:t>
      </w:r>
      <w:r>
        <w:rPr>
          <w:iCs/>
          <w:sz w:val="22"/>
          <w:szCs w:val="22"/>
        </w:rPr>
        <w:t xml:space="preserve"> project.  </w:t>
      </w:r>
    </w:p>
    <w:p w:rsidR="00411EBF" w:rsidRPr="004139F3" w:rsidRDefault="004139F3" w:rsidP="004139F3">
      <w:pPr>
        <w:pStyle w:val="Caption"/>
        <w:spacing w:before="0"/>
        <w:jc w:val="center"/>
        <w:rPr>
          <w:bCs/>
          <w:color w:val="000000"/>
          <w:szCs w:val="22"/>
        </w:rPr>
      </w:pPr>
      <w:bookmarkStart w:id="25" w:name="_Ref365466459"/>
      <w:r w:rsidRPr="004139F3">
        <w:t xml:space="preserve">Table </w:t>
      </w:r>
      <w:fldSimple w:instr=" SEQ Table \* ARABIC ">
        <w:r w:rsidR="007F3589">
          <w:rPr>
            <w:noProof/>
          </w:rPr>
          <w:t>7</w:t>
        </w:r>
      </w:fldSimple>
      <w:bookmarkEnd w:id="25"/>
      <w:r w:rsidRPr="004139F3">
        <w:t xml:space="preserve"> </w:t>
      </w:r>
      <w:r w:rsidR="00411EBF" w:rsidRPr="004139F3">
        <w:rPr>
          <w:bCs/>
          <w:color w:val="000000"/>
          <w:szCs w:val="22"/>
        </w:rPr>
        <w:t>– NSPS Subpart KKKK Standards for New Large Stationary Combustion Turbines</w:t>
      </w:r>
      <w:r>
        <w:rPr>
          <w:bCs/>
          <w:color w:val="000000"/>
          <w:szCs w:val="22"/>
        </w:rPr>
        <w:t>.</w:t>
      </w:r>
    </w:p>
    <w:tbl>
      <w:tblPr>
        <w:tblW w:w="49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5"/>
        <w:gridCol w:w="3888"/>
        <w:gridCol w:w="2350"/>
      </w:tblGrid>
      <w:tr w:rsidR="00411EBF" w:rsidTr="00365FA3">
        <w:trPr>
          <w:tblHeader/>
        </w:trPr>
        <w:tc>
          <w:tcPr>
            <w:tcW w:w="1658" w:type="pct"/>
            <w:shd w:val="clear" w:color="auto" w:fill="C6D9F1"/>
            <w:hideMark/>
          </w:tcPr>
          <w:p w:rsidR="00411EBF" w:rsidRPr="00941103" w:rsidRDefault="00411EBF" w:rsidP="004C0722">
            <w:pPr>
              <w:spacing w:before="20" w:after="20"/>
              <w:ind w:left="90" w:right="76"/>
              <w:rPr>
                <w:b/>
                <w:bCs/>
              </w:rPr>
            </w:pPr>
            <w:r w:rsidRPr="00941103">
              <w:rPr>
                <w:b/>
                <w:bCs/>
              </w:rPr>
              <w:t>Combustion Turbine Type</w:t>
            </w:r>
          </w:p>
        </w:tc>
        <w:tc>
          <w:tcPr>
            <w:tcW w:w="2083" w:type="pct"/>
            <w:shd w:val="clear" w:color="auto" w:fill="C6D9F1"/>
            <w:hideMark/>
          </w:tcPr>
          <w:p w:rsidR="00411EBF" w:rsidRPr="00941103" w:rsidRDefault="00411EBF" w:rsidP="00D04E45">
            <w:pPr>
              <w:spacing w:before="20" w:after="20"/>
              <w:ind w:left="75"/>
              <w:jc w:val="center"/>
              <w:rPr>
                <w:b/>
                <w:bCs/>
                <w:vertAlign w:val="superscript"/>
              </w:rPr>
            </w:pPr>
            <w:r w:rsidRPr="00941103">
              <w:rPr>
                <w:b/>
                <w:bCs/>
              </w:rPr>
              <w:t xml:space="preserve">Peak Load Heat Input, Power Output </w:t>
            </w:r>
            <w:r w:rsidRPr="00941103">
              <w:rPr>
                <w:b/>
                <w:bCs/>
                <w:vertAlign w:val="superscript"/>
              </w:rPr>
              <w:t>1</w:t>
            </w:r>
          </w:p>
        </w:tc>
        <w:tc>
          <w:tcPr>
            <w:tcW w:w="1259" w:type="pct"/>
            <w:shd w:val="clear" w:color="auto" w:fill="C6D9F1"/>
            <w:hideMark/>
          </w:tcPr>
          <w:p w:rsidR="00411EBF" w:rsidRPr="00941103" w:rsidRDefault="00411EBF" w:rsidP="00D04E45">
            <w:pPr>
              <w:spacing w:before="20" w:after="20"/>
              <w:jc w:val="center"/>
              <w:rPr>
                <w:b/>
                <w:bCs/>
              </w:rPr>
            </w:pPr>
            <w:r w:rsidRPr="00941103">
              <w:rPr>
                <w:b/>
                <w:bCs/>
              </w:rPr>
              <w:t>NO</w:t>
            </w:r>
            <w:r w:rsidRPr="00941103">
              <w:rPr>
                <w:b/>
                <w:bCs/>
                <w:vertAlign w:val="subscript"/>
              </w:rPr>
              <w:t>X</w:t>
            </w:r>
            <w:r w:rsidRPr="00941103">
              <w:rPr>
                <w:b/>
                <w:bCs/>
              </w:rPr>
              <w:t xml:space="preserve"> Standard </w:t>
            </w:r>
            <w:r w:rsidRPr="00941103">
              <w:rPr>
                <w:b/>
                <w:bCs/>
                <w:vertAlign w:val="superscript"/>
              </w:rPr>
              <w:t>2</w:t>
            </w:r>
          </w:p>
        </w:tc>
      </w:tr>
      <w:tr w:rsidR="00411EBF" w:rsidRPr="00783079" w:rsidTr="00BA101B">
        <w:tc>
          <w:tcPr>
            <w:tcW w:w="1658" w:type="pct"/>
            <w:vAlign w:val="center"/>
            <w:hideMark/>
          </w:tcPr>
          <w:p w:rsidR="00411EBF" w:rsidRPr="00941103" w:rsidRDefault="00411EBF" w:rsidP="00941103">
            <w:pPr>
              <w:spacing w:before="20" w:after="20"/>
              <w:ind w:left="90" w:right="76"/>
            </w:pPr>
            <w:r w:rsidRPr="00941103">
              <w:t>New, modified, or reconstructed turbine firing natural gas</w:t>
            </w:r>
          </w:p>
        </w:tc>
        <w:tc>
          <w:tcPr>
            <w:tcW w:w="2083" w:type="pct"/>
            <w:vAlign w:val="center"/>
            <w:hideMark/>
          </w:tcPr>
          <w:p w:rsidR="00411EBF" w:rsidRPr="00941103" w:rsidRDefault="00411EBF" w:rsidP="00941103">
            <w:pPr>
              <w:spacing w:before="20" w:after="20"/>
              <w:ind w:left="-199"/>
              <w:jc w:val="center"/>
            </w:pPr>
            <w:r w:rsidRPr="00941103">
              <w:t>&gt; 850 MMBtu/hour</w:t>
            </w:r>
          </w:p>
        </w:tc>
        <w:tc>
          <w:tcPr>
            <w:tcW w:w="1259" w:type="pct"/>
            <w:hideMark/>
          </w:tcPr>
          <w:p w:rsidR="00411EBF" w:rsidRPr="00941103" w:rsidRDefault="00411EBF" w:rsidP="00941103">
            <w:pPr>
              <w:spacing w:before="20" w:after="20"/>
              <w:ind w:left="162" w:right="90"/>
            </w:pPr>
            <w:r w:rsidRPr="00941103">
              <w:t>15 ppm @15% O</w:t>
            </w:r>
            <w:r w:rsidRPr="00941103">
              <w:rPr>
                <w:vertAlign w:val="subscript"/>
              </w:rPr>
              <w:t>2</w:t>
            </w:r>
            <w:r w:rsidRPr="00941103">
              <w:t xml:space="preserve"> or</w:t>
            </w:r>
            <w:r w:rsidRPr="00941103">
              <w:br/>
              <w:t>54 ng/J, useful output (0.43 lb/MW-hour)</w:t>
            </w:r>
          </w:p>
        </w:tc>
      </w:tr>
      <w:tr w:rsidR="00411EBF" w:rsidRPr="00783079" w:rsidTr="00BA101B">
        <w:tc>
          <w:tcPr>
            <w:tcW w:w="1658" w:type="pct"/>
            <w:vAlign w:val="center"/>
            <w:hideMark/>
          </w:tcPr>
          <w:p w:rsidR="00411EBF" w:rsidRPr="00941103" w:rsidRDefault="00411EBF" w:rsidP="00941103">
            <w:pPr>
              <w:spacing w:before="20" w:after="20"/>
              <w:ind w:left="90" w:right="76"/>
            </w:pPr>
            <w:r w:rsidRPr="00941103">
              <w:t>New, modified, or reconstructed turbine firing fuels other than natural gas</w:t>
            </w:r>
          </w:p>
        </w:tc>
        <w:tc>
          <w:tcPr>
            <w:tcW w:w="2083" w:type="pct"/>
            <w:vAlign w:val="center"/>
            <w:hideMark/>
          </w:tcPr>
          <w:p w:rsidR="00411EBF" w:rsidRPr="00941103" w:rsidRDefault="00411EBF" w:rsidP="00941103">
            <w:pPr>
              <w:spacing w:before="20" w:after="20"/>
              <w:ind w:left="-199"/>
              <w:jc w:val="center"/>
            </w:pPr>
            <w:r w:rsidRPr="00941103">
              <w:t>&gt; 850 MMBtu/hour</w:t>
            </w:r>
          </w:p>
        </w:tc>
        <w:tc>
          <w:tcPr>
            <w:tcW w:w="1259" w:type="pct"/>
            <w:hideMark/>
          </w:tcPr>
          <w:p w:rsidR="00411EBF" w:rsidRPr="00941103" w:rsidRDefault="00411EBF" w:rsidP="00941103">
            <w:pPr>
              <w:spacing w:before="20" w:after="20"/>
              <w:ind w:left="162" w:right="90"/>
            </w:pPr>
            <w:r w:rsidRPr="00941103">
              <w:t>42 ppm @15% O</w:t>
            </w:r>
            <w:r w:rsidRPr="00941103">
              <w:rPr>
                <w:vertAlign w:val="subscript"/>
              </w:rPr>
              <w:t>2</w:t>
            </w:r>
            <w:r w:rsidRPr="00941103">
              <w:t xml:space="preserve"> or</w:t>
            </w:r>
            <w:r w:rsidRPr="00941103">
              <w:br/>
              <w:t>160 ng/J, useful output (1.3 lb/MW-hour)</w:t>
            </w:r>
          </w:p>
        </w:tc>
      </w:tr>
      <w:tr w:rsidR="00411EBF" w:rsidRPr="00783079" w:rsidTr="00BA101B">
        <w:tc>
          <w:tcPr>
            <w:tcW w:w="1658" w:type="pct"/>
            <w:vAlign w:val="center"/>
            <w:hideMark/>
          </w:tcPr>
          <w:p w:rsidR="00411EBF" w:rsidRPr="00941103" w:rsidRDefault="00411EBF" w:rsidP="00300EC3">
            <w:pPr>
              <w:spacing w:before="20" w:after="20"/>
              <w:ind w:left="90" w:right="76"/>
            </w:pPr>
            <w:r w:rsidRPr="00941103">
              <w:t xml:space="preserve">Turbines located north of the Arctic Circle, </w:t>
            </w:r>
            <w:r w:rsidRPr="00941103">
              <w:rPr>
                <w:b/>
              </w:rPr>
              <w:t>turbines operating at less than 75% of peak load</w:t>
            </w:r>
          </w:p>
        </w:tc>
        <w:tc>
          <w:tcPr>
            <w:tcW w:w="2083" w:type="pct"/>
            <w:vAlign w:val="center"/>
            <w:hideMark/>
          </w:tcPr>
          <w:p w:rsidR="00411EBF" w:rsidRPr="00941103" w:rsidRDefault="00411EBF" w:rsidP="00941103">
            <w:pPr>
              <w:spacing w:before="20" w:after="20"/>
              <w:ind w:left="-199"/>
              <w:jc w:val="center"/>
            </w:pPr>
            <w:r w:rsidRPr="00941103">
              <w:t>&gt; 30 MW output</w:t>
            </w:r>
          </w:p>
        </w:tc>
        <w:tc>
          <w:tcPr>
            <w:tcW w:w="1259" w:type="pct"/>
            <w:hideMark/>
          </w:tcPr>
          <w:p w:rsidR="00411EBF" w:rsidRPr="00941103" w:rsidRDefault="00411EBF" w:rsidP="00941103">
            <w:pPr>
              <w:spacing w:before="20" w:after="20"/>
              <w:ind w:left="162" w:right="90"/>
            </w:pPr>
            <w:r w:rsidRPr="00941103">
              <w:t>96 ppm @15% O</w:t>
            </w:r>
            <w:r w:rsidRPr="00941103">
              <w:rPr>
                <w:vertAlign w:val="subscript"/>
              </w:rPr>
              <w:t>2</w:t>
            </w:r>
            <w:r w:rsidRPr="00941103">
              <w:t xml:space="preserve"> or</w:t>
            </w:r>
            <w:r w:rsidRPr="00941103">
              <w:br/>
              <w:t>590 ng/J, useful output (4.7 lb/MW-hour)</w:t>
            </w:r>
          </w:p>
        </w:tc>
      </w:tr>
      <w:tr w:rsidR="00411EBF" w:rsidTr="00BA101B">
        <w:tc>
          <w:tcPr>
            <w:tcW w:w="5000" w:type="pct"/>
            <w:gridSpan w:val="3"/>
            <w:hideMark/>
          </w:tcPr>
          <w:p w:rsidR="00411EBF" w:rsidRDefault="00411EBF" w:rsidP="00C070A4">
            <w:pPr>
              <w:numPr>
                <w:ilvl w:val="0"/>
                <w:numId w:val="16"/>
              </w:numPr>
              <w:spacing w:before="20" w:after="20"/>
              <w:ind w:left="360" w:right="86"/>
              <w:rPr>
                <w:sz w:val="18"/>
                <w:szCs w:val="18"/>
              </w:rPr>
            </w:pPr>
            <w:r>
              <w:rPr>
                <w:sz w:val="18"/>
                <w:szCs w:val="18"/>
              </w:rPr>
              <w:t>Heat input based on the higher heating value (HHV) or MW of useful output</w:t>
            </w:r>
          </w:p>
          <w:p w:rsidR="00411EBF" w:rsidRPr="003A1D28" w:rsidRDefault="00411EBF" w:rsidP="00C070A4">
            <w:pPr>
              <w:numPr>
                <w:ilvl w:val="0"/>
                <w:numId w:val="16"/>
              </w:numPr>
              <w:spacing w:after="20"/>
              <w:ind w:left="360" w:right="86"/>
              <w:rPr>
                <w:sz w:val="18"/>
                <w:szCs w:val="18"/>
              </w:rPr>
            </w:pPr>
            <w:r>
              <w:rPr>
                <w:sz w:val="18"/>
                <w:szCs w:val="18"/>
              </w:rPr>
              <w:t>ng/J means nanograms per joule</w:t>
            </w:r>
          </w:p>
        </w:tc>
      </w:tr>
    </w:tbl>
    <w:p w:rsidR="00411EBF" w:rsidRDefault="00411EBF" w:rsidP="00BA101B">
      <w:pPr>
        <w:tabs>
          <w:tab w:val="left" w:pos="4680"/>
          <w:tab w:val="left" w:pos="6840"/>
        </w:tabs>
        <w:spacing w:before="120" w:after="120"/>
        <w:ind w:right="-86"/>
        <w:rPr>
          <w:iCs/>
          <w:sz w:val="22"/>
          <w:szCs w:val="22"/>
        </w:rPr>
      </w:pPr>
      <w:r>
        <w:rPr>
          <w:iCs/>
          <w:sz w:val="22"/>
          <w:szCs w:val="22"/>
        </w:rPr>
        <w:t>A NO</w:t>
      </w:r>
      <w:r w:rsidRPr="002707FC">
        <w:rPr>
          <w:iCs/>
          <w:sz w:val="22"/>
          <w:szCs w:val="22"/>
          <w:vertAlign w:val="subscript"/>
        </w:rPr>
        <w:t>X</w:t>
      </w:r>
      <w:r>
        <w:rPr>
          <w:iCs/>
          <w:sz w:val="22"/>
          <w:szCs w:val="22"/>
        </w:rPr>
        <w:t xml:space="preserve"> standard of 96 ppmvd @15% O</w:t>
      </w:r>
      <w:r w:rsidRPr="000A4009">
        <w:rPr>
          <w:iCs/>
          <w:sz w:val="22"/>
          <w:szCs w:val="22"/>
          <w:vertAlign w:val="subscript"/>
        </w:rPr>
        <w:t>2</w:t>
      </w:r>
      <w:r>
        <w:rPr>
          <w:iCs/>
          <w:sz w:val="22"/>
          <w:szCs w:val="22"/>
        </w:rPr>
        <w:t xml:space="preserve"> is provided for combustion turbines operating at less than 75% of peak load.  Per above</w:t>
      </w:r>
      <w:r w:rsidR="00300EC3">
        <w:rPr>
          <w:iCs/>
          <w:sz w:val="22"/>
          <w:szCs w:val="22"/>
        </w:rPr>
        <w:t xml:space="preserve"> </w:t>
      </w:r>
      <w:r w:rsidR="00300EC3" w:rsidRPr="00CC27AE">
        <w:rPr>
          <w:b/>
          <w:iCs/>
          <w:sz w:val="22"/>
          <w:szCs w:val="22"/>
        </w:rPr>
        <w:fldChar w:fldCharType="begin"/>
      </w:r>
      <w:r w:rsidR="00300EC3" w:rsidRPr="00CC27AE">
        <w:rPr>
          <w:b/>
          <w:iCs/>
          <w:sz w:val="22"/>
          <w:szCs w:val="22"/>
        </w:rPr>
        <w:instrText xml:space="preserve"> REF _Ref365459602 \h  \* MERGEFORMAT </w:instrText>
      </w:r>
      <w:r w:rsidR="00300EC3" w:rsidRPr="00CC27AE">
        <w:rPr>
          <w:b/>
          <w:iCs/>
          <w:sz w:val="22"/>
          <w:szCs w:val="22"/>
        </w:rPr>
      </w:r>
      <w:r w:rsidR="00300EC3" w:rsidRPr="00CC27AE">
        <w:rPr>
          <w:b/>
          <w:iCs/>
          <w:sz w:val="22"/>
          <w:szCs w:val="22"/>
        </w:rPr>
        <w:fldChar w:fldCharType="separate"/>
      </w:r>
      <w:r w:rsidR="007F3589" w:rsidRPr="007F3589">
        <w:rPr>
          <w:b/>
          <w:sz w:val="22"/>
        </w:rPr>
        <w:t xml:space="preserve">Figure </w:t>
      </w:r>
      <w:r w:rsidR="007F3589" w:rsidRPr="007F3589">
        <w:rPr>
          <w:b/>
          <w:noProof/>
          <w:sz w:val="22"/>
        </w:rPr>
        <w:t>14</w:t>
      </w:r>
      <w:r w:rsidR="00300EC3" w:rsidRPr="00CC27AE">
        <w:rPr>
          <w:b/>
          <w:iCs/>
          <w:sz w:val="22"/>
          <w:szCs w:val="22"/>
        </w:rPr>
        <w:fldChar w:fldCharType="end"/>
      </w:r>
      <w:r w:rsidR="00300EC3">
        <w:rPr>
          <w:iCs/>
          <w:sz w:val="22"/>
          <w:szCs w:val="22"/>
        </w:rPr>
        <w:t xml:space="preserve"> above</w:t>
      </w:r>
      <w:r>
        <w:rPr>
          <w:iCs/>
          <w:sz w:val="22"/>
          <w:szCs w:val="22"/>
        </w:rPr>
        <w:t>, the GE NO</w:t>
      </w:r>
      <w:r w:rsidRPr="002707FC">
        <w:rPr>
          <w:iCs/>
          <w:sz w:val="22"/>
          <w:szCs w:val="22"/>
          <w:vertAlign w:val="subscript"/>
        </w:rPr>
        <w:t>X</w:t>
      </w:r>
      <w:r>
        <w:rPr>
          <w:iCs/>
          <w:sz w:val="22"/>
          <w:szCs w:val="22"/>
        </w:rPr>
        <w:t xml:space="preserve"> Start-up product makes it possible to operate the GE 7FA.05 units at all loads while complying with the respective NSPS Subpart KKKK limits.  </w:t>
      </w:r>
    </w:p>
    <w:p w:rsidR="00411EBF" w:rsidRPr="00A8610B" w:rsidRDefault="00411EBF" w:rsidP="002E7545">
      <w:pPr>
        <w:tabs>
          <w:tab w:val="left" w:pos="4680"/>
          <w:tab w:val="left" w:pos="6840"/>
        </w:tabs>
        <w:spacing w:after="120"/>
        <w:ind w:right="-86"/>
        <w:rPr>
          <w:iCs/>
          <w:sz w:val="22"/>
          <w:szCs w:val="22"/>
        </w:rPr>
      </w:pPr>
      <w:r w:rsidRPr="00A8610B">
        <w:rPr>
          <w:iCs/>
          <w:sz w:val="22"/>
          <w:szCs w:val="22"/>
        </w:rPr>
        <w:t>There are no NO</w:t>
      </w:r>
      <w:r w:rsidRPr="00A8610B">
        <w:rPr>
          <w:iCs/>
          <w:sz w:val="22"/>
          <w:szCs w:val="22"/>
          <w:vertAlign w:val="subscript"/>
        </w:rPr>
        <w:t>X</w:t>
      </w:r>
      <w:r w:rsidRPr="00A8610B">
        <w:rPr>
          <w:iCs/>
          <w:sz w:val="22"/>
          <w:szCs w:val="22"/>
        </w:rPr>
        <w:t xml:space="preserve"> standards </w:t>
      </w:r>
      <w:r>
        <w:rPr>
          <w:iCs/>
          <w:sz w:val="22"/>
          <w:szCs w:val="22"/>
        </w:rPr>
        <w:t xml:space="preserve">in </w:t>
      </w:r>
      <w:r w:rsidR="00300EC3">
        <w:rPr>
          <w:iCs/>
          <w:sz w:val="22"/>
          <w:szCs w:val="22"/>
        </w:rPr>
        <w:t>40 CFR</w:t>
      </w:r>
      <w:r w:rsidRPr="00A8610B">
        <w:rPr>
          <w:iCs/>
          <w:sz w:val="22"/>
          <w:szCs w:val="22"/>
        </w:rPr>
        <w:t xml:space="preserve"> 63, Subpart YYYY - National Emission Standards for Hazardous Air Pollutants for Stationary Combustion Turbines.  The citation is abbreviated as NESHAP Subpart YYYY for the purposes of subsequent discussion.  </w:t>
      </w:r>
      <w:hyperlink r:id="rId42" w:history="1">
        <w:r w:rsidRPr="00A8610B">
          <w:rPr>
            <w:rStyle w:val="Hyperlink"/>
            <w:iCs/>
            <w:sz w:val="22"/>
            <w:szCs w:val="22"/>
          </w:rPr>
          <w:t>Link to NESHAP Subpart YYYY</w:t>
        </w:r>
      </w:hyperlink>
      <w:r w:rsidRPr="00A8610B">
        <w:rPr>
          <w:iCs/>
          <w:sz w:val="22"/>
          <w:szCs w:val="22"/>
        </w:rPr>
        <w:t xml:space="preserve"> </w:t>
      </w:r>
      <w:r>
        <w:rPr>
          <w:iCs/>
          <w:sz w:val="22"/>
          <w:szCs w:val="22"/>
        </w:rPr>
        <w:t xml:space="preserve">.  </w:t>
      </w:r>
      <w:r w:rsidR="00300EC3">
        <w:rPr>
          <w:iCs/>
          <w:sz w:val="22"/>
          <w:szCs w:val="22"/>
        </w:rPr>
        <w:t>A</w:t>
      </w:r>
      <w:r>
        <w:rPr>
          <w:iCs/>
          <w:sz w:val="22"/>
          <w:szCs w:val="22"/>
        </w:rPr>
        <w:t xml:space="preserve">s </w:t>
      </w:r>
      <w:r w:rsidR="00CC27AE">
        <w:rPr>
          <w:iCs/>
          <w:sz w:val="22"/>
          <w:szCs w:val="22"/>
        </w:rPr>
        <w:t>a</w:t>
      </w:r>
      <w:r>
        <w:rPr>
          <w:iCs/>
          <w:sz w:val="22"/>
          <w:szCs w:val="22"/>
        </w:rPr>
        <w:t xml:space="preserve"> </w:t>
      </w:r>
      <w:r w:rsidR="00300EC3">
        <w:rPr>
          <w:iCs/>
          <w:sz w:val="22"/>
          <w:szCs w:val="22"/>
        </w:rPr>
        <w:t>major</w:t>
      </w:r>
      <w:r>
        <w:rPr>
          <w:iCs/>
          <w:sz w:val="22"/>
          <w:szCs w:val="22"/>
        </w:rPr>
        <w:t xml:space="preserve"> source of HAP, NESHAP Subpart YYYY does apply to the proposed </w:t>
      </w:r>
      <w:r w:rsidR="007944FF">
        <w:rPr>
          <w:iCs/>
          <w:sz w:val="22"/>
          <w:szCs w:val="22"/>
        </w:rPr>
        <w:t>Lauderdale</w:t>
      </w:r>
      <w:r w:rsidR="00EE07FB">
        <w:rPr>
          <w:iCs/>
          <w:sz w:val="22"/>
          <w:szCs w:val="22"/>
        </w:rPr>
        <w:t xml:space="preserve"> project CT</w:t>
      </w:r>
      <w:r>
        <w:rPr>
          <w:iCs/>
          <w:sz w:val="22"/>
          <w:szCs w:val="22"/>
        </w:rPr>
        <w:t xml:space="preserve">. </w:t>
      </w:r>
    </w:p>
    <w:p w:rsidR="00411EBF" w:rsidRPr="00414E91" w:rsidRDefault="00411EBF" w:rsidP="00C070A4">
      <w:pPr>
        <w:widowControl w:val="0"/>
        <w:numPr>
          <w:ilvl w:val="3"/>
          <w:numId w:val="2"/>
        </w:numPr>
        <w:tabs>
          <w:tab w:val="left" w:pos="720"/>
        </w:tabs>
        <w:spacing w:after="120"/>
        <w:ind w:left="720" w:hanging="720"/>
        <w:rPr>
          <w:i/>
          <w:sz w:val="22"/>
          <w:szCs w:val="22"/>
        </w:rPr>
      </w:pPr>
      <w:r w:rsidRPr="00414E91">
        <w:rPr>
          <w:i/>
          <w:sz w:val="22"/>
          <w:szCs w:val="22"/>
        </w:rPr>
        <w:t>Applicant’s NO</w:t>
      </w:r>
      <w:r w:rsidRPr="00414E91">
        <w:rPr>
          <w:i/>
          <w:sz w:val="22"/>
          <w:szCs w:val="22"/>
          <w:vertAlign w:val="subscript"/>
        </w:rPr>
        <w:t>X</w:t>
      </w:r>
      <w:r w:rsidRPr="00414E91">
        <w:rPr>
          <w:i/>
          <w:sz w:val="22"/>
          <w:szCs w:val="22"/>
        </w:rPr>
        <w:t xml:space="preserve"> BACT Proposal </w:t>
      </w:r>
    </w:p>
    <w:p w:rsidR="00411EBF" w:rsidRDefault="00411EBF" w:rsidP="00070B47">
      <w:pPr>
        <w:widowControl w:val="0"/>
        <w:spacing w:after="60"/>
        <w:rPr>
          <w:sz w:val="22"/>
          <w:szCs w:val="22"/>
        </w:rPr>
      </w:pPr>
      <w:r>
        <w:rPr>
          <w:sz w:val="22"/>
          <w:szCs w:val="22"/>
        </w:rPr>
        <w:t>The applicant proposes the following BACT determination for the control of NO</w:t>
      </w:r>
      <w:r>
        <w:rPr>
          <w:sz w:val="22"/>
          <w:szCs w:val="22"/>
          <w:vertAlign w:val="subscript"/>
        </w:rPr>
        <w:t>X</w:t>
      </w:r>
      <w:r>
        <w:rPr>
          <w:sz w:val="22"/>
          <w:szCs w:val="22"/>
        </w:rPr>
        <w:t xml:space="preserve"> emissions from the </w:t>
      </w:r>
      <w:r w:rsidR="007F30EC">
        <w:rPr>
          <w:sz w:val="22"/>
          <w:szCs w:val="22"/>
        </w:rPr>
        <w:t>five</w:t>
      </w:r>
      <w:r>
        <w:rPr>
          <w:sz w:val="22"/>
          <w:szCs w:val="22"/>
        </w:rPr>
        <w:t xml:space="preserve"> proposed </w:t>
      </w:r>
      <w:r w:rsidR="006D1877">
        <w:rPr>
          <w:sz w:val="22"/>
          <w:szCs w:val="22"/>
        </w:rPr>
        <w:t>CT</w:t>
      </w:r>
      <w:r>
        <w:rPr>
          <w:sz w:val="22"/>
          <w:szCs w:val="22"/>
        </w:rPr>
        <w:t>:</w:t>
      </w:r>
    </w:p>
    <w:p w:rsidR="00CC27AE" w:rsidRDefault="00CC27AE" w:rsidP="00C070A4">
      <w:pPr>
        <w:pStyle w:val="BodyText2"/>
        <w:widowControl w:val="0"/>
        <w:numPr>
          <w:ilvl w:val="0"/>
          <w:numId w:val="10"/>
        </w:numPr>
        <w:tabs>
          <w:tab w:val="clear" w:pos="1440"/>
        </w:tabs>
        <w:spacing w:after="60"/>
        <w:ind w:left="360"/>
        <w:jc w:val="left"/>
        <w:rPr>
          <w:szCs w:val="22"/>
        </w:rPr>
      </w:pPr>
      <w:r w:rsidRPr="00B81B29">
        <w:rPr>
          <w:szCs w:val="22"/>
        </w:rPr>
        <w:t>NO</w:t>
      </w:r>
      <w:r w:rsidRPr="00B81B29">
        <w:rPr>
          <w:szCs w:val="22"/>
          <w:vertAlign w:val="subscript"/>
        </w:rPr>
        <w:t>X</w:t>
      </w:r>
      <w:r w:rsidRPr="00B81B29">
        <w:rPr>
          <w:szCs w:val="22"/>
        </w:rPr>
        <w:t xml:space="preserve"> </w:t>
      </w:r>
      <w:r>
        <w:rPr>
          <w:szCs w:val="22"/>
        </w:rPr>
        <w:t>emissions while firing natural gas shall be limited to 9.0 ppmvd @15% O</w:t>
      </w:r>
      <w:r w:rsidRPr="009A1B18">
        <w:rPr>
          <w:szCs w:val="22"/>
          <w:vertAlign w:val="subscript"/>
        </w:rPr>
        <w:t>2</w:t>
      </w:r>
      <w:r>
        <w:rPr>
          <w:szCs w:val="22"/>
        </w:rPr>
        <w:t xml:space="preserve"> as BACT on </w:t>
      </w:r>
      <w:r w:rsidRPr="00287D8A">
        <w:rPr>
          <w:szCs w:val="22"/>
        </w:rPr>
        <w:t>a 24-hour</w:t>
      </w:r>
      <w:r>
        <w:rPr>
          <w:szCs w:val="22"/>
        </w:rPr>
        <w:t xml:space="preserve"> block average basis achievable by lean premix Dry Low NO</w:t>
      </w:r>
      <w:r w:rsidRPr="00BA57CD">
        <w:rPr>
          <w:szCs w:val="22"/>
          <w:vertAlign w:val="subscript"/>
        </w:rPr>
        <w:t>X</w:t>
      </w:r>
      <w:r>
        <w:rPr>
          <w:szCs w:val="22"/>
        </w:rPr>
        <w:t xml:space="preserve"> technology;</w:t>
      </w:r>
    </w:p>
    <w:p w:rsidR="00CC27AE" w:rsidRDefault="00CC27AE" w:rsidP="00C070A4">
      <w:pPr>
        <w:pStyle w:val="BodyText2"/>
        <w:widowControl w:val="0"/>
        <w:numPr>
          <w:ilvl w:val="0"/>
          <w:numId w:val="10"/>
        </w:numPr>
        <w:tabs>
          <w:tab w:val="clear" w:pos="1440"/>
        </w:tabs>
        <w:spacing w:after="60"/>
        <w:ind w:left="360"/>
        <w:jc w:val="left"/>
        <w:rPr>
          <w:szCs w:val="22"/>
        </w:rPr>
      </w:pPr>
      <w:r w:rsidRPr="00B81B29">
        <w:rPr>
          <w:szCs w:val="22"/>
        </w:rPr>
        <w:t>NO</w:t>
      </w:r>
      <w:r w:rsidRPr="00B81B29">
        <w:rPr>
          <w:szCs w:val="22"/>
          <w:vertAlign w:val="subscript"/>
        </w:rPr>
        <w:t>X</w:t>
      </w:r>
      <w:r w:rsidRPr="00B81B29">
        <w:rPr>
          <w:szCs w:val="22"/>
        </w:rPr>
        <w:t xml:space="preserve"> </w:t>
      </w:r>
      <w:r>
        <w:rPr>
          <w:szCs w:val="22"/>
        </w:rPr>
        <w:t>emissions for limited ULSD fuel oil use shall be limited to 42.0 ppmvd @15% O</w:t>
      </w:r>
      <w:r w:rsidRPr="009A1B18">
        <w:rPr>
          <w:szCs w:val="22"/>
          <w:vertAlign w:val="subscript"/>
        </w:rPr>
        <w:t>2</w:t>
      </w:r>
      <w:r>
        <w:rPr>
          <w:szCs w:val="22"/>
        </w:rPr>
        <w:t xml:space="preserve"> as BACT on a 4-hour rolling average basis achievable by water injection for flame cooling;</w:t>
      </w:r>
    </w:p>
    <w:p w:rsidR="00CC27AE" w:rsidRPr="00287D8A" w:rsidRDefault="00CC27AE" w:rsidP="00C070A4">
      <w:pPr>
        <w:pStyle w:val="BodyText2"/>
        <w:widowControl w:val="0"/>
        <w:numPr>
          <w:ilvl w:val="0"/>
          <w:numId w:val="10"/>
        </w:numPr>
        <w:tabs>
          <w:tab w:val="clear" w:pos="1440"/>
        </w:tabs>
        <w:spacing w:after="60"/>
        <w:ind w:left="360"/>
        <w:jc w:val="left"/>
        <w:rPr>
          <w:szCs w:val="22"/>
        </w:rPr>
      </w:pPr>
      <w:r w:rsidRPr="00287D8A">
        <w:rPr>
          <w:szCs w:val="22"/>
        </w:rPr>
        <w:t>Startup and low load emissions shall be further controlled by the GE OpFlex</w:t>
      </w:r>
      <w:r w:rsidRPr="00287D8A">
        <w:rPr>
          <w:szCs w:val="22"/>
          <w:vertAlign w:val="superscript"/>
        </w:rPr>
        <w:t>TM</w:t>
      </w:r>
      <w:r w:rsidRPr="00287D8A">
        <w:rPr>
          <w:szCs w:val="22"/>
        </w:rPr>
        <w:t xml:space="preserve"> system or its Siemens equivalent and start-up NO</w:t>
      </w:r>
      <w:r w:rsidRPr="00287D8A">
        <w:rPr>
          <w:szCs w:val="22"/>
          <w:vertAlign w:val="subscript"/>
        </w:rPr>
        <w:t>X</w:t>
      </w:r>
      <w:r w:rsidRPr="00287D8A">
        <w:rPr>
          <w:szCs w:val="22"/>
        </w:rPr>
        <w:t xml:space="preserve"> work practices; </w:t>
      </w:r>
    </w:p>
    <w:p w:rsidR="00CC27AE" w:rsidRDefault="00CC27AE" w:rsidP="00C070A4">
      <w:pPr>
        <w:widowControl w:val="0"/>
        <w:numPr>
          <w:ilvl w:val="0"/>
          <w:numId w:val="10"/>
        </w:numPr>
        <w:tabs>
          <w:tab w:val="clear" w:pos="1440"/>
          <w:tab w:val="num" w:pos="360"/>
        </w:tabs>
        <w:spacing w:after="60"/>
        <w:ind w:left="360"/>
        <w:rPr>
          <w:sz w:val="22"/>
          <w:szCs w:val="22"/>
        </w:rPr>
      </w:pPr>
      <w:r w:rsidRPr="007E557B">
        <w:rPr>
          <w:sz w:val="22"/>
          <w:szCs w:val="22"/>
        </w:rPr>
        <w:t xml:space="preserve">The </w:t>
      </w:r>
      <w:r w:rsidR="007F30EC">
        <w:rPr>
          <w:sz w:val="22"/>
          <w:szCs w:val="22"/>
        </w:rPr>
        <w:t>five</w:t>
      </w:r>
      <w:r w:rsidRPr="007E557B">
        <w:rPr>
          <w:sz w:val="22"/>
          <w:szCs w:val="22"/>
        </w:rPr>
        <w:t xml:space="preserve"> </w:t>
      </w:r>
      <w:r>
        <w:rPr>
          <w:sz w:val="22"/>
          <w:szCs w:val="22"/>
        </w:rPr>
        <w:t>CT m</w:t>
      </w:r>
      <w:r w:rsidRPr="007E557B">
        <w:rPr>
          <w:sz w:val="22"/>
          <w:szCs w:val="22"/>
        </w:rPr>
        <w:t>ay operate an average of no more than 3,3</w:t>
      </w:r>
      <w:r w:rsidR="0098668F">
        <w:rPr>
          <w:sz w:val="22"/>
          <w:szCs w:val="22"/>
        </w:rPr>
        <w:t>0</w:t>
      </w:r>
      <w:r w:rsidRPr="007E557B">
        <w:rPr>
          <w:sz w:val="22"/>
          <w:szCs w:val="22"/>
        </w:rPr>
        <w:t>0 hours</w:t>
      </w:r>
      <w:r>
        <w:rPr>
          <w:sz w:val="22"/>
          <w:szCs w:val="22"/>
        </w:rPr>
        <w:t>/</w:t>
      </w:r>
      <w:r w:rsidRPr="007E557B">
        <w:rPr>
          <w:sz w:val="22"/>
          <w:szCs w:val="22"/>
        </w:rPr>
        <w:t>year</w:t>
      </w:r>
      <w:r w:rsidR="00503AC5">
        <w:rPr>
          <w:sz w:val="22"/>
          <w:szCs w:val="22"/>
        </w:rPr>
        <w:t>/CT;</w:t>
      </w:r>
    </w:p>
    <w:p w:rsidR="00411EBF" w:rsidRDefault="00CC27AE" w:rsidP="00C070A4">
      <w:pPr>
        <w:widowControl w:val="0"/>
        <w:numPr>
          <w:ilvl w:val="0"/>
          <w:numId w:val="10"/>
        </w:numPr>
        <w:tabs>
          <w:tab w:val="clear" w:pos="1440"/>
          <w:tab w:val="num" w:pos="360"/>
        </w:tabs>
        <w:spacing w:after="120"/>
        <w:ind w:left="360"/>
        <w:rPr>
          <w:sz w:val="22"/>
          <w:szCs w:val="22"/>
        </w:rPr>
      </w:pPr>
      <w:r>
        <w:rPr>
          <w:sz w:val="22"/>
          <w:szCs w:val="22"/>
        </w:rPr>
        <w:t>Of this 3,3</w:t>
      </w:r>
      <w:r w:rsidR="0098668F">
        <w:rPr>
          <w:sz w:val="22"/>
          <w:szCs w:val="22"/>
        </w:rPr>
        <w:t>0</w:t>
      </w:r>
      <w:r>
        <w:rPr>
          <w:sz w:val="22"/>
          <w:szCs w:val="22"/>
        </w:rPr>
        <w:t xml:space="preserve">0 </w:t>
      </w:r>
      <w:r w:rsidRPr="007E557B">
        <w:rPr>
          <w:sz w:val="22"/>
          <w:szCs w:val="22"/>
        </w:rPr>
        <w:t>hours</w:t>
      </w:r>
      <w:r>
        <w:rPr>
          <w:sz w:val="22"/>
          <w:szCs w:val="22"/>
        </w:rPr>
        <w:t>/</w:t>
      </w:r>
      <w:r w:rsidRPr="007E557B">
        <w:rPr>
          <w:sz w:val="22"/>
          <w:szCs w:val="22"/>
        </w:rPr>
        <w:t>year</w:t>
      </w:r>
      <w:r>
        <w:rPr>
          <w:sz w:val="22"/>
          <w:szCs w:val="22"/>
        </w:rPr>
        <w:t xml:space="preserve">/CT, the </w:t>
      </w:r>
      <w:r w:rsidR="007F30EC">
        <w:rPr>
          <w:sz w:val="22"/>
          <w:szCs w:val="22"/>
        </w:rPr>
        <w:t>five</w:t>
      </w:r>
      <w:r>
        <w:rPr>
          <w:sz w:val="22"/>
          <w:szCs w:val="22"/>
        </w:rPr>
        <w:t xml:space="preserve"> CT may operate up to 5</w:t>
      </w:r>
      <w:r w:rsidRPr="007E557B">
        <w:rPr>
          <w:sz w:val="22"/>
          <w:szCs w:val="22"/>
        </w:rPr>
        <w:t>00 hours</w:t>
      </w:r>
      <w:r>
        <w:rPr>
          <w:sz w:val="22"/>
          <w:szCs w:val="22"/>
        </w:rPr>
        <w:t>/year</w:t>
      </w:r>
      <w:r w:rsidRPr="007E557B">
        <w:rPr>
          <w:sz w:val="22"/>
          <w:szCs w:val="22"/>
        </w:rPr>
        <w:t xml:space="preserve"> </w:t>
      </w:r>
      <w:r>
        <w:rPr>
          <w:sz w:val="22"/>
          <w:szCs w:val="22"/>
        </w:rPr>
        <w:t xml:space="preserve">using ULSD </w:t>
      </w:r>
      <w:r w:rsidRPr="007E557B">
        <w:rPr>
          <w:sz w:val="22"/>
          <w:szCs w:val="22"/>
        </w:rPr>
        <w:t>fuel oil</w:t>
      </w:r>
      <w:r w:rsidR="00503AC5">
        <w:rPr>
          <w:sz w:val="22"/>
          <w:szCs w:val="22"/>
        </w:rPr>
        <w:t>; and</w:t>
      </w:r>
    </w:p>
    <w:p w:rsidR="00503AC5" w:rsidRDefault="00503AC5" w:rsidP="00C070A4">
      <w:pPr>
        <w:widowControl w:val="0"/>
        <w:numPr>
          <w:ilvl w:val="0"/>
          <w:numId w:val="10"/>
        </w:numPr>
        <w:tabs>
          <w:tab w:val="clear" w:pos="1440"/>
          <w:tab w:val="num" w:pos="360"/>
        </w:tabs>
        <w:spacing w:after="120"/>
        <w:ind w:left="360"/>
        <w:rPr>
          <w:sz w:val="22"/>
          <w:szCs w:val="22"/>
        </w:rPr>
      </w:pPr>
      <w:r>
        <w:rPr>
          <w:sz w:val="22"/>
          <w:szCs w:val="22"/>
        </w:rPr>
        <w:t>Compliance shown by a NO</w:t>
      </w:r>
      <w:r w:rsidRPr="00A8610B">
        <w:rPr>
          <w:sz w:val="22"/>
          <w:szCs w:val="22"/>
          <w:vertAlign w:val="subscript"/>
        </w:rPr>
        <w:t>X</w:t>
      </w:r>
      <w:r>
        <w:rPr>
          <w:sz w:val="22"/>
          <w:szCs w:val="22"/>
        </w:rPr>
        <w:t xml:space="preserve"> continuous emissions monitoring system (CEMS).</w:t>
      </w:r>
    </w:p>
    <w:p w:rsidR="00411EBF" w:rsidRPr="00414E91" w:rsidRDefault="00411EBF" w:rsidP="00C070A4">
      <w:pPr>
        <w:widowControl w:val="0"/>
        <w:numPr>
          <w:ilvl w:val="3"/>
          <w:numId w:val="2"/>
        </w:numPr>
        <w:tabs>
          <w:tab w:val="left" w:pos="720"/>
        </w:tabs>
        <w:spacing w:after="120"/>
        <w:ind w:left="720" w:hanging="720"/>
        <w:rPr>
          <w:i/>
          <w:sz w:val="22"/>
          <w:szCs w:val="22"/>
        </w:rPr>
      </w:pPr>
      <w:r w:rsidRPr="00414E91">
        <w:rPr>
          <w:i/>
          <w:sz w:val="22"/>
          <w:szCs w:val="22"/>
        </w:rPr>
        <w:lastRenderedPageBreak/>
        <w:t>Further Fuel Oil Considerations</w:t>
      </w:r>
    </w:p>
    <w:p w:rsidR="00411EBF" w:rsidRDefault="00411EBF" w:rsidP="006D1877">
      <w:pPr>
        <w:pStyle w:val="BodyText2"/>
        <w:widowControl w:val="0"/>
        <w:numPr>
          <w:ilvl w:val="0"/>
          <w:numId w:val="0"/>
        </w:numPr>
        <w:jc w:val="left"/>
        <w:rPr>
          <w:szCs w:val="22"/>
        </w:rPr>
      </w:pPr>
      <w:r>
        <w:rPr>
          <w:szCs w:val="22"/>
        </w:rPr>
        <w:t>It is recognized that some allowance can and should be made for limited back-up fuel oil firing to account for interruptions in the natural gas supply or sudden and unexpected price spikes.  In that case a limit of 42 ppmvd @15% O</w:t>
      </w:r>
      <w:r w:rsidRPr="009A1B18">
        <w:rPr>
          <w:szCs w:val="22"/>
          <w:vertAlign w:val="subscript"/>
        </w:rPr>
        <w:t>2</w:t>
      </w:r>
      <w:r>
        <w:rPr>
          <w:szCs w:val="22"/>
        </w:rPr>
        <w:t xml:space="preserve"> (equal to the NSPS Subpart KKKK requirement) achieved by wet injection during 500 hours of incidental fuel oil firing is appropriate but is not necessarily BACT when more significant amounts of fuel oil are fired. </w:t>
      </w:r>
    </w:p>
    <w:p w:rsidR="00411EBF" w:rsidRPr="00A05395" w:rsidRDefault="00411EBF" w:rsidP="00563080">
      <w:pPr>
        <w:spacing w:after="120"/>
        <w:rPr>
          <w:sz w:val="22"/>
          <w:szCs w:val="22"/>
        </w:rPr>
      </w:pPr>
      <w:r w:rsidRPr="00A05395">
        <w:rPr>
          <w:sz w:val="22"/>
          <w:szCs w:val="22"/>
        </w:rPr>
        <w:t xml:space="preserve">Typically </w:t>
      </w:r>
      <w:r>
        <w:rPr>
          <w:sz w:val="22"/>
          <w:szCs w:val="22"/>
        </w:rPr>
        <w:t xml:space="preserve">ULSD </w:t>
      </w:r>
      <w:r w:rsidRPr="00A05395">
        <w:rPr>
          <w:sz w:val="22"/>
          <w:szCs w:val="22"/>
        </w:rPr>
        <w:t xml:space="preserve">fuel oil prices are significantly greater than natural gas prices and the fuels do not </w:t>
      </w:r>
      <w:r w:rsidR="00AD3750">
        <w:rPr>
          <w:sz w:val="22"/>
          <w:szCs w:val="22"/>
        </w:rPr>
        <w:t>directly</w:t>
      </w:r>
      <w:r>
        <w:rPr>
          <w:sz w:val="22"/>
          <w:szCs w:val="22"/>
        </w:rPr>
        <w:t xml:space="preserve"> </w:t>
      </w:r>
      <w:r w:rsidRPr="00A05395">
        <w:rPr>
          <w:sz w:val="22"/>
          <w:szCs w:val="22"/>
        </w:rPr>
        <w:t xml:space="preserve">compete within the power industry in Florida.  </w:t>
      </w:r>
      <w:r>
        <w:rPr>
          <w:sz w:val="22"/>
          <w:szCs w:val="22"/>
        </w:rPr>
        <w:t xml:space="preserve">ULSD </w:t>
      </w:r>
      <w:r w:rsidRPr="00A05395">
        <w:rPr>
          <w:sz w:val="22"/>
          <w:szCs w:val="22"/>
        </w:rPr>
        <w:t xml:space="preserve">fuel oil is only used during short-term supply interruptions and temporary </w:t>
      </w:r>
      <w:r>
        <w:rPr>
          <w:sz w:val="22"/>
          <w:szCs w:val="22"/>
        </w:rPr>
        <w:t xml:space="preserve">natural gas </w:t>
      </w:r>
      <w:r w:rsidRPr="00A05395">
        <w:rPr>
          <w:sz w:val="22"/>
          <w:szCs w:val="22"/>
        </w:rPr>
        <w:t xml:space="preserve">price dislocations.  </w:t>
      </w:r>
    </w:p>
    <w:p w:rsidR="00036A5C" w:rsidRDefault="00411EBF" w:rsidP="006A3FD8">
      <w:pPr>
        <w:spacing w:after="120"/>
        <w:rPr>
          <w:szCs w:val="22"/>
        </w:rPr>
      </w:pPr>
      <w:r>
        <w:rPr>
          <w:sz w:val="22"/>
          <w:szCs w:val="22"/>
        </w:rPr>
        <w:t>C</w:t>
      </w:r>
      <w:r w:rsidRPr="00091622">
        <w:rPr>
          <w:sz w:val="22"/>
          <w:szCs w:val="22"/>
        </w:rPr>
        <w:t xml:space="preserve">hanging market conditions in the United States over </w:t>
      </w:r>
      <w:r w:rsidR="00036A5C">
        <w:rPr>
          <w:sz w:val="22"/>
          <w:szCs w:val="22"/>
        </w:rPr>
        <w:t>recent</w:t>
      </w:r>
      <w:r>
        <w:rPr>
          <w:sz w:val="22"/>
          <w:szCs w:val="22"/>
        </w:rPr>
        <w:t xml:space="preserve"> years </w:t>
      </w:r>
      <w:r w:rsidRPr="00091622">
        <w:rPr>
          <w:sz w:val="22"/>
          <w:szCs w:val="22"/>
        </w:rPr>
        <w:t>have led to dramatic decreases in natural gas</w:t>
      </w:r>
      <w:r>
        <w:rPr>
          <w:sz w:val="22"/>
          <w:szCs w:val="22"/>
        </w:rPr>
        <w:t xml:space="preserve"> prices from </w:t>
      </w:r>
      <w:r w:rsidRPr="0012128D">
        <w:rPr>
          <w:sz w:val="22"/>
          <w:szCs w:val="22"/>
        </w:rPr>
        <w:t>the high</w:t>
      </w:r>
      <w:r>
        <w:rPr>
          <w:sz w:val="22"/>
          <w:szCs w:val="22"/>
        </w:rPr>
        <w:t>er</w:t>
      </w:r>
      <w:r w:rsidRPr="0012128D">
        <w:rPr>
          <w:sz w:val="22"/>
          <w:szCs w:val="22"/>
        </w:rPr>
        <w:t xml:space="preserve"> levels </w:t>
      </w:r>
      <w:r w:rsidR="00036A5C">
        <w:rPr>
          <w:sz w:val="22"/>
          <w:szCs w:val="22"/>
        </w:rPr>
        <w:t xml:space="preserve">in the </w:t>
      </w:r>
      <w:r w:rsidR="00503AC5">
        <w:rPr>
          <w:sz w:val="22"/>
          <w:szCs w:val="22"/>
        </w:rPr>
        <w:t>mid-2000s</w:t>
      </w:r>
      <w:r>
        <w:rPr>
          <w:sz w:val="22"/>
          <w:szCs w:val="22"/>
        </w:rPr>
        <w:t xml:space="preserve">.  With the recent expansion of natural gas supplies from shale, it is reasonable to conclude that natural gas will continue to be more attractive for use in combustion turbines than ULSD fuel oil </w:t>
      </w:r>
      <w:r w:rsidR="00036A5C">
        <w:rPr>
          <w:sz w:val="22"/>
          <w:szCs w:val="22"/>
        </w:rPr>
        <w:t xml:space="preserve">based </w:t>
      </w:r>
      <w:r>
        <w:rPr>
          <w:sz w:val="22"/>
          <w:szCs w:val="22"/>
        </w:rPr>
        <w:t>price</w:t>
      </w:r>
      <w:r w:rsidR="00036A5C">
        <w:rPr>
          <w:sz w:val="22"/>
          <w:szCs w:val="22"/>
        </w:rPr>
        <w:t xml:space="preserve"> alone.  In addition, fuel oil usage increases CT</w:t>
      </w:r>
      <w:r>
        <w:rPr>
          <w:sz w:val="22"/>
          <w:szCs w:val="22"/>
        </w:rPr>
        <w:t xml:space="preserve"> maintenance</w:t>
      </w:r>
      <w:r w:rsidR="00036A5C">
        <w:rPr>
          <w:sz w:val="22"/>
          <w:szCs w:val="22"/>
        </w:rPr>
        <w:t xml:space="preserve"> requirements</w:t>
      </w:r>
      <w:r>
        <w:rPr>
          <w:sz w:val="22"/>
          <w:szCs w:val="22"/>
        </w:rPr>
        <w:t>.</w:t>
      </w:r>
      <w:r w:rsidR="00036A5C" w:rsidRPr="00036A5C">
        <w:rPr>
          <w:szCs w:val="22"/>
        </w:rPr>
        <w:t xml:space="preserve"> </w:t>
      </w:r>
    </w:p>
    <w:p w:rsidR="00E673CD" w:rsidRPr="00A05395" w:rsidRDefault="00E673CD" w:rsidP="00E673CD">
      <w:pPr>
        <w:pStyle w:val="BodyText2"/>
        <w:widowControl w:val="0"/>
        <w:numPr>
          <w:ilvl w:val="0"/>
          <w:numId w:val="0"/>
        </w:numPr>
        <w:jc w:val="left"/>
        <w:rPr>
          <w:szCs w:val="22"/>
        </w:rPr>
      </w:pPr>
      <w:r>
        <w:rPr>
          <w:szCs w:val="22"/>
        </w:rPr>
        <w:t xml:space="preserve">The peaking </w:t>
      </w:r>
      <w:r w:rsidR="008F2492">
        <w:rPr>
          <w:szCs w:val="22"/>
        </w:rPr>
        <w:t>units GT</w:t>
      </w:r>
      <w:r>
        <w:rPr>
          <w:szCs w:val="22"/>
        </w:rPr>
        <w:t xml:space="preserve">1 to GT12 began operation in </w:t>
      </w:r>
      <w:r w:rsidR="0029784D">
        <w:rPr>
          <w:szCs w:val="22"/>
        </w:rPr>
        <w:t>August 1970 whi</w:t>
      </w:r>
      <w:r w:rsidR="008F2492">
        <w:rPr>
          <w:szCs w:val="22"/>
        </w:rPr>
        <w:t>le the peaking units GT13 to GT</w:t>
      </w:r>
      <w:r w:rsidR="0029784D">
        <w:rPr>
          <w:szCs w:val="22"/>
        </w:rPr>
        <w:t xml:space="preserve">24 began operation in August 1972.  All the </w:t>
      </w:r>
      <w:r w:rsidR="008F2492">
        <w:rPr>
          <w:szCs w:val="22"/>
        </w:rPr>
        <w:t>existing</w:t>
      </w:r>
      <w:r w:rsidR="0029784D">
        <w:rPr>
          <w:szCs w:val="22"/>
        </w:rPr>
        <w:t xml:space="preserve"> peaking units are</w:t>
      </w:r>
      <w:r>
        <w:rPr>
          <w:szCs w:val="22"/>
        </w:rPr>
        <w:t xml:space="preserve"> allowed to operate</w:t>
      </w:r>
      <w:r w:rsidRPr="009F1E20">
        <w:rPr>
          <w:szCs w:val="22"/>
        </w:rPr>
        <w:t xml:space="preserve"> </w:t>
      </w:r>
      <w:r>
        <w:rPr>
          <w:szCs w:val="22"/>
        </w:rPr>
        <w:t xml:space="preserve">using </w:t>
      </w:r>
      <w:r w:rsidR="00D01D89">
        <w:rPr>
          <w:szCs w:val="22"/>
        </w:rPr>
        <w:t>light</w:t>
      </w:r>
      <w:r w:rsidRPr="009F1E20">
        <w:rPr>
          <w:szCs w:val="22"/>
        </w:rPr>
        <w:t xml:space="preserve"> distillate fuel oil</w:t>
      </w:r>
      <w:r>
        <w:rPr>
          <w:szCs w:val="22"/>
        </w:rPr>
        <w:t xml:space="preserve"> and </w:t>
      </w:r>
      <w:r w:rsidR="00D01D89">
        <w:rPr>
          <w:szCs w:val="22"/>
        </w:rPr>
        <w:t>natural gas</w:t>
      </w:r>
      <w:r w:rsidRPr="00822566">
        <w:rPr>
          <w:szCs w:val="22"/>
        </w:rPr>
        <w:t xml:space="preserve"> </w:t>
      </w:r>
      <w:r>
        <w:rPr>
          <w:szCs w:val="22"/>
        </w:rPr>
        <w:t>for 8,760 hours/year/</w:t>
      </w:r>
      <w:r w:rsidR="008626D6">
        <w:rPr>
          <w:szCs w:val="22"/>
        </w:rPr>
        <w:t>G</w:t>
      </w:r>
      <w:r>
        <w:rPr>
          <w:szCs w:val="22"/>
        </w:rPr>
        <w:t xml:space="preserve">T.  According to the actual fuel use records, during the past five years the units have operated for a minimum of </w:t>
      </w:r>
      <w:r w:rsidR="008F2492">
        <w:rPr>
          <w:szCs w:val="22"/>
        </w:rPr>
        <w:t>1,098</w:t>
      </w:r>
      <w:r>
        <w:rPr>
          <w:szCs w:val="22"/>
        </w:rPr>
        <w:t xml:space="preserve"> hours combined in 2008 to a maximum of </w:t>
      </w:r>
      <w:r w:rsidR="008F2492">
        <w:rPr>
          <w:szCs w:val="22"/>
        </w:rPr>
        <w:t>3,344</w:t>
      </w:r>
      <w:r>
        <w:rPr>
          <w:szCs w:val="22"/>
        </w:rPr>
        <w:t xml:space="preserve"> hours combined in 2010 with an average over </w:t>
      </w:r>
      <w:r w:rsidR="008626D6">
        <w:rPr>
          <w:szCs w:val="22"/>
        </w:rPr>
        <w:t>the 5 year period</w:t>
      </w:r>
      <w:r>
        <w:rPr>
          <w:szCs w:val="22"/>
        </w:rPr>
        <w:t xml:space="preserve"> of </w:t>
      </w:r>
      <w:r w:rsidR="008F2492">
        <w:rPr>
          <w:szCs w:val="22"/>
        </w:rPr>
        <w:t>2,151.4</w:t>
      </w:r>
      <w:r>
        <w:rPr>
          <w:szCs w:val="22"/>
        </w:rPr>
        <w:t xml:space="preserve"> hours.  </w:t>
      </w:r>
      <w:r w:rsidR="008F2492">
        <w:rPr>
          <w:szCs w:val="22"/>
        </w:rPr>
        <w:t xml:space="preserve">The maximum usage year of 2010 represents an in service percentage of 1.02% when compared the total available hours of 210,240 (8,760 hours/yr * 24 units), while the average in service percentage </w:t>
      </w:r>
      <w:r w:rsidR="0050060E">
        <w:rPr>
          <w:szCs w:val="22"/>
        </w:rPr>
        <w:t>for</w:t>
      </w:r>
      <w:r w:rsidR="008F2492">
        <w:rPr>
          <w:szCs w:val="22"/>
        </w:rPr>
        <w:t xml:space="preserve"> the 5 year period is 1.02%.  </w:t>
      </w:r>
      <w:r w:rsidR="00D01D89">
        <w:rPr>
          <w:szCs w:val="22"/>
        </w:rPr>
        <w:t>Most of the operating hours occurred firing natural gas with fuel oil used a maximum of 35% in 2010 and a minimum of 0.2% in 2012.</w:t>
      </w:r>
      <w:r>
        <w:rPr>
          <w:szCs w:val="22"/>
        </w:rPr>
        <w:t xml:space="preserve">  </w:t>
      </w:r>
    </w:p>
    <w:p w:rsidR="00411EBF" w:rsidRPr="00036A5C" w:rsidRDefault="00036A5C" w:rsidP="006A3FD8">
      <w:pPr>
        <w:spacing w:after="120"/>
        <w:rPr>
          <w:sz w:val="22"/>
          <w:szCs w:val="22"/>
        </w:rPr>
      </w:pPr>
      <w:r w:rsidRPr="00036A5C">
        <w:rPr>
          <w:sz w:val="22"/>
          <w:szCs w:val="22"/>
        </w:rPr>
        <w:t>Based on this past</w:t>
      </w:r>
      <w:r>
        <w:rPr>
          <w:sz w:val="22"/>
          <w:szCs w:val="22"/>
        </w:rPr>
        <w:t xml:space="preserve"> GT</w:t>
      </w:r>
      <w:r w:rsidR="007F30EC">
        <w:rPr>
          <w:sz w:val="22"/>
          <w:szCs w:val="22"/>
        </w:rPr>
        <w:t>s</w:t>
      </w:r>
      <w:r>
        <w:rPr>
          <w:sz w:val="22"/>
          <w:szCs w:val="22"/>
        </w:rPr>
        <w:t xml:space="preserve"> usage, natural gas cost and CT maintenance requirements it is reasonable to assume that the new CT</w:t>
      </w:r>
      <w:r w:rsidR="007F30EC">
        <w:rPr>
          <w:sz w:val="22"/>
          <w:szCs w:val="22"/>
        </w:rPr>
        <w:t>s</w:t>
      </w:r>
      <w:r>
        <w:rPr>
          <w:sz w:val="22"/>
          <w:szCs w:val="22"/>
        </w:rPr>
        <w:t xml:space="preserve"> will rarely if ever reach 500 hours of fuel oil usage in any 12 month period.  Thus the </w:t>
      </w:r>
      <w:r w:rsidRPr="00036A5C">
        <w:rPr>
          <w:sz w:val="22"/>
          <w:szCs w:val="22"/>
        </w:rPr>
        <w:t>42 ppmvd @15% O</w:t>
      </w:r>
      <w:r w:rsidRPr="00036A5C">
        <w:rPr>
          <w:sz w:val="22"/>
          <w:szCs w:val="22"/>
          <w:vertAlign w:val="subscript"/>
        </w:rPr>
        <w:t>2</w:t>
      </w:r>
      <w:r>
        <w:rPr>
          <w:sz w:val="22"/>
          <w:szCs w:val="22"/>
        </w:rPr>
        <w:t xml:space="preserve"> NO</w:t>
      </w:r>
      <w:r w:rsidRPr="005D47BE">
        <w:rPr>
          <w:sz w:val="22"/>
          <w:szCs w:val="22"/>
          <w:vertAlign w:val="subscript"/>
        </w:rPr>
        <w:t>X</w:t>
      </w:r>
      <w:r>
        <w:rPr>
          <w:sz w:val="22"/>
          <w:szCs w:val="22"/>
        </w:rPr>
        <w:t xml:space="preserve"> emission limit </w:t>
      </w:r>
      <w:r w:rsidR="005D47BE">
        <w:rPr>
          <w:sz w:val="22"/>
          <w:szCs w:val="22"/>
        </w:rPr>
        <w:t xml:space="preserve">for the </w:t>
      </w:r>
      <w:r w:rsidR="007F30EC">
        <w:rPr>
          <w:sz w:val="22"/>
          <w:szCs w:val="22"/>
        </w:rPr>
        <w:t>five</w:t>
      </w:r>
      <w:r w:rsidR="005D47BE">
        <w:rPr>
          <w:sz w:val="22"/>
          <w:szCs w:val="22"/>
        </w:rPr>
        <w:t xml:space="preserve"> new CT at the </w:t>
      </w:r>
      <w:r w:rsidR="007944FF">
        <w:rPr>
          <w:sz w:val="22"/>
          <w:szCs w:val="22"/>
        </w:rPr>
        <w:t>Lauderdale</w:t>
      </w:r>
      <w:r w:rsidR="005D47BE">
        <w:rPr>
          <w:sz w:val="22"/>
          <w:szCs w:val="22"/>
        </w:rPr>
        <w:t xml:space="preserve"> Plant </w:t>
      </w:r>
      <w:r>
        <w:rPr>
          <w:sz w:val="22"/>
          <w:szCs w:val="22"/>
        </w:rPr>
        <w:t xml:space="preserve">while using ULSD fuel oil is </w:t>
      </w:r>
      <w:r w:rsidR="005D47BE">
        <w:rPr>
          <w:sz w:val="22"/>
          <w:szCs w:val="22"/>
        </w:rPr>
        <w:t xml:space="preserve">both reasonable and </w:t>
      </w:r>
      <w:r>
        <w:rPr>
          <w:sz w:val="22"/>
          <w:szCs w:val="22"/>
        </w:rPr>
        <w:t>supportable</w:t>
      </w:r>
      <w:r w:rsidR="005D47BE">
        <w:rPr>
          <w:sz w:val="22"/>
          <w:szCs w:val="22"/>
        </w:rPr>
        <w:t>.</w:t>
      </w:r>
    </w:p>
    <w:p w:rsidR="00411EBF" w:rsidRPr="00414E91" w:rsidRDefault="00411EBF" w:rsidP="00C070A4">
      <w:pPr>
        <w:widowControl w:val="0"/>
        <w:numPr>
          <w:ilvl w:val="3"/>
          <w:numId w:val="2"/>
        </w:numPr>
        <w:tabs>
          <w:tab w:val="left" w:pos="720"/>
        </w:tabs>
        <w:spacing w:after="120"/>
        <w:ind w:left="720" w:hanging="720"/>
        <w:rPr>
          <w:i/>
          <w:sz w:val="22"/>
          <w:szCs w:val="22"/>
        </w:rPr>
      </w:pPr>
      <w:r w:rsidRPr="00414E91">
        <w:rPr>
          <w:i/>
          <w:sz w:val="22"/>
          <w:szCs w:val="22"/>
        </w:rPr>
        <w:t>Department’s Draft NO</w:t>
      </w:r>
      <w:r w:rsidRPr="00414E91">
        <w:rPr>
          <w:i/>
          <w:sz w:val="22"/>
          <w:szCs w:val="22"/>
          <w:vertAlign w:val="subscript"/>
        </w:rPr>
        <w:t>X</w:t>
      </w:r>
      <w:r w:rsidRPr="00414E91">
        <w:rPr>
          <w:i/>
          <w:sz w:val="22"/>
          <w:szCs w:val="22"/>
        </w:rPr>
        <w:t xml:space="preserve"> BACT Determination</w:t>
      </w:r>
    </w:p>
    <w:p w:rsidR="007F30EC" w:rsidRDefault="00CC27AE" w:rsidP="00CC27AE">
      <w:pPr>
        <w:spacing w:after="60"/>
        <w:rPr>
          <w:sz w:val="22"/>
          <w:szCs w:val="22"/>
        </w:rPr>
      </w:pPr>
      <w:r>
        <w:rPr>
          <w:sz w:val="22"/>
          <w:szCs w:val="22"/>
        </w:rPr>
        <w:t>The Department concurs with the applicant’s NO</w:t>
      </w:r>
      <w:r w:rsidRPr="006D7B3D">
        <w:rPr>
          <w:sz w:val="22"/>
          <w:szCs w:val="22"/>
          <w:vertAlign w:val="subscript"/>
        </w:rPr>
        <w:t>X</w:t>
      </w:r>
      <w:r>
        <w:rPr>
          <w:sz w:val="22"/>
          <w:szCs w:val="22"/>
        </w:rPr>
        <w:t xml:space="preserve"> BACT proposal as described above.  </w:t>
      </w:r>
      <w:r w:rsidR="007F30EC">
        <w:rPr>
          <w:sz w:val="22"/>
          <w:szCs w:val="22"/>
        </w:rPr>
        <w:t>However, for the reasons already discussed</w:t>
      </w:r>
      <w:r w:rsidR="007F30EC" w:rsidRPr="007F30EC">
        <w:rPr>
          <w:sz w:val="22"/>
          <w:szCs w:val="22"/>
        </w:rPr>
        <w:t xml:space="preserve"> </w:t>
      </w:r>
      <w:r w:rsidR="007F30EC">
        <w:rPr>
          <w:sz w:val="22"/>
          <w:szCs w:val="22"/>
        </w:rPr>
        <w:t xml:space="preserve">at limit of 3,300 </w:t>
      </w:r>
      <w:r w:rsidR="007F30EC" w:rsidRPr="007E557B">
        <w:rPr>
          <w:sz w:val="22"/>
          <w:szCs w:val="22"/>
        </w:rPr>
        <w:t>hours</w:t>
      </w:r>
      <w:r w:rsidR="007F30EC">
        <w:rPr>
          <w:sz w:val="22"/>
          <w:szCs w:val="22"/>
        </w:rPr>
        <w:t>/</w:t>
      </w:r>
      <w:r w:rsidR="007F30EC" w:rsidRPr="007E557B">
        <w:rPr>
          <w:sz w:val="22"/>
          <w:szCs w:val="22"/>
        </w:rPr>
        <w:t>year</w:t>
      </w:r>
      <w:r w:rsidR="007F30EC">
        <w:rPr>
          <w:sz w:val="22"/>
          <w:szCs w:val="22"/>
        </w:rPr>
        <w:t>/CT will be imposed to ensure PSD is not triggered for SO</w:t>
      </w:r>
      <w:r w:rsidR="007F30EC" w:rsidRPr="007F30EC">
        <w:rPr>
          <w:sz w:val="22"/>
          <w:szCs w:val="22"/>
          <w:vertAlign w:val="subscript"/>
        </w:rPr>
        <w:t>2</w:t>
      </w:r>
      <w:r w:rsidR="007F30EC">
        <w:rPr>
          <w:sz w:val="22"/>
          <w:szCs w:val="22"/>
        </w:rPr>
        <w:t xml:space="preserve">.  </w:t>
      </w:r>
      <w:r>
        <w:rPr>
          <w:sz w:val="22"/>
          <w:szCs w:val="22"/>
        </w:rPr>
        <w:t>A NO</w:t>
      </w:r>
      <w:r w:rsidRPr="00A8610B">
        <w:rPr>
          <w:sz w:val="22"/>
          <w:szCs w:val="22"/>
          <w:vertAlign w:val="subscript"/>
        </w:rPr>
        <w:t>X</w:t>
      </w:r>
      <w:r>
        <w:rPr>
          <w:sz w:val="22"/>
          <w:szCs w:val="22"/>
        </w:rPr>
        <w:t xml:space="preserve"> CEMS will be used to demonstrate continuous compliance with the BACT emission limits and logging of excludable emissions.  It will also be used to demonstrate compliance with the NSPS Subpart KKKK emission limits and logging of excess emissions.</w:t>
      </w:r>
      <w:r w:rsidR="007F30EC">
        <w:rPr>
          <w:sz w:val="22"/>
          <w:szCs w:val="22"/>
        </w:rPr>
        <w:t xml:space="preserve">  If after three years of operation any CT whose installation is authorized by this permitting action meets of the definition of a “</w:t>
      </w:r>
      <w:r w:rsidR="007F30EC" w:rsidRPr="007F30EC">
        <w:rPr>
          <w:i/>
          <w:sz w:val="22"/>
          <w:szCs w:val="22"/>
        </w:rPr>
        <w:t>Peaking Unit</w:t>
      </w:r>
      <w:r w:rsidR="007F30EC">
        <w:rPr>
          <w:sz w:val="22"/>
          <w:szCs w:val="22"/>
        </w:rPr>
        <w:t xml:space="preserve">” per </w:t>
      </w:r>
      <w:r w:rsidR="007F30EC" w:rsidRPr="00F03B47">
        <w:rPr>
          <w:sz w:val="22"/>
          <w:szCs w:val="22"/>
        </w:rPr>
        <w:t>§</w:t>
      </w:r>
      <w:r w:rsidR="007F30EC">
        <w:rPr>
          <w:sz w:val="22"/>
          <w:szCs w:val="22"/>
        </w:rPr>
        <w:t xml:space="preserve">72.2 – </w:t>
      </w:r>
      <w:r w:rsidR="007F30EC" w:rsidRPr="007F30EC">
        <w:rPr>
          <w:i/>
          <w:sz w:val="22"/>
          <w:szCs w:val="22"/>
        </w:rPr>
        <w:t>Definitions</w:t>
      </w:r>
      <w:r w:rsidR="007F30EC">
        <w:rPr>
          <w:sz w:val="22"/>
          <w:szCs w:val="22"/>
        </w:rPr>
        <w:t xml:space="preserve">, </w:t>
      </w:r>
      <w:r w:rsidR="007F30EC" w:rsidRPr="007F30EC">
        <w:rPr>
          <w:sz w:val="22"/>
          <w:szCs w:val="22"/>
        </w:rPr>
        <w:t>FPL may request that the Department allow</w:t>
      </w:r>
      <w:r w:rsidR="007F30EC" w:rsidRPr="007F30EC">
        <w:t xml:space="preserve"> </w:t>
      </w:r>
      <w:r w:rsidR="007F30EC" w:rsidRPr="007F30EC">
        <w:rPr>
          <w:sz w:val="22"/>
          <w:szCs w:val="22"/>
        </w:rPr>
        <w:t>the NO</w:t>
      </w:r>
      <w:r w:rsidR="007F30EC" w:rsidRPr="007F30EC">
        <w:rPr>
          <w:sz w:val="22"/>
          <w:szCs w:val="22"/>
          <w:vertAlign w:val="subscript"/>
        </w:rPr>
        <w:t>X</w:t>
      </w:r>
      <w:r w:rsidR="007F30EC" w:rsidRPr="007F30EC">
        <w:rPr>
          <w:sz w:val="22"/>
          <w:szCs w:val="22"/>
        </w:rPr>
        <w:t xml:space="preserve"> emission rate methodology in Appendix E to 40 CFR Part 75</w:t>
      </w:r>
      <w:r w:rsidR="007F30EC" w:rsidRPr="007F30EC">
        <w:t xml:space="preserve"> </w:t>
      </w:r>
      <w:r w:rsidR="007F30EC" w:rsidRPr="007F30EC">
        <w:rPr>
          <w:sz w:val="22"/>
          <w:szCs w:val="22"/>
        </w:rPr>
        <w:t>Appendix E – Optional NO</w:t>
      </w:r>
      <w:r w:rsidR="007F30EC" w:rsidRPr="007F30EC">
        <w:rPr>
          <w:sz w:val="22"/>
          <w:szCs w:val="22"/>
          <w:vertAlign w:val="subscript"/>
        </w:rPr>
        <w:t>X</w:t>
      </w:r>
      <w:r w:rsidR="007F30EC" w:rsidRPr="007F30EC">
        <w:rPr>
          <w:sz w:val="22"/>
          <w:szCs w:val="22"/>
        </w:rPr>
        <w:t xml:space="preserve"> Emissions Estimation Protocol for Gas-Fired Peaking Units and Oil-Fired Peaking Units to be used in lieu of the CEMS requirements specified </w:t>
      </w:r>
      <w:r w:rsidR="007F30EC">
        <w:rPr>
          <w:sz w:val="22"/>
          <w:szCs w:val="22"/>
        </w:rPr>
        <w:t>as BACT</w:t>
      </w:r>
      <w:r w:rsidR="007F30EC" w:rsidRPr="007F30EC">
        <w:rPr>
          <w:sz w:val="22"/>
          <w:szCs w:val="22"/>
        </w:rPr>
        <w:t>.</w:t>
      </w:r>
    </w:p>
    <w:p w:rsidR="00CC27AE" w:rsidRDefault="00CC27AE" w:rsidP="00CC27AE">
      <w:pPr>
        <w:spacing w:after="60"/>
        <w:rPr>
          <w:sz w:val="22"/>
          <w:szCs w:val="22"/>
        </w:rPr>
      </w:pPr>
      <w:r>
        <w:rPr>
          <w:sz w:val="22"/>
          <w:szCs w:val="22"/>
        </w:rPr>
        <w:t>In summary, the Department’s NO</w:t>
      </w:r>
      <w:r w:rsidRPr="00BE5EA2">
        <w:rPr>
          <w:sz w:val="22"/>
          <w:szCs w:val="22"/>
          <w:vertAlign w:val="subscript"/>
        </w:rPr>
        <w:t>X</w:t>
      </w:r>
      <w:r>
        <w:rPr>
          <w:sz w:val="22"/>
          <w:szCs w:val="22"/>
        </w:rPr>
        <w:t xml:space="preserve"> BACT is:</w:t>
      </w:r>
    </w:p>
    <w:p w:rsidR="00FD4718" w:rsidRDefault="00FD4718" w:rsidP="00C070A4">
      <w:pPr>
        <w:numPr>
          <w:ilvl w:val="0"/>
          <w:numId w:val="19"/>
        </w:numPr>
        <w:spacing w:after="60"/>
        <w:ind w:left="360"/>
        <w:rPr>
          <w:sz w:val="22"/>
          <w:szCs w:val="22"/>
        </w:rPr>
      </w:pPr>
      <w:r w:rsidRPr="008278AE">
        <w:rPr>
          <w:i/>
          <w:sz w:val="22"/>
          <w:szCs w:val="22"/>
        </w:rPr>
        <w:t>Natural Gas</w:t>
      </w:r>
      <w:r>
        <w:rPr>
          <w:sz w:val="22"/>
          <w:szCs w:val="22"/>
        </w:rPr>
        <w:t>:  9</w:t>
      </w:r>
      <w:r w:rsidRPr="008278AE">
        <w:rPr>
          <w:sz w:val="22"/>
          <w:szCs w:val="22"/>
        </w:rPr>
        <w:t xml:space="preserve"> ppmvd @15% O</w:t>
      </w:r>
      <w:r w:rsidRPr="008278AE">
        <w:rPr>
          <w:sz w:val="22"/>
          <w:szCs w:val="22"/>
          <w:vertAlign w:val="subscript"/>
        </w:rPr>
        <w:t>2</w:t>
      </w:r>
      <w:r>
        <w:rPr>
          <w:sz w:val="22"/>
          <w:szCs w:val="22"/>
        </w:rPr>
        <w:t xml:space="preserve"> on a 24-hour block average basis with compliance by CEMS and </w:t>
      </w:r>
      <w:r w:rsidRPr="004F06A0">
        <w:rPr>
          <w:sz w:val="22"/>
          <w:szCs w:val="22"/>
        </w:rPr>
        <w:t>achievable by lean premix Dry Low NO</w:t>
      </w:r>
      <w:r w:rsidRPr="00074DA8">
        <w:rPr>
          <w:sz w:val="22"/>
          <w:szCs w:val="22"/>
          <w:vertAlign w:val="subscript"/>
        </w:rPr>
        <w:t>X</w:t>
      </w:r>
      <w:r w:rsidRPr="004F06A0">
        <w:rPr>
          <w:sz w:val="22"/>
          <w:szCs w:val="22"/>
        </w:rPr>
        <w:t xml:space="preserve"> technology</w:t>
      </w:r>
      <w:r>
        <w:rPr>
          <w:sz w:val="22"/>
          <w:szCs w:val="22"/>
        </w:rPr>
        <w:t>.</w:t>
      </w:r>
    </w:p>
    <w:p w:rsidR="00FD4718" w:rsidRDefault="00FD4718" w:rsidP="00C070A4">
      <w:pPr>
        <w:numPr>
          <w:ilvl w:val="0"/>
          <w:numId w:val="19"/>
        </w:numPr>
        <w:spacing w:after="60"/>
        <w:ind w:left="360"/>
        <w:rPr>
          <w:sz w:val="22"/>
          <w:szCs w:val="22"/>
        </w:rPr>
      </w:pPr>
      <w:r>
        <w:rPr>
          <w:i/>
          <w:sz w:val="22"/>
          <w:szCs w:val="22"/>
        </w:rPr>
        <w:t>Natural Gas</w:t>
      </w:r>
      <w:r w:rsidRPr="008278AE">
        <w:rPr>
          <w:sz w:val="22"/>
          <w:szCs w:val="22"/>
        </w:rPr>
        <w:t>:</w:t>
      </w:r>
      <w:r>
        <w:rPr>
          <w:sz w:val="22"/>
          <w:szCs w:val="22"/>
        </w:rPr>
        <w:t xml:space="preserve">  77.0 lb/hr, one 24-hour block average.  This is a o</w:t>
      </w:r>
      <w:r w:rsidRPr="008278AE">
        <w:rPr>
          <w:sz w:val="22"/>
          <w:szCs w:val="22"/>
        </w:rPr>
        <w:t>netime initial compliance demonstration by CEMS.  Subject to the notification requirements in 62-297.310(7)(a)9., F.A.C.  The demonstration period shall include all valid hours within the designated 24-hour block and not less than three valid hours during the block.  Pound</w:t>
      </w:r>
      <w:r>
        <w:rPr>
          <w:sz w:val="22"/>
          <w:szCs w:val="22"/>
        </w:rPr>
        <w:t xml:space="preserve"> per </w:t>
      </w:r>
      <w:r w:rsidRPr="008278AE">
        <w:rPr>
          <w:sz w:val="22"/>
          <w:szCs w:val="22"/>
        </w:rPr>
        <w:t>hour NO</w:t>
      </w:r>
      <w:r w:rsidRPr="008278AE">
        <w:rPr>
          <w:sz w:val="22"/>
          <w:szCs w:val="22"/>
          <w:vertAlign w:val="subscript"/>
        </w:rPr>
        <w:t>X</w:t>
      </w:r>
      <w:r w:rsidRPr="008278AE">
        <w:rPr>
          <w:sz w:val="22"/>
          <w:szCs w:val="22"/>
        </w:rPr>
        <w:t xml:space="preserve"> values reported as NO</w:t>
      </w:r>
      <w:r w:rsidRPr="008278AE">
        <w:rPr>
          <w:sz w:val="22"/>
          <w:szCs w:val="22"/>
          <w:vertAlign w:val="subscript"/>
        </w:rPr>
        <w:t>2</w:t>
      </w:r>
      <w:r w:rsidRPr="008278AE">
        <w:rPr>
          <w:sz w:val="22"/>
          <w:szCs w:val="22"/>
        </w:rPr>
        <w:t xml:space="preserve"> equivalent of NO plus NO</w:t>
      </w:r>
      <w:r w:rsidRPr="008278AE">
        <w:rPr>
          <w:sz w:val="22"/>
          <w:szCs w:val="22"/>
          <w:vertAlign w:val="subscript"/>
        </w:rPr>
        <w:t>2</w:t>
      </w:r>
      <w:r w:rsidRPr="008278AE">
        <w:rPr>
          <w:sz w:val="22"/>
          <w:szCs w:val="22"/>
        </w:rPr>
        <w:t>.</w:t>
      </w:r>
    </w:p>
    <w:p w:rsidR="00FD4718" w:rsidRDefault="00FD4718" w:rsidP="00C070A4">
      <w:pPr>
        <w:numPr>
          <w:ilvl w:val="0"/>
          <w:numId w:val="19"/>
        </w:numPr>
        <w:spacing w:after="60"/>
        <w:ind w:left="360"/>
        <w:rPr>
          <w:sz w:val="22"/>
          <w:szCs w:val="22"/>
        </w:rPr>
      </w:pPr>
      <w:r w:rsidRPr="00FD5E0E">
        <w:rPr>
          <w:i/>
          <w:sz w:val="22"/>
          <w:szCs w:val="22"/>
        </w:rPr>
        <w:t>Startup</w:t>
      </w:r>
      <w:r>
        <w:rPr>
          <w:sz w:val="22"/>
          <w:szCs w:val="22"/>
        </w:rPr>
        <w:t xml:space="preserve">:  </w:t>
      </w:r>
      <w:r w:rsidRPr="00FD5E0E">
        <w:rPr>
          <w:sz w:val="22"/>
          <w:szCs w:val="22"/>
        </w:rPr>
        <w:t xml:space="preserve">Startup and low load </w:t>
      </w:r>
      <w:r>
        <w:rPr>
          <w:sz w:val="22"/>
          <w:szCs w:val="22"/>
        </w:rPr>
        <w:t>NO</w:t>
      </w:r>
      <w:r w:rsidRPr="00FD5E0E">
        <w:rPr>
          <w:sz w:val="22"/>
          <w:szCs w:val="22"/>
          <w:vertAlign w:val="subscript"/>
        </w:rPr>
        <w:t>X</w:t>
      </w:r>
      <w:r w:rsidRPr="00FD5E0E">
        <w:rPr>
          <w:sz w:val="22"/>
          <w:szCs w:val="22"/>
        </w:rPr>
        <w:t xml:space="preserve"> emissions shall also be further controlled by the GE OpFlexTM system or its Siemens equivalent and start-up NO</w:t>
      </w:r>
      <w:r w:rsidRPr="004F06A0">
        <w:rPr>
          <w:sz w:val="22"/>
          <w:szCs w:val="22"/>
          <w:vertAlign w:val="subscript"/>
        </w:rPr>
        <w:t>X</w:t>
      </w:r>
      <w:r w:rsidRPr="00FD5E0E">
        <w:rPr>
          <w:sz w:val="22"/>
          <w:szCs w:val="22"/>
        </w:rPr>
        <w:t xml:space="preserve"> work practices;</w:t>
      </w:r>
    </w:p>
    <w:p w:rsidR="00FD4718" w:rsidRDefault="00FD4718" w:rsidP="00C070A4">
      <w:pPr>
        <w:numPr>
          <w:ilvl w:val="0"/>
          <w:numId w:val="19"/>
        </w:numPr>
        <w:spacing w:after="60"/>
        <w:ind w:left="360"/>
        <w:rPr>
          <w:sz w:val="22"/>
          <w:szCs w:val="22"/>
        </w:rPr>
      </w:pPr>
      <w:r>
        <w:rPr>
          <w:i/>
          <w:sz w:val="22"/>
          <w:szCs w:val="22"/>
        </w:rPr>
        <w:lastRenderedPageBreak/>
        <w:t>Fuel Oil</w:t>
      </w:r>
      <w:r w:rsidRPr="006560ED">
        <w:rPr>
          <w:sz w:val="22"/>
          <w:szCs w:val="22"/>
        </w:rPr>
        <w:t>:</w:t>
      </w:r>
      <w:r>
        <w:rPr>
          <w:sz w:val="22"/>
          <w:szCs w:val="22"/>
        </w:rPr>
        <w:t xml:space="preserve">  42</w:t>
      </w:r>
      <w:r w:rsidRPr="008278AE">
        <w:rPr>
          <w:sz w:val="22"/>
          <w:szCs w:val="22"/>
        </w:rPr>
        <w:t xml:space="preserve"> ppmvd @15% O</w:t>
      </w:r>
      <w:r w:rsidRPr="008278AE">
        <w:rPr>
          <w:sz w:val="22"/>
          <w:szCs w:val="22"/>
          <w:vertAlign w:val="subscript"/>
        </w:rPr>
        <w:t>2</w:t>
      </w:r>
      <w:r>
        <w:rPr>
          <w:sz w:val="22"/>
          <w:szCs w:val="22"/>
        </w:rPr>
        <w:t xml:space="preserve"> on a 4-hour rolling average basis with compliance by CEMS and</w:t>
      </w:r>
      <w:r w:rsidRPr="004F06A0">
        <w:t xml:space="preserve"> </w:t>
      </w:r>
      <w:r w:rsidRPr="004F06A0">
        <w:rPr>
          <w:sz w:val="22"/>
          <w:szCs w:val="22"/>
        </w:rPr>
        <w:t>achievable by water injection for flame cooling</w:t>
      </w:r>
      <w:r>
        <w:rPr>
          <w:sz w:val="22"/>
          <w:szCs w:val="22"/>
        </w:rPr>
        <w:t>.</w:t>
      </w:r>
    </w:p>
    <w:p w:rsidR="007F30EC" w:rsidRDefault="00FD4718" w:rsidP="00C070A4">
      <w:pPr>
        <w:numPr>
          <w:ilvl w:val="0"/>
          <w:numId w:val="19"/>
        </w:numPr>
        <w:spacing w:after="120"/>
        <w:ind w:left="360"/>
        <w:rPr>
          <w:sz w:val="22"/>
          <w:szCs w:val="22"/>
        </w:rPr>
      </w:pPr>
      <w:r w:rsidRPr="00330A8C">
        <w:rPr>
          <w:i/>
          <w:sz w:val="22"/>
          <w:szCs w:val="22"/>
        </w:rPr>
        <w:t>Fuel Oil</w:t>
      </w:r>
      <w:r>
        <w:rPr>
          <w:sz w:val="22"/>
          <w:szCs w:val="22"/>
        </w:rPr>
        <w:t>:  378.0 lb/hr, one 24-hour block average.  This again is a o</w:t>
      </w:r>
      <w:r w:rsidRPr="008278AE">
        <w:rPr>
          <w:sz w:val="22"/>
          <w:szCs w:val="22"/>
        </w:rPr>
        <w:t>netime initial compliance demonstration by CEMS.</w:t>
      </w:r>
    </w:p>
    <w:p w:rsidR="00411EBF" w:rsidRDefault="00411EBF" w:rsidP="00C070A4">
      <w:pPr>
        <w:widowControl w:val="0"/>
        <w:numPr>
          <w:ilvl w:val="2"/>
          <w:numId w:val="2"/>
        </w:numPr>
        <w:tabs>
          <w:tab w:val="left" w:pos="720"/>
        </w:tabs>
        <w:spacing w:after="120"/>
        <w:ind w:left="720" w:hanging="720"/>
        <w:rPr>
          <w:sz w:val="22"/>
          <w:szCs w:val="22"/>
          <w:u w:val="single"/>
        </w:rPr>
      </w:pPr>
      <w:r w:rsidRPr="00414E91">
        <w:rPr>
          <w:sz w:val="22"/>
          <w:szCs w:val="22"/>
          <w:u w:val="single"/>
        </w:rPr>
        <w:t>BACT for Carbon Monoxide (CO)</w:t>
      </w:r>
    </w:p>
    <w:p w:rsidR="00FD4718" w:rsidRDefault="00FD4718" w:rsidP="00FD4718">
      <w:pPr>
        <w:widowControl w:val="0"/>
        <w:spacing w:after="120"/>
        <w:rPr>
          <w:color w:val="000000"/>
          <w:sz w:val="22"/>
          <w:szCs w:val="22"/>
        </w:rPr>
      </w:pPr>
      <w:r>
        <w:rPr>
          <w:color w:val="000000"/>
          <w:sz w:val="22"/>
          <w:szCs w:val="22"/>
        </w:rPr>
        <w:t>The following discussion of CO performance uses early or larger versions of the proposed CT for the Lauderdale project.  Specifically, the earlier versions are GE 7FA.03 and a 2009 version of the Siemens SGT6-5000F CT while the larger version is a Siemens</w:t>
      </w:r>
      <w:r w:rsidRPr="00287D8A">
        <w:rPr>
          <w:color w:val="000000"/>
          <w:sz w:val="22"/>
          <w:szCs w:val="22"/>
        </w:rPr>
        <w:t xml:space="preserve"> 8000H</w:t>
      </w:r>
      <w:r>
        <w:rPr>
          <w:color w:val="000000"/>
          <w:sz w:val="22"/>
          <w:szCs w:val="22"/>
        </w:rPr>
        <w:t xml:space="preserve"> CT that recently began operation.  The two Siemens models approximately equal or exceed in power (215 MW Siemens SGT6-5000F CT) and (250 MW Siemens</w:t>
      </w:r>
      <w:r w:rsidRPr="00287D8A">
        <w:rPr>
          <w:color w:val="000000"/>
          <w:sz w:val="22"/>
          <w:szCs w:val="22"/>
        </w:rPr>
        <w:t xml:space="preserve"> 8000H</w:t>
      </w:r>
      <w:r>
        <w:rPr>
          <w:color w:val="000000"/>
          <w:sz w:val="22"/>
          <w:szCs w:val="22"/>
        </w:rPr>
        <w:t xml:space="preserve"> CT) the two GE models (GE 7FA.04 and GE 7FA.05) proposed for the Fort Myers project while the GE 7FA.03 is slightly smaller.  These GE and Siemens CT models should offer similar performance to the CT proposed for the </w:t>
      </w:r>
      <w:r w:rsidR="00815642">
        <w:rPr>
          <w:color w:val="000000"/>
          <w:sz w:val="22"/>
          <w:szCs w:val="22"/>
        </w:rPr>
        <w:t>Lauderdale</w:t>
      </w:r>
      <w:r>
        <w:rPr>
          <w:color w:val="000000"/>
          <w:sz w:val="22"/>
          <w:szCs w:val="22"/>
        </w:rPr>
        <w:t xml:space="preserve"> project.  In fact, as indicated in the FPL application, the newer Siemens F5 model shows superior performance and outperforms the newer GE models with respect to CO emissions (see </w:t>
      </w:r>
      <w:r w:rsidRPr="00F7653E">
        <w:rPr>
          <w:b/>
          <w:color w:val="000000"/>
          <w:sz w:val="22"/>
          <w:szCs w:val="22"/>
        </w:rPr>
        <w:t>subsection 3.2.3.4</w:t>
      </w:r>
      <w:r>
        <w:rPr>
          <w:color w:val="000000"/>
          <w:sz w:val="22"/>
          <w:szCs w:val="22"/>
        </w:rPr>
        <w:t>).</w:t>
      </w:r>
    </w:p>
    <w:p w:rsidR="00411EBF" w:rsidRPr="004B241C" w:rsidRDefault="00411EBF" w:rsidP="00C070A4">
      <w:pPr>
        <w:widowControl w:val="0"/>
        <w:numPr>
          <w:ilvl w:val="3"/>
          <w:numId w:val="2"/>
        </w:numPr>
        <w:tabs>
          <w:tab w:val="left" w:pos="720"/>
        </w:tabs>
        <w:spacing w:after="120"/>
        <w:ind w:left="720" w:hanging="720"/>
        <w:rPr>
          <w:i/>
          <w:sz w:val="22"/>
          <w:szCs w:val="22"/>
        </w:rPr>
      </w:pPr>
      <w:r w:rsidRPr="004B241C">
        <w:rPr>
          <w:i/>
          <w:color w:val="000000"/>
          <w:sz w:val="22"/>
          <w:szCs w:val="22"/>
        </w:rPr>
        <w:t>CO Formation and Control Option Descriptions</w:t>
      </w:r>
    </w:p>
    <w:p w:rsidR="00FD4718" w:rsidRDefault="00FD4718" w:rsidP="00070B47">
      <w:pPr>
        <w:pStyle w:val="BodyText2"/>
        <w:widowControl w:val="0"/>
        <w:numPr>
          <w:ilvl w:val="0"/>
          <w:numId w:val="0"/>
        </w:numPr>
        <w:jc w:val="left"/>
        <w:rPr>
          <w:color w:val="000000"/>
          <w:szCs w:val="22"/>
        </w:rPr>
      </w:pPr>
      <w:r w:rsidRPr="00DD52D3">
        <w:rPr>
          <w:b/>
          <w:color w:val="000000"/>
          <w:szCs w:val="22"/>
          <w:u w:val="single"/>
        </w:rPr>
        <w:t>GE 7FA CT</w:t>
      </w:r>
    </w:p>
    <w:p w:rsidR="00411EBF" w:rsidRPr="00531BF5" w:rsidRDefault="00411EBF" w:rsidP="00070B47">
      <w:pPr>
        <w:pStyle w:val="BodyText2"/>
        <w:widowControl w:val="0"/>
        <w:numPr>
          <w:ilvl w:val="0"/>
          <w:numId w:val="0"/>
        </w:numPr>
        <w:jc w:val="left"/>
        <w:rPr>
          <w:szCs w:val="22"/>
        </w:rPr>
      </w:pPr>
      <w:r w:rsidRPr="00531BF5">
        <w:rPr>
          <w:color w:val="000000"/>
          <w:szCs w:val="22"/>
        </w:rPr>
        <w:t>C</w:t>
      </w:r>
      <w:r>
        <w:rPr>
          <w:color w:val="000000"/>
          <w:szCs w:val="22"/>
        </w:rPr>
        <w:t>O</w:t>
      </w:r>
      <w:r w:rsidRPr="00531BF5">
        <w:rPr>
          <w:color w:val="000000"/>
          <w:szCs w:val="22"/>
        </w:rPr>
        <w:t xml:space="preserve"> </w:t>
      </w:r>
      <w:r>
        <w:rPr>
          <w:color w:val="000000"/>
          <w:szCs w:val="22"/>
        </w:rPr>
        <w:t xml:space="preserve">is </w:t>
      </w:r>
      <w:r w:rsidRPr="00531BF5">
        <w:rPr>
          <w:color w:val="000000"/>
          <w:szCs w:val="22"/>
        </w:rPr>
        <w:t>a product of incomplete</w:t>
      </w:r>
      <w:r w:rsidRPr="00531BF5">
        <w:rPr>
          <w:szCs w:val="22"/>
        </w:rPr>
        <w:t xml:space="preserve"> combustion of carbon-containing fuels such as natural gas and fuel oil.  Factors adversely affecting the combustion process are low temperatures, insufficient</w:t>
      </w:r>
      <w:r w:rsidR="00E673CD">
        <w:rPr>
          <w:szCs w:val="22"/>
        </w:rPr>
        <w:t xml:space="preserve"> turbulence and residence times</w:t>
      </w:r>
      <w:r w:rsidRPr="00531BF5">
        <w:rPr>
          <w:szCs w:val="22"/>
        </w:rPr>
        <w:t xml:space="preserve"> and inadequate amounts of excess air.  Most </w:t>
      </w:r>
      <w:r w:rsidR="00815642">
        <w:rPr>
          <w:szCs w:val="22"/>
        </w:rPr>
        <w:t>CTs</w:t>
      </w:r>
      <w:r w:rsidRPr="00531BF5">
        <w:rPr>
          <w:szCs w:val="22"/>
        </w:rPr>
        <w:t xml:space="preserve"> incorporate good combustion practices based on high temperatu</w:t>
      </w:r>
      <w:r w:rsidR="00E673CD">
        <w:rPr>
          <w:szCs w:val="22"/>
        </w:rPr>
        <w:t>re, sufficient time, turbulence</w:t>
      </w:r>
      <w:r w:rsidRPr="00531BF5">
        <w:rPr>
          <w:szCs w:val="22"/>
        </w:rPr>
        <w:t xml:space="preserve"> and excess air to minimize emissions of CO.  Additional control can be obtained by installation of oxidation catalyst, particularly on </w:t>
      </w:r>
      <w:r>
        <w:rPr>
          <w:szCs w:val="22"/>
        </w:rPr>
        <w:t xml:space="preserve">certain </w:t>
      </w:r>
      <w:r w:rsidRPr="00531BF5">
        <w:rPr>
          <w:szCs w:val="22"/>
        </w:rPr>
        <w:t>combustion turbines that do not perform well at low load conditions.</w:t>
      </w:r>
    </w:p>
    <w:p w:rsidR="00411EBF" w:rsidRDefault="00411EBF" w:rsidP="00563080">
      <w:pPr>
        <w:pStyle w:val="BodyText2"/>
        <w:widowControl w:val="0"/>
        <w:numPr>
          <w:ilvl w:val="0"/>
          <w:numId w:val="0"/>
        </w:numPr>
        <w:jc w:val="left"/>
        <w:rPr>
          <w:color w:val="000000"/>
          <w:szCs w:val="22"/>
        </w:rPr>
      </w:pPr>
      <w:r>
        <w:rPr>
          <w:szCs w:val="22"/>
        </w:rPr>
        <w:t xml:space="preserve">Although relatively </w:t>
      </w:r>
      <w:r w:rsidRPr="00531BF5">
        <w:rPr>
          <w:szCs w:val="22"/>
        </w:rPr>
        <w:t xml:space="preserve">high BACT </w:t>
      </w:r>
      <w:r>
        <w:rPr>
          <w:szCs w:val="22"/>
        </w:rPr>
        <w:t xml:space="preserve">CO </w:t>
      </w:r>
      <w:r w:rsidRPr="00531BF5">
        <w:rPr>
          <w:szCs w:val="22"/>
        </w:rPr>
        <w:t xml:space="preserve">limits </w:t>
      </w:r>
      <w:r>
        <w:rPr>
          <w:szCs w:val="22"/>
        </w:rPr>
        <w:t xml:space="preserve">are sometimes </w:t>
      </w:r>
      <w:r w:rsidRPr="00531BF5">
        <w:rPr>
          <w:szCs w:val="22"/>
        </w:rPr>
        <w:t xml:space="preserve">proposed when using combustion controls, much lower emissions are </w:t>
      </w:r>
      <w:r>
        <w:rPr>
          <w:szCs w:val="22"/>
        </w:rPr>
        <w:t xml:space="preserve">actually </w:t>
      </w:r>
      <w:r w:rsidRPr="00531BF5">
        <w:rPr>
          <w:szCs w:val="22"/>
        </w:rPr>
        <w:t>reported for very large combustion turbines (at least at full load operation) without use of oxidation catalyst.</w:t>
      </w:r>
      <w:r>
        <w:rPr>
          <w:szCs w:val="22"/>
        </w:rPr>
        <w:t xml:space="preserve">  </w:t>
      </w:r>
      <w:r w:rsidRPr="00531BF5">
        <w:rPr>
          <w:color w:val="000000"/>
          <w:szCs w:val="22"/>
        </w:rPr>
        <w:t>Based on testing discussed in the NO</w:t>
      </w:r>
      <w:r w:rsidRPr="00531BF5">
        <w:rPr>
          <w:color w:val="000000"/>
          <w:szCs w:val="22"/>
          <w:vertAlign w:val="subscript"/>
        </w:rPr>
        <w:t>X</w:t>
      </w:r>
      <w:r w:rsidRPr="00531BF5">
        <w:rPr>
          <w:color w:val="000000"/>
          <w:szCs w:val="22"/>
        </w:rPr>
        <w:t xml:space="preserve"> technology section</w:t>
      </w:r>
      <w:r w:rsidR="0011369F">
        <w:rPr>
          <w:color w:val="000000"/>
          <w:szCs w:val="22"/>
        </w:rPr>
        <w:t xml:space="preserve"> (see</w:t>
      </w:r>
      <w:r w:rsidR="00815642">
        <w:rPr>
          <w:color w:val="000000"/>
          <w:szCs w:val="22"/>
        </w:rPr>
        <w:t xml:space="preserve"> </w:t>
      </w:r>
      <w:r w:rsidR="00815642">
        <w:rPr>
          <w:color w:val="000000"/>
          <w:szCs w:val="22"/>
        </w:rPr>
        <w:fldChar w:fldCharType="begin"/>
      </w:r>
      <w:r w:rsidR="00815642">
        <w:rPr>
          <w:color w:val="000000"/>
          <w:szCs w:val="22"/>
        </w:rPr>
        <w:instrText xml:space="preserve"> REF _Ref365458060 \h  \* MERGEFORMAT </w:instrText>
      </w:r>
      <w:r w:rsidR="00815642">
        <w:rPr>
          <w:color w:val="000000"/>
          <w:szCs w:val="22"/>
        </w:rPr>
      </w:r>
      <w:r w:rsidR="00815642">
        <w:rPr>
          <w:color w:val="000000"/>
          <w:szCs w:val="22"/>
        </w:rPr>
        <w:fldChar w:fldCharType="separate"/>
      </w:r>
      <w:r w:rsidR="007F3589" w:rsidRPr="007F3589">
        <w:rPr>
          <w:rFonts w:ascii="Times New Roman Bold" w:hAnsi="Times New Roman Bold"/>
          <w:b/>
          <w:szCs w:val="22"/>
        </w:rPr>
        <w:t>Table</w:t>
      </w:r>
      <w:r w:rsidR="007F3589" w:rsidRPr="00AB7023">
        <w:rPr>
          <w:rFonts w:ascii="Times New Roman Bold" w:hAnsi="Times New Roman Bold"/>
          <w:b/>
          <w:caps/>
          <w:szCs w:val="22"/>
        </w:rPr>
        <w:t xml:space="preserve"> </w:t>
      </w:r>
      <w:r w:rsidR="007F3589">
        <w:rPr>
          <w:rFonts w:ascii="Times New Roman Bold" w:hAnsi="Times New Roman Bold"/>
          <w:b/>
          <w:caps/>
          <w:noProof/>
          <w:szCs w:val="22"/>
        </w:rPr>
        <w:t>6</w:t>
      </w:r>
      <w:r w:rsidR="00815642">
        <w:rPr>
          <w:color w:val="000000"/>
          <w:szCs w:val="22"/>
        </w:rPr>
        <w:fldChar w:fldCharType="end"/>
      </w:r>
      <w:r w:rsidR="0011369F">
        <w:rPr>
          <w:color w:val="000000"/>
          <w:szCs w:val="22"/>
        </w:rPr>
        <w:t>)</w:t>
      </w:r>
      <w:r w:rsidRPr="00531BF5">
        <w:rPr>
          <w:color w:val="000000"/>
          <w:szCs w:val="22"/>
        </w:rPr>
        <w:t xml:space="preserve"> above, </w:t>
      </w:r>
      <w:r>
        <w:rPr>
          <w:color w:val="000000"/>
          <w:szCs w:val="22"/>
        </w:rPr>
        <w:t xml:space="preserve">the earlier generation </w:t>
      </w:r>
      <w:r w:rsidRPr="00531BF5">
        <w:rPr>
          <w:color w:val="000000"/>
          <w:szCs w:val="22"/>
        </w:rPr>
        <w:t>GE 7FA</w:t>
      </w:r>
      <w:r>
        <w:rPr>
          <w:color w:val="000000"/>
          <w:szCs w:val="22"/>
        </w:rPr>
        <w:t>.03</w:t>
      </w:r>
      <w:r w:rsidRPr="00531BF5">
        <w:rPr>
          <w:color w:val="000000"/>
          <w:szCs w:val="22"/>
        </w:rPr>
        <w:t xml:space="preserve"> units achieved CO emissions in the range of 0.3 to 1.6 ppmvd when firing gas </w:t>
      </w:r>
      <w:r>
        <w:rPr>
          <w:color w:val="000000"/>
          <w:szCs w:val="22"/>
        </w:rPr>
        <w:t xml:space="preserve">at </w:t>
      </w:r>
      <w:r w:rsidRPr="00531BF5">
        <w:rPr>
          <w:color w:val="000000"/>
          <w:szCs w:val="22"/>
        </w:rPr>
        <w:t>the TEC</w:t>
      </w:r>
      <w:r>
        <w:rPr>
          <w:color w:val="000000"/>
          <w:szCs w:val="22"/>
        </w:rPr>
        <w:t>O</w:t>
      </w:r>
      <w:r w:rsidRPr="00531BF5">
        <w:rPr>
          <w:color w:val="000000"/>
          <w:szCs w:val="22"/>
        </w:rPr>
        <w:t xml:space="preserve"> Polk Power Station Unit 2 at loads between 50 and 100 percent.  </w:t>
      </w:r>
    </w:p>
    <w:p w:rsidR="00411EBF" w:rsidRDefault="00411EBF" w:rsidP="001044A2">
      <w:pPr>
        <w:spacing w:after="120"/>
        <w:rPr>
          <w:color w:val="000000"/>
          <w:sz w:val="22"/>
          <w:szCs w:val="22"/>
        </w:rPr>
      </w:pPr>
      <w:r w:rsidRPr="00531BF5">
        <w:rPr>
          <w:color w:val="000000"/>
          <w:sz w:val="22"/>
          <w:szCs w:val="22"/>
        </w:rPr>
        <w:t>Some of the more recent turbine projects within the state have been permitted CEM</w:t>
      </w:r>
      <w:r>
        <w:rPr>
          <w:color w:val="000000"/>
          <w:sz w:val="22"/>
          <w:szCs w:val="22"/>
        </w:rPr>
        <w:t>S</w:t>
      </w:r>
      <w:r w:rsidRPr="00531BF5">
        <w:rPr>
          <w:color w:val="000000"/>
          <w:sz w:val="22"/>
          <w:szCs w:val="22"/>
        </w:rPr>
        <w:t xml:space="preserve"> requirements for CO.  Continuous data from these units verify the ability of the </w:t>
      </w:r>
      <w:r>
        <w:rPr>
          <w:color w:val="000000"/>
          <w:sz w:val="22"/>
          <w:szCs w:val="22"/>
        </w:rPr>
        <w:t xml:space="preserve">GE </w:t>
      </w:r>
      <w:r w:rsidRPr="00531BF5">
        <w:rPr>
          <w:color w:val="000000"/>
          <w:sz w:val="22"/>
          <w:szCs w:val="22"/>
        </w:rPr>
        <w:t>7FA</w:t>
      </w:r>
      <w:r>
        <w:rPr>
          <w:color w:val="000000"/>
          <w:sz w:val="22"/>
          <w:szCs w:val="22"/>
        </w:rPr>
        <w:t>.03</w:t>
      </w:r>
      <w:r w:rsidRPr="00531BF5">
        <w:rPr>
          <w:color w:val="000000"/>
          <w:sz w:val="22"/>
          <w:szCs w:val="22"/>
        </w:rPr>
        <w:t xml:space="preserve"> </w:t>
      </w:r>
      <w:r>
        <w:rPr>
          <w:color w:val="000000"/>
          <w:sz w:val="22"/>
          <w:szCs w:val="22"/>
        </w:rPr>
        <w:t>(and presumably the GE 7 FA.0</w:t>
      </w:r>
      <w:r w:rsidR="00E673CD">
        <w:rPr>
          <w:color w:val="000000"/>
          <w:sz w:val="22"/>
          <w:szCs w:val="22"/>
        </w:rPr>
        <w:t>4 and the GE 7 FA.05</w:t>
      </w:r>
      <w:r>
        <w:rPr>
          <w:color w:val="000000"/>
          <w:sz w:val="22"/>
          <w:szCs w:val="22"/>
        </w:rPr>
        <w:t xml:space="preserve">) </w:t>
      </w:r>
      <w:r w:rsidRPr="00531BF5">
        <w:rPr>
          <w:color w:val="000000"/>
          <w:sz w:val="22"/>
          <w:szCs w:val="22"/>
        </w:rPr>
        <w:t>to operate continuously with CO emission rates well below the manufacture</w:t>
      </w:r>
      <w:r>
        <w:rPr>
          <w:color w:val="000000"/>
          <w:sz w:val="22"/>
          <w:szCs w:val="22"/>
        </w:rPr>
        <w:t>r’s guarantee.  A summary of CO-</w:t>
      </w:r>
      <w:r w:rsidRPr="00531BF5">
        <w:rPr>
          <w:color w:val="000000"/>
          <w:sz w:val="22"/>
          <w:szCs w:val="22"/>
        </w:rPr>
        <w:t xml:space="preserve">CEMS data recorded at </w:t>
      </w:r>
      <w:r>
        <w:rPr>
          <w:color w:val="000000"/>
          <w:sz w:val="22"/>
          <w:szCs w:val="22"/>
        </w:rPr>
        <w:t xml:space="preserve">the </w:t>
      </w:r>
      <w:r w:rsidRPr="00531BF5">
        <w:rPr>
          <w:color w:val="000000"/>
          <w:sz w:val="22"/>
          <w:szCs w:val="22"/>
        </w:rPr>
        <w:t>TEC</w:t>
      </w:r>
      <w:r>
        <w:rPr>
          <w:color w:val="000000"/>
          <w:sz w:val="22"/>
          <w:szCs w:val="22"/>
        </w:rPr>
        <w:t>O</w:t>
      </w:r>
      <w:r w:rsidRPr="00531BF5">
        <w:rPr>
          <w:color w:val="000000"/>
          <w:sz w:val="22"/>
          <w:szCs w:val="22"/>
        </w:rPr>
        <w:t xml:space="preserve"> Bayside </w:t>
      </w:r>
      <w:r>
        <w:rPr>
          <w:color w:val="000000"/>
          <w:sz w:val="22"/>
          <w:szCs w:val="22"/>
        </w:rPr>
        <w:t xml:space="preserve">Station and reflecting very low CO emissions </w:t>
      </w:r>
      <w:r w:rsidRPr="00531BF5">
        <w:rPr>
          <w:color w:val="000000"/>
          <w:sz w:val="22"/>
          <w:szCs w:val="22"/>
        </w:rPr>
        <w:t xml:space="preserve">for </w:t>
      </w:r>
      <w:r>
        <w:rPr>
          <w:color w:val="000000"/>
          <w:sz w:val="22"/>
          <w:szCs w:val="22"/>
        </w:rPr>
        <w:t xml:space="preserve">four </w:t>
      </w:r>
      <w:r w:rsidRPr="00531BF5">
        <w:rPr>
          <w:color w:val="000000"/>
          <w:sz w:val="22"/>
          <w:szCs w:val="22"/>
        </w:rPr>
        <w:t>GE</w:t>
      </w:r>
      <w:r>
        <w:rPr>
          <w:color w:val="000000"/>
          <w:sz w:val="22"/>
          <w:szCs w:val="22"/>
        </w:rPr>
        <w:t xml:space="preserve"> </w:t>
      </w:r>
      <w:r w:rsidRPr="00531BF5">
        <w:rPr>
          <w:color w:val="000000"/>
          <w:sz w:val="22"/>
          <w:szCs w:val="22"/>
        </w:rPr>
        <w:t>7FA</w:t>
      </w:r>
      <w:r>
        <w:rPr>
          <w:color w:val="000000"/>
          <w:sz w:val="22"/>
          <w:szCs w:val="22"/>
        </w:rPr>
        <w:t>.03</w:t>
      </w:r>
      <w:r w:rsidRPr="00531BF5">
        <w:rPr>
          <w:color w:val="000000"/>
          <w:sz w:val="22"/>
          <w:szCs w:val="22"/>
        </w:rPr>
        <w:t xml:space="preserve"> units is shown in </w:t>
      </w:r>
      <w:r w:rsidR="0011369F" w:rsidRPr="00D6663C">
        <w:rPr>
          <w:b/>
          <w:color w:val="000000"/>
          <w:sz w:val="22"/>
          <w:szCs w:val="22"/>
        </w:rPr>
        <w:fldChar w:fldCharType="begin"/>
      </w:r>
      <w:r w:rsidR="0011369F" w:rsidRPr="00D6663C">
        <w:rPr>
          <w:b/>
          <w:color w:val="000000"/>
          <w:sz w:val="22"/>
          <w:szCs w:val="22"/>
        </w:rPr>
        <w:instrText xml:space="preserve"> REF _Ref365550544 \h  \* MERGEFORMAT </w:instrText>
      </w:r>
      <w:r w:rsidR="0011369F" w:rsidRPr="00D6663C">
        <w:rPr>
          <w:b/>
          <w:color w:val="000000"/>
          <w:sz w:val="22"/>
          <w:szCs w:val="22"/>
        </w:rPr>
      </w:r>
      <w:r w:rsidR="0011369F" w:rsidRPr="00D6663C">
        <w:rPr>
          <w:b/>
          <w:color w:val="000000"/>
          <w:sz w:val="22"/>
          <w:szCs w:val="22"/>
        </w:rPr>
        <w:fldChar w:fldCharType="separate"/>
      </w:r>
      <w:r w:rsidR="007F3589" w:rsidRPr="007F3589">
        <w:rPr>
          <w:b/>
          <w:sz w:val="22"/>
          <w:szCs w:val="22"/>
        </w:rPr>
        <w:t xml:space="preserve">Table </w:t>
      </w:r>
      <w:r w:rsidR="007F3589" w:rsidRPr="007F3589">
        <w:rPr>
          <w:b/>
          <w:noProof/>
          <w:sz w:val="22"/>
          <w:szCs w:val="22"/>
        </w:rPr>
        <w:t>8</w:t>
      </w:r>
      <w:r w:rsidR="0011369F" w:rsidRPr="00D6663C">
        <w:rPr>
          <w:b/>
          <w:color w:val="000000"/>
          <w:sz w:val="22"/>
          <w:szCs w:val="22"/>
        </w:rPr>
        <w:fldChar w:fldCharType="end"/>
      </w:r>
      <w:r w:rsidR="0011369F">
        <w:rPr>
          <w:color w:val="000000"/>
          <w:sz w:val="22"/>
          <w:szCs w:val="22"/>
        </w:rPr>
        <w:t xml:space="preserve"> </w:t>
      </w:r>
      <w:r w:rsidRPr="00531BF5">
        <w:rPr>
          <w:color w:val="000000"/>
          <w:sz w:val="22"/>
          <w:szCs w:val="22"/>
        </w:rPr>
        <w:t>below.</w:t>
      </w:r>
      <w:r>
        <w:rPr>
          <w:color w:val="000000"/>
          <w:sz w:val="22"/>
          <w:szCs w:val="22"/>
        </w:rPr>
        <w:t xml:space="preserve">  </w:t>
      </w:r>
    </w:p>
    <w:p w:rsidR="001044A2" w:rsidRDefault="00411EBF" w:rsidP="001044A2">
      <w:pPr>
        <w:pStyle w:val="BodyText"/>
        <w:widowControl w:val="0"/>
        <w:rPr>
          <w:sz w:val="22"/>
          <w:szCs w:val="22"/>
        </w:rPr>
      </w:pPr>
      <w:r w:rsidRPr="00531BF5">
        <w:rPr>
          <w:color w:val="000000"/>
          <w:sz w:val="22"/>
          <w:szCs w:val="22"/>
        </w:rPr>
        <w:t xml:space="preserve">CO and VOC emissions </w:t>
      </w:r>
      <w:r w:rsidRPr="00563080">
        <w:rPr>
          <w:i/>
          <w:color w:val="000000"/>
          <w:sz w:val="22"/>
          <w:szCs w:val="22"/>
        </w:rPr>
        <w:t>should be and are</w:t>
      </w:r>
      <w:r>
        <w:rPr>
          <w:color w:val="000000"/>
          <w:sz w:val="22"/>
          <w:szCs w:val="22"/>
        </w:rPr>
        <w:t xml:space="preserve"> </w:t>
      </w:r>
      <w:r w:rsidRPr="00531BF5">
        <w:rPr>
          <w:color w:val="000000"/>
          <w:sz w:val="22"/>
          <w:szCs w:val="22"/>
        </w:rPr>
        <w:t>low because of the very high combustion temperatures, excess air, and turbulence characteristic of the GE 7FA.  Performance guarantees are only now “catching up” with the field experience.</w:t>
      </w:r>
      <w:r>
        <w:rPr>
          <w:color w:val="000000"/>
          <w:sz w:val="22"/>
          <w:szCs w:val="22"/>
        </w:rPr>
        <w:t xml:space="preserve">  </w:t>
      </w:r>
      <w:r w:rsidRPr="00531BF5">
        <w:rPr>
          <w:sz w:val="22"/>
          <w:szCs w:val="22"/>
        </w:rPr>
        <w:t>GE recently published a report supporting the elimination of oxidation catalyst requirements for CO control on its units.</w:t>
      </w:r>
      <w:r w:rsidRPr="00531BF5">
        <w:rPr>
          <w:rStyle w:val="FootnoteReference"/>
          <w:szCs w:val="22"/>
        </w:rPr>
        <w:footnoteReference w:id="7"/>
      </w:r>
      <w:r w:rsidRPr="00531BF5">
        <w:rPr>
          <w:sz w:val="22"/>
          <w:szCs w:val="22"/>
        </w:rPr>
        <w:t xml:space="preserve"> </w:t>
      </w:r>
      <w:r w:rsidR="00563080" w:rsidRPr="00531BF5">
        <w:rPr>
          <w:sz w:val="22"/>
          <w:szCs w:val="22"/>
        </w:rPr>
        <w:t xml:space="preserve"> The following statement was taken from the report:</w:t>
      </w:r>
      <w:r w:rsidR="001044A2">
        <w:rPr>
          <w:sz w:val="22"/>
          <w:szCs w:val="22"/>
        </w:rPr>
        <w:t xml:space="preserve">  </w:t>
      </w:r>
    </w:p>
    <w:p w:rsidR="0011369F" w:rsidRDefault="001044A2" w:rsidP="001044A2">
      <w:pPr>
        <w:pStyle w:val="BodyText"/>
        <w:widowControl w:val="0"/>
        <w:rPr>
          <w:sz w:val="22"/>
          <w:szCs w:val="22"/>
        </w:rPr>
      </w:pPr>
      <w:r w:rsidRPr="00531BF5">
        <w:rPr>
          <w:i/>
          <w:sz w:val="22"/>
          <w:szCs w:val="22"/>
        </w:rPr>
        <w:t xml:space="preserve">“GE is offering CO guarantees of 5 ppmvd for the GE PG7241FA DLN </w:t>
      </w:r>
      <w:r>
        <w:rPr>
          <w:i/>
          <w:sz w:val="22"/>
          <w:szCs w:val="22"/>
        </w:rPr>
        <w:t xml:space="preserve">(now the GE 7FA.03) </w:t>
      </w:r>
      <w:r w:rsidRPr="00531BF5">
        <w:rPr>
          <w:i/>
          <w:sz w:val="22"/>
          <w:szCs w:val="22"/>
        </w:rPr>
        <w:t xml:space="preserve">on a case-by-case basis following a detailed evaluation of the situation – thus validating its position that oxidation catalysts are not economically justified for CO emissions reduction for the GE PG7241FA </w:t>
      </w:r>
      <w:r>
        <w:rPr>
          <w:i/>
          <w:sz w:val="22"/>
          <w:szCs w:val="22"/>
        </w:rPr>
        <w:t xml:space="preserve">(GE 7FA.03) </w:t>
      </w:r>
      <w:r w:rsidRPr="00531BF5">
        <w:rPr>
          <w:i/>
          <w:sz w:val="22"/>
          <w:szCs w:val="22"/>
        </w:rPr>
        <w:t>DLN units while firing natural gas.”</w:t>
      </w:r>
      <w:r>
        <w:rPr>
          <w:i/>
          <w:sz w:val="22"/>
          <w:szCs w:val="22"/>
        </w:rPr>
        <w:t xml:space="preserve"> </w:t>
      </w:r>
      <w:r>
        <w:rPr>
          <w:sz w:val="22"/>
          <w:szCs w:val="22"/>
        </w:rPr>
        <w:t>(Parenthetical notes added by Department)</w:t>
      </w:r>
    </w:p>
    <w:p w:rsidR="0011369F" w:rsidRPr="0011369F" w:rsidRDefault="0011369F" w:rsidP="0011369F">
      <w:pPr>
        <w:pStyle w:val="Caption"/>
        <w:spacing w:before="0"/>
        <w:jc w:val="center"/>
        <w:rPr>
          <w:color w:val="000000"/>
          <w:szCs w:val="22"/>
        </w:rPr>
      </w:pPr>
      <w:bookmarkStart w:id="26" w:name="_Ref365550544"/>
      <w:r w:rsidRPr="0011369F">
        <w:t xml:space="preserve">Table </w:t>
      </w:r>
      <w:fldSimple w:instr=" SEQ Table \* ARABIC ">
        <w:r w:rsidR="007F3589">
          <w:rPr>
            <w:noProof/>
          </w:rPr>
          <w:t>8</w:t>
        </w:r>
      </w:fldSimple>
      <w:bookmarkEnd w:id="26"/>
      <w:r w:rsidRPr="0011369F">
        <w:t xml:space="preserve"> </w:t>
      </w:r>
      <w:r w:rsidR="00103935" w:rsidRPr="0011369F">
        <w:rPr>
          <w:color w:val="000000"/>
          <w:szCs w:val="22"/>
        </w:rPr>
        <w:t xml:space="preserve">- </w:t>
      </w:r>
      <w:r w:rsidR="00070B47" w:rsidRPr="0011369F">
        <w:rPr>
          <w:color w:val="000000"/>
          <w:szCs w:val="22"/>
        </w:rPr>
        <w:t xml:space="preserve">CO CEMS Data </w:t>
      </w:r>
      <w:r w:rsidR="00095F8E" w:rsidRPr="0011369F">
        <w:rPr>
          <w:color w:val="000000"/>
          <w:szCs w:val="22"/>
        </w:rPr>
        <w:t xml:space="preserve">in </w:t>
      </w:r>
      <w:r w:rsidR="00095F8E" w:rsidRPr="0011369F">
        <w:rPr>
          <w:rFonts w:ascii="Times New Roman Bold" w:hAnsi="Times New Roman Bold"/>
          <w:caps w:val="0"/>
          <w:color w:val="000000"/>
          <w:szCs w:val="22"/>
        </w:rPr>
        <w:t>ppmvd</w:t>
      </w:r>
      <w:r w:rsidR="00095F8E" w:rsidRPr="0011369F">
        <w:rPr>
          <w:color w:val="000000"/>
          <w:szCs w:val="22"/>
        </w:rPr>
        <w:t xml:space="preserve"> </w:t>
      </w:r>
      <w:r w:rsidR="00103935" w:rsidRPr="0011369F">
        <w:rPr>
          <w:color w:val="000000"/>
          <w:szCs w:val="22"/>
        </w:rPr>
        <w:t>from</w:t>
      </w:r>
      <w:r w:rsidRPr="0011369F">
        <w:rPr>
          <w:color w:val="000000"/>
          <w:szCs w:val="22"/>
        </w:rPr>
        <w:t xml:space="preserve"> GE 7FA.03 CTG at TECO Bayside Unit 1</w:t>
      </w:r>
      <w:r w:rsidR="00A368BD">
        <w:rPr>
          <w:color w:val="000000"/>
          <w:szCs w:val="22"/>
        </w:rPr>
        <w:t>.</w:t>
      </w:r>
    </w:p>
    <w:tbl>
      <w:tblPr>
        <w:tblW w:w="93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10"/>
        <w:gridCol w:w="2134"/>
        <w:gridCol w:w="2044"/>
        <w:gridCol w:w="2430"/>
      </w:tblGrid>
      <w:tr w:rsidR="0011369F" w:rsidRPr="0011369F" w:rsidTr="002E7738">
        <w:trPr>
          <w:trHeight w:val="144"/>
        </w:trPr>
        <w:tc>
          <w:tcPr>
            <w:tcW w:w="990" w:type="dxa"/>
            <w:tcBorders>
              <w:top w:val="single" w:sz="6" w:space="0" w:color="auto"/>
              <w:left w:val="single" w:sz="6" w:space="0" w:color="auto"/>
              <w:bottom w:val="single" w:sz="6" w:space="0" w:color="auto"/>
              <w:right w:val="single" w:sz="6" w:space="0" w:color="auto"/>
            </w:tcBorders>
            <w:shd w:val="clear" w:color="auto" w:fill="C6D9F1"/>
            <w:vAlign w:val="center"/>
          </w:tcPr>
          <w:p w:rsidR="0011369F" w:rsidRPr="0011369F" w:rsidRDefault="0011369F" w:rsidP="00A368BD">
            <w:pPr>
              <w:spacing w:before="20" w:after="20"/>
              <w:ind w:left="162" w:hanging="162"/>
              <w:jc w:val="center"/>
              <w:rPr>
                <w:b/>
                <w:bCs/>
              </w:rPr>
            </w:pPr>
            <w:r w:rsidRPr="0011369F">
              <w:rPr>
                <w:b/>
                <w:bCs/>
              </w:rPr>
              <w:t>Turbine</w:t>
            </w:r>
          </w:p>
        </w:tc>
        <w:tc>
          <w:tcPr>
            <w:tcW w:w="1710" w:type="dxa"/>
            <w:tcBorders>
              <w:top w:val="single" w:sz="6" w:space="0" w:color="auto"/>
              <w:left w:val="single" w:sz="6" w:space="0" w:color="auto"/>
              <w:bottom w:val="single" w:sz="6" w:space="0" w:color="auto"/>
              <w:right w:val="single" w:sz="6" w:space="0" w:color="auto"/>
            </w:tcBorders>
            <w:shd w:val="clear" w:color="auto" w:fill="C6D9F1"/>
            <w:vAlign w:val="center"/>
          </w:tcPr>
          <w:p w:rsidR="0011369F" w:rsidRPr="0011369F" w:rsidRDefault="0011369F" w:rsidP="00A368BD">
            <w:pPr>
              <w:spacing w:before="20" w:after="20"/>
              <w:jc w:val="center"/>
              <w:rPr>
                <w:b/>
                <w:bCs/>
              </w:rPr>
            </w:pPr>
            <w:r w:rsidRPr="0011369F">
              <w:rPr>
                <w:b/>
                <w:bCs/>
              </w:rPr>
              <w:t>Quarter</w:t>
            </w:r>
          </w:p>
        </w:tc>
        <w:tc>
          <w:tcPr>
            <w:tcW w:w="2134" w:type="dxa"/>
            <w:tcBorders>
              <w:top w:val="single" w:sz="6" w:space="0" w:color="auto"/>
              <w:left w:val="single" w:sz="6" w:space="0" w:color="auto"/>
              <w:bottom w:val="single" w:sz="6" w:space="0" w:color="auto"/>
              <w:right w:val="single" w:sz="6" w:space="0" w:color="auto"/>
            </w:tcBorders>
            <w:shd w:val="clear" w:color="auto" w:fill="C6D9F1"/>
            <w:vAlign w:val="center"/>
          </w:tcPr>
          <w:p w:rsidR="0011369F" w:rsidRPr="0011369F" w:rsidRDefault="0011369F" w:rsidP="00A368BD">
            <w:pPr>
              <w:spacing w:before="20" w:after="20"/>
              <w:jc w:val="center"/>
              <w:rPr>
                <w:b/>
                <w:bCs/>
              </w:rPr>
            </w:pPr>
            <w:r w:rsidRPr="0011369F">
              <w:rPr>
                <w:b/>
                <w:bCs/>
              </w:rPr>
              <w:t>CO Max 24-hr Block</w:t>
            </w:r>
          </w:p>
        </w:tc>
        <w:tc>
          <w:tcPr>
            <w:tcW w:w="2044" w:type="dxa"/>
            <w:tcBorders>
              <w:top w:val="single" w:sz="6" w:space="0" w:color="auto"/>
              <w:left w:val="single" w:sz="6" w:space="0" w:color="auto"/>
              <w:bottom w:val="single" w:sz="6" w:space="0" w:color="auto"/>
              <w:right w:val="single" w:sz="6" w:space="0" w:color="auto"/>
            </w:tcBorders>
            <w:shd w:val="clear" w:color="auto" w:fill="C6D9F1"/>
            <w:vAlign w:val="center"/>
          </w:tcPr>
          <w:p w:rsidR="0011369F" w:rsidRPr="0011369F" w:rsidRDefault="0011369F" w:rsidP="00A368BD">
            <w:pPr>
              <w:spacing w:before="20" w:after="20"/>
              <w:jc w:val="center"/>
              <w:rPr>
                <w:b/>
                <w:bCs/>
              </w:rPr>
            </w:pPr>
            <w:r w:rsidRPr="0011369F">
              <w:rPr>
                <w:b/>
                <w:bCs/>
              </w:rPr>
              <w:t>CO Min 24-hr Block</w:t>
            </w:r>
          </w:p>
        </w:tc>
        <w:tc>
          <w:tcPr>
            <w:tcW w:w="2430" w:type="dxa"/>
            <w:tcBorders>
              <w:top w:val="single" w:sz="6" w:space="0" w:color="auto"/>
              <w:left w:val="single" w:sz="6" w:space="0" w:color="auto"/>
              <w:bottom w:val="single" w:sz="6" w:space="0" w:color="auto"/>
              <w:right w:val="single" w:sz="6" w:space="0" w:color="auto"/>
            </w:tcBorders>
            <w:shd w:val="clear" w:color="auto" w:fill="C6D9F1"/>
            <w:vAlign w:val="center"/>
          </w:tcPr>
          <w:p w:rsidR="0011369F" w:rsidRPr="0011369F" w:rsidRDefault="0011369F" w:rsidP="00A368BD">
            <w:pPr>
              <w:spacing w:before="20" w:after="20"/>
              <w:jc w:val="center"/>
              <w:rPr>
                <w:b/>
                <w:bCs/>
              </w:rPr>
            </w:pPr>
            <w:r w:rsidRPr="0011369F">
              <w:rPr>
                <w:b/>
                <w:bCs/>
              </w:rPr>
              <w:t>CO Quarterly Average</w:t>
            </w:r>
          </w:p>
        </w:tc>
      </w:tr>
      <w:tr w:rsidR="0011369F" w:rsidRPr="0011369F" w:rsidTr="002E7738">
        <w:trPr>
          <w:trHeight w:val="144"/>
        </w:trPr>
        <w:tc>
          <w:tcPr>
            <w:tcW w:w="99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1A</w:t>
            </w:r>
          </w:p>
        </w:tc>
        <w:tc>
          <w:tcPr>
            <w:tcW w:w="171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3</w:t>
            </w:r>
            <w:r w:rsidRPr="0011369F">
              <w:rPr>
                <w:vertAlign w:val="superscript"/>
              </w:rPr>
              <w:t>rd</w:t>
            </w:r>
            <w:r w:rsidRPr="0011369F">
              <w:t xml:space="preserve"> Quarter 2003</w:t>
            </w:r>
          </w:p>
        </w:tc>
        <w:tc>
          <w:tcPr>
            <w:tcW w:w="213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4.3</w:t>
            </w:r>
          </w:p>
        </w:tc>
        <w:tc>
          <w:tcPr>
            <w:tcW w:w="204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0.3</w:t>
            </w:r>
          </w:p>
        </w:tc>
        <w:tc>
          <w:tcPr>
            <w:tcW w:w="243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0.83</w:t>
            </w:r>
          </w:p>
        </w:tc>
      </w:tr>
      <w:tr w:rsidR="0011369F" w:rsidRPr="0011369F" w:rsidTr="002E7738">
        <w:trPr>
          <w:trHeight w:val="144"/>
        </w:trPr>
        <w:tc>
          <w:tcPr>
            <w:tcW w:w="99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lastRenderedPageBreak/>
              <w:t>1B</w:t>
            </w:r>
          </w:p>
        </w:tc>
        <w:tc>
          <w:tcPr>
            <w:tcW w:w="171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p>
        </w:tc>
        <w:tc>
          <w:tcPr>
            <w:tcW w:w="213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1.7</w:t>
            </w:r>
          </w:p>
        </w:tc>
        <w:tc>
          <w:tcPr>
            <w:tcW w:w="204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w:t>
            </w:r>
          </w:p>
        </w:tc>
        <w:tc>
          <w:tcPr>
            <w:tcW w:w="243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w:t>
            </w:r>
          </w:p>
        </w:tc>
      </w:tr>
      <w:tr w:rsidR="0011369F" w:rsidRPr="0011369F" w:rsidTr="002E7738">
        <w:trPr>
          <w:trHeight w:val="144"/>
        </w:trPr>
        <w:tc>
          <w:tcPr>
            <w:tcW w:w="99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1C</w:t>
            </w:r>
          </w:p>
        </w:tc>
        <w:tc>
          <w:tcPr>
            <w:tcW w:w="171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p>
        </w:tc>
        <w:tc>
          <w:tcPr>
            <w:tcW w:w="213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2.1</w:t>
            </w:r>
          </w:p>
        </w:tc>
        <w:tc>
          <w:tcPr>
            <w:tcW w:w="204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w:t>
            </w:r>
          </w:p>
        </w:tc>
        <w:tc>
          <w:tcPr>
            <w:tcW w:w="243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0.8</w:t>
            </w:r>
          </w:p>
        </w:tc>
      </w:tr>
      <w:tr w:rsidR="0011369F" w:rsidRPr="0011369F" w:rsidTr="002E7738">
        <w:trPr>
          <w:trHeight w:val="144"/>
        </w:trPr>
        <w:tc>
          <w:tcPr>
            <w:tcW w:w="99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1A</w:t>
            </w:r>
          </w:p>
        </w:tc>
        <w:tc>
          <w:tcPr>
            <w:tcW w:w="171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4</w:t>
            </w:r>
            <w:r w:rsidRPr="0011369F">
              <w:rPr>
                <w:vertAlign w:val="superscript"/>
              </w:rPr>
              <w:t>th</w:t>
            </w:r>
            <w:r w:rsidRPr="0011369F">
              <w:t xml:space="preserve"> Quarter 2003</w:t>
            </w:r>
          </w:p>
        </w:tc>
        <w:tc>
          <w:tcPr>
            <w:tcW w:w="213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2.2</w:t>
            </w:r>
          </w:p>
        </w:tc>
        <w:tc>
          <w:tcPr>
            <w:tcW w:w="204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w:t>
            </w:r>
          </w:p>
        </w:tc>
        <w:tc>
          <w:tcPr>
            <w:tcW w:w="243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0.76</w:t>
            </w:r>
          </w:p>
        </w:tc>
      </w:tr>
      <w:tr w:rsidR="0011369F" w:rsidRPr="0011369F" w:rsidTr="002E7738">
        <w:trPr>
          <w:trHeight w:val="144"/>
        </w:trPr>
        <w:tc>
          <w:tcPr>
            <w:tcW w:w="99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1B</w:t>
            </w:r>
          </w:p>
        </w:tc>
        <w:tc>
          <w:tcPr>
            <w:tcW w:w="171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p>
        </w:tc>
        <w:tc>
          <w:tcPr>
            <w:tcW w:w="213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1.9</w:t>
            </w:r>
          </w:p>
        </w:tc>
        <w:tc>
          <w:tcPr>
            <w:tcW w:w="204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w:t>
            </w:r>
          </w:p>
        </w:tc>
        <w:tc>
          <w:tcPr>
            <w:tcW w:w="243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1.14</w:t>
            </w:r>
          </w:p>
        </w:tc>
      </w:tr>
      <w:tr w:rsidR="0011369F" w:rsidRPr="0011369F" w:rsidTr="002E7738">
        <w:trPr>
          <w:trHeight w:val="144"/>
        </w:trPr>
        <w:tc>
          <w:tcPr>
            <w:tcW w:w="99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1C</w:t>
            </w:r>
          </w:p>
        </w:tc>
        <w:tc>
          <w:tcPr>
            <w:tcW w:w="171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p>
        </w:tc>
        <w:tc>
          <w:tcPr>
            <w:tcW w:w="213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1.2</w:t>
            </w:r>
          </w:p>
        </w:tc>
        <w:tc>
          <w:tcPr>
            <w:tcW w:w="2044"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w:t>
            </w:r>
          </w:p>
        </w:tc>
        <w:tc>
          <w:tcPr>
            <w:tcW w:w="2430" w:type="dxa"/>
            <w:tcBorders>
              <w:top w:val="single" w:sz="6" w:space="0" w:color="auto"/>
              <w:left w:val="single" w:sz="6" w:space="0" w:color="auto"/>
              <w:bottom w:val="single" w:sz="6" w:space="0" w:color="auto"/>
              <w:right w:val="single" w:sz="6" w:space="0" w:color="auto"/>
            </w:tcBorders>
            <w:vAlign w:val="bottom"/>
          </w:tcPr>
          <w:p w:rsidR="0011369F" w:rsidRPr="0011369F" w:rsidRDefault="0011369F" w:rsidP="00A368BD">
            <w:pPr>
              <w:spacing w:before="20" w:after="20"/>
              <w:jc w:val="center"/>
            </w:pPr>
            <w:r w:rsidRPr="0011369F">
              <w:t>0.74</w:t>
            </w:r>
          </w:p>
        </w:tc>
      </w:tr>
    </w:tbl>
    <w:p w:rsidR="00B52501" w:rsidRDefault="004C68E3" w:rsidP="001044A2">
      <w:pPr>
        <w:spacing w:before="120" w:after="120"/>
        <w:rPr>
          <w:color w:val="000000"/>
          <w:sz w:val="22"/>
          <w:szCs w:val="22"/>
        </w:rPr>
      </w:pPr>
      <w:r>
        <w:rPr>
          <w:color w:val="000000"/>
          <w:sz w:val="22"/>
          <w:szCs w:val="22"/>
        </w:rPr>
        <w:t>A summary of stack test CO data</w:t>
      </w:r>
      <w:r w:rsidR="00767D29">
        <w:rPr>
          <w:color w:val="000000"/>
          <w:sz w:val="22"/>
          <w:szCs w:val="22"/>
        </w:rPr>
        <w:t xml:space="preserve"> </w:t>
      </w:r>
      <w:r w:rsidR="00C27F11">
        <w:rPr>
          <w:color w:val="000000"/>
          <w:sz w:val="22"/>
          <w:szCs w:val="22"/>
        </w:rPr>
        <w:t xml:space="preserve">in ppmvd </w:t>
      </w:r>
      <w:r w:rsidR="00CE3BB2">
        <w:rPr>
          <w:color w:val="000000"/>
          <w:sz w:val="22"/>
          <w:szCs w:val="22"/>
        </w:rPr>
        <w:t xml:space="preserve">while firing natural gas </w:t>
      </w:r>
      <w:r w:rsidR="00767D29">
        <w:rPr>
          <w:color w:val="000000"/>
          <w:sz w:val="22"/>
          <w:szCs w:val="22"/>
        </w:rPr>
        <w:t>from the three existing Shady H</w:t>
      </w:r>
      <w:r>
        <w:rPr>
          <w:color w:val="000000"/>
          <w:sz w:val="22"/>
          <w:szCs w:val="22"/>
        </w:rPr>
        <w:t xml:space="preserve">ills units </w:t>
      </w:r>
      <w:r w:rsidR="00C27F11">
        <w:rPr>
          <w:color w:val="000000"/>
          <w:sz w:val="22"/>
          <w:szCs w:val="22"/>
        </w:rPr>
        <w:t xml:space="preserve">along with their reported annual emissions in tons/year </w:t>
      </w:r>
      <w:r>
        <w:rPr>
          <w:color w:val="000000"/>
          <w:sz w:val="22"/>
          <w:szCs w:val="22"/>
        </w:rPr>
        <w:t xml:space="preserve">are given </w:t>
      </w:r>
      <w:r w:rsidRPr="00A368BD">
        <w:rPr>
          <w:color w:val="000000"/>
          <w:sz w:val="22"/>
          <w:szCs w:val="22"/>
        </w:rPr>
        <w:t>in</w:t>
      </w:r>
      <w:r w:rsidR="00A368BD" w:rsidRPr="00A368BD">
        <w:rPr>
          <w:color w:val="000000"/>
          <w:sz w:val="22"/>
          <w:szCs w:val="22"/>
        </w:rPr>
        <w:t xml:space="preserve"> </w:t>
      </w:r>
      <w:r w:rsidR="00A368BD" w:rsidRPr="00D6663C">
        <w:rPr>
          <w:b/>
          <w:color w:val="000000"/>
          <w:sz w:val="22"/>
          <w:szCs w:val="22"/>
        </w:rPr>
        <w:fldChar w:fldCharType="begin"/>
      </w:r>
      <w:r w:rsidR="00A368BD" w:rsidRPr="00D6663C">
        <w:rPr>
          <w:b/>
          <w:color w:val="000000"/>
          <w:sz w:val="22"/>
          <w:szCs w:val="22"/>
        </w:rPr>
        <w:instrText xml:space="preserve"> REF _Ref365550767 \h  \* MERGEFORMAT </w:instrText>
      </w:r>
      <w:r w:rsidR="00A368BD" w:rsidRPr="00D6663C">
        <w:rPr>
          <w:b/>
          <w:color w:val="000000"/>
          <w:sz w:val="22"/>
          <w:szCs w:val="22"/>
        </w:rPr>
      </w:r>
      <w:r w:rsidR="00A368BD" w:rsidRPr="00D6663C">
        <w:rPr>
          <w:b/>
          <w:color w:val="000000"/>
          <w:sz w:val="22"/>
          <w:szCs w:val="22"/>
        </w:rPr>
        <w:fldChar w:fldCharType="separate"/>
      </w:r>
      <w:r w:rsidR="007F3589" w:rsidRPr="007F3589">
        <w:rPr>
          <w:b/>
          <w:sz w:val="22"/>
          <w:szCs w:val="22"/>
        </w:rPr>
        <w:t xml:space="preserve">Table </w:t>
      </w:r>
      <w:r w:rsidR="007F3589" w:rsidRPr="007F3589">
        <w:rPr>
          <w:b/>
          <w:noProof/>
          <w:sz w:val="22"/>
          <w:szCs w:val="22"/>
        </w:rPr>
        <w:t>9</w:t>
      </w:r>
      <w:r w:rsidR="00A368BD" w:rsidRPr="00D6663C">
        <w:rPr>
          <w:b/>
          <w:color w:val="000000"/>
          <w:sz w:val="22"/>
          <w:szCs w:val="22"/>
        </w:rPr>
        <w:fldChar w:fldCharType="end"/>
      </w:r>
      <w:r>
        <w:rPr>
          <w:color w:val="000000"/>
          <w:sz w:val="22"/>
          <w:szCs w:val="22"/>
        </w:rPr>
        <w:t xml:space="preserve">.  </w:t>
      </w:r>
      <w:r w:rsidR="000F1581">
        <w:rPr>
          <w:color w:val="000000"/>
          <w:sz w:val="22"/>
          <w:szCs w:val="22"/>
        </w:rPr>
        <w:t xml:space="preserve">For the year 2013 values in parenthesis are for oil firing.  </w:t>
      </w:r>
      <w:r w:rsidR="00BF50A5">
        <w:rPr>
          <w:color w:val="000000"/>
          <w:sz w:val="22"/>
          <w:szCs w:val="22"/>
        </w:rPr>
        <w:t xml:space="preserve">The annual emissions are probably under reported because they are based on near full load (low emissions) stack tests and do not consider the higher emitting startup and low load modes.  </w:t>
      </w:r>
    </w:p>
    <w:p w:rsidR="00767D29" w:rsidRPr="0011369F" w:rsidRDefault="0011369F" w:rsidP="0011369F">
      <w:pPr>
        <w:pStyle w:val="Caption"/>
        <w:spacing w:before="0"/>
        <w:jc w:val="center"/>
        <w:rPr>
          <w:color w:val="000000"/>
          <w:szCs w:val="22"/>
        </w:rPr>
      </w:pPr>
      <w:bookmarkStart w:id="27" w:name="_Ref365550767"/>
      <w:r w:rsidRPr="0011369F">
        <w:t xml:space="preserve">Table </w:t>
      </w:r>
      <w:fldSimple w:instr=" SEQ Table \* ARABIC ">
        <w:r w:rsidR="007F3589">
          <w:rPr>
            <w:noProof/>
          </w:rPr>
          <w:t>9</w:t>
        </w:r>
      </w:fldSimple>
      <w:bookmarkEnd w:id="27"/>
      <w:r w:rsidRPr="0011369F">
        <w:t xml:space="preserve"> </w:t>
      </w:r>
      <w:r w:rsidR="00767D29" w:rsidRPr="0011369F">
        <w:rPr>
          <w:color w:val="000000"/>
          <w:szCs w:val="22"/>
        </w:rPr>
        <w:t xml:space="preserve">– </w:t>
      </w:r>
      <w:r w:rsidR="00767D29" w:rsidRPr="0011369F">
        <w:rPr>
          <w:bCs/>
          <w:color w:val="000000"/>
          <w:szCs w:val="22"/>
        </w:rPr>
        <w:t>CO Test Results (</w:t>
      </w:r>
      <w:r w:rsidR="00767D29" w:rsidRPr="00A368BD">
        <w:rPr>
          <w:rFonts w:ascii="Times New Roman Bold" w:hAnsi="Times New Roman Bold"/>
          <w:bCs/>
          <w:caps w:val="0"/>
          <w:color w:val="000000"/>
          <w:szCs w:val="22"/>
        </w:rPr>
        <w:t>ppmvd</w:t>
      </w:r>
      <w:r w:rsidR="00767D29" w:rsidRPr="0011369F">
        <w:rPr>
          <w:bCs/>
          <w:color w:val="000000"/>
          <w:szCs w:val="22"/>
        </w:rPr>
        <w:t xml:space="preserve">) </w:t>
      </w:r>
      <w:r w:rsidR="00C27F11" w:rsidRPr="0011369F">
        <w:rPr>
          <w:bCs/>
          <w:color w:val="000000"/>
          <w:szCs w:val="22"/>
        </w:rPr>
        <w:t>and Annual Emissions (</w:t>
      </w:r>
      <w:r w:rsidR="00A368BD">
        <w:rPr>
          <w:bCs/>
          <w:color w:val="000000"/>
          <w:szCs w:val="22"/>
        </w:rPr>
        <w:t>TPY</w:t>
      </w:r>
      <w:r w:rsidR="00C27F11" w:rsidRPr="0011369F">
        <w:rPr>
          <w:bCs/>
          <w:color w:val="000000"/>
          <w:szCs w:val="22"/>
        </w:rPr>
        <w:t xml:space="preserve">) </w:t>
      </w:r>
      <w:r w:rsidR="00767D29" w:rsidRPr="0011369F">
        <w:rPr>
          <w:bCs/>
          <w:color w:val="000000"/>
          <w:szCs w:val="22"/>
        </w:rPr>
        <w:t>- Shady Hills</w:t>
      </w:r>
      <w:r w:rsidR="00A368BD">
        <w:rPr>
          <w:bCs/>
          <w:color w:val="000000"/>
          <w:szCs w:val="22"/>
        </w:rPr>
        <w:t>.</w:t>
      </w:r>
    </w:p>
    <w:tbl>
      <w:tblPr>
        <w:tblW w:w="92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0"/>
        <w:gridCol w:w="2070"/>
        <w:gridCol w:w="2070"/>
        <w:gridCol w:w="2070"/>
        <w:gridCol w:w="1710"/>
      </w:tblGrid>
      <w:tr w:rsidR="00C27F11" w:rsidRPr="00D71E09" w:rsidTr="00A368BD">
        <w:trPr>
          <w:trHeight w:val="144"/>
        </w:trPr>
        <w:tc>
          <w:tcPr>
            <w:tcW w:w="1350" w:type="dxa"/>
            <w:shd w:val="clear" w:color="auto" w:fill="C6D9F1"/>
            <w:vAlign w:val="center"/>
          </w:tcPr>
          <w:p w:rsidR="00C27F11" w:rsidRPr="00A368BD" w:rsidRDefault="00C27F11" w:rsidP="00A368BD">
            <w:pPr>
              <w:spacing w:before="20" w:after="20"/>
              <w:ind w:left="162" w:hanging="162"/>
              <w:jc w:val="center"/>
              <w:rPr>
                <w:b/>
                <w:bCs/>
              </w:rPr>
            </w:pPr>
            <w:r w:rsidRPr="00A368BD">
              <w:rPr>
                <w:b/>
                <w:bCs/>
              </w:rPr>
              <w:t>Year</w:t>
            </w:r>
          </w:p>
        </w:tc>
        <w:tc>
          <w:tcPr>
            <w:tcW w:w="2070" w:type="dxa"/>
            <w:shd w:val="clear" w:color="auto" w:fill="C6D9F1"/>
          </w:tcPr>
          <w:p w:rsidR="00C27F11" w:rsidRPr="00A368BD" w:rsidRDefault="00C27F11" w:rsidP="00A368BD">
            <w:pPr>
              <w:spacing w:before="20" w:after="20"/>
              <w:jc w:val="center"/>
              <w:rPr>
                <w:b/>
                <w:bCs/>
              </w:rPr>
            </w:pPr>
            <w:r w:rsidRPr="00A368BD">
              <w:rPr>
                <w:b/>
                <w:bCs/>
              </w:rPr>
              <w:t>Unit 1</w:t>
            </w:r>
            <w:r w:rsidRPr="00A368BD">
              <w:rPr>
                <w:b/>
                <w:bCs/>
              </w:rPr>
              <w:br/>
              <w:t>(ppmvd</w:t>
            </w:r>
            <w:r w:rsidR="009A1B18" w:rsidRPr="00A368BD">
              <w:rPr>
                <w:b/>
                <w:bCs/>
              </w:rPr>
              <w:t>)</w:t>
            </w:r>
          </w:p>
        </w:tc>
        <w:tc>
          <w:tcPr>
            <w:tcW w:w="2070" w:type="dxa"/>
            <w:shd w:val="clear" w:color="auto" w:fill="C6D9F1"/>
          </w:tcPr>
          <w:p w:rsidR="00C27F11" w:rsidRPr="00A368BD" w:rsidRDefault="00C27F11" w:rsidP="00A368BD">
            <w:pPr>
              <w:spacing w:before="20" w:after="20"/>
              <w:jc w:val="center"/>
              <w:rPr>
                <w:b/>
                <w:bCs/>
              </w:rPr>
            </w:pPr>
            <w:r w:rsidRPr="00A368BD">
              <w:rPr>
                <w:b/>
                <w:bCs/>
              </w:rPr>
              <w:t>Unit 2</w:t>
            </w:r>
            <w:r w:rsidRPr="00A368BD">
              <w:rPr>
                <w:b/>
                <w:bCs/>
              </w:rPr>
              <w:br/>
              <w:t>(ppmvd)</w:t>
            </w:r>
          </w:p>
        </w:tc>
        <w:tc>
          <w:tcPr>
            <w:tcW w:w="2070" w:type="dxa"/>
            <w:shd w:val="clear" w:color="auto" w:fill="C6D9F1"/>
          </w:tcPr>
          <w:p w:rsidR="00C27F11" w:rsidRPr="00A368BD" w:rsidRDefault="00C27F11" w:rsidP="00A368BD">
            <w:pPr>
              <w:spacing w:before="20" w:after="20"/>
              <w:jc w:val="center"/>
              <w:rPr>
                <w:b/>
                <w:bCs/>
              </w:rPr>
            </w:pPr>
            <w:r w:rsidRPr="00A368BD">
              <w:rPr>
                <w:b/>
                <w:bCs/>
              </w:rPr>
              <w:t>Unit 3</w:t>
            </w:r>
            <w:r w:rsidRPr="00A368BD">
              <w:rPr>
                <w:b/>
                <w:bCs/>
              </w:rPr>
              <w:br/>
              <w:t>(ppmvd)</w:t>
            </w:r>
          </w:p>
        </w:tc>
        <w:tc>
          <w:tcPr>
            <w:tcW w:w="1710" w:type="dxa"/>
            <w:shd w:val="clear" w:color="auto" w:fill="C6D9F1"/>
          </w:tcPr>
          <w:p w:rsidR="00C27F11" w:rsidRPr="00A368BD" w:rsidRDefault="00C27F11" w:rsidP="00A368BD">
            <w:pPr>
              <w:spacing w:before="20" w:after="20"/>
              <w:jc w:val="center"/>
              <w:rPr>
                <w:b/>
                <w:bCs/>
              </w:rPr>
            </w:pPr>
            <w:r w:rsidRPr="00A368BD">
              <w:rPr>
                <w:b/>
                <w:bCs/>
              </w:rPr>
              <w:t>Facility</w:t>
            </w:r>
            <w:r w:rsidRPr="00A368BD">
              <w:rPr>
                <w:b/>
                <w:bCs/>
              </w:rPr>
              <w:br/>
              <w:t>(tons/year)</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2003</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0.29</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0.23</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w:t>
            </w:r>
          </w:p>
        </w:tc>
        <w:tc>
          <w:tcPr>
            <w:tcW w:w="1710" w:type="dxa"/>
          </w:tcPr>
          <w:p w:rsidR="00C27F11" w:rsidRPr="00A368BD" w:rsidRDefault="0037469A" w:rsidP="00A368BD">
            <w:pPr>
              <w:pStyle w:val="Default"/>
              <w:spacing w:before="20" w:after="20"/>
              <w:jc w:val="center"/>
              <w:rPr>
                <w:sz w:val="20"/>
                <w:szCs w:val="20"/>
              </w:rPr>
            </w:pPr>
            <w:r w:rsidRPr="00A368BD">
              <w:rPr>
                <w:sz w:val="20"/>
                <w:szCs w:val="20"/>
              </w:rPr>
              <w:t>3.3</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2004</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0.14</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0.3</w:t>
            </w:r>
          </w:p>
        </w:tc>
        <w:tc>
          <w:tcPr>
            <w:tcW w:w="1710" w:type="dxa"/>
          </w:tcPr>
          <w:p w:rsidR="00C27F11" w:rsidRPr="00A368BD" w:rsidRDefault="0037469A" w:rsidP="00A368BD">
            <w:pPr>
              <w:pStyle w:val="Default"/>
              <w:spacing w:before="20" w:after="20"/>
              <w:jc w:val="center"/>
              <w:rPr>
                <w:sz w:val="20"/>
                <w:szCs w:val="20"/>
              </w:rPr>
            </w:pPr>
            <w:r w:rsidRPr="00A368BD">
              <w:rPr>
                <w:sz w:val="20"/>
                <w:szCs w:val="20"/>
              </w:rPr>
              <w:t>1.1</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2005</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0.17</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No Data</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0.07</w:t>
            </w:r>
          </w:p>
        </w:tc>
        <w:tc>
          <w:tcPr>
            <w:tcW w:w="1710" w:type="dxa"/>
          </w:tcPr>
          <w:p w:rsidR="00C27F11" w:rsidRPr="00A368BD" w:rsidRDefault="00C27F11" w:rsidP="00A368BD">
            <w:pPr>
              <w:pStyle w:val="Default"/>
              <w:spacing w:before="20" w:after="20"/>
              <w:jc w:val="center"/>
              <w:rPr>
                <w:sz w:val="20"/>
                <w:szCs w:val="20"/>
              </w:rPr>
            </w:pPr>
            <w:r w:rsidRPr="00A368BD">
              <w:rPr>
                <w:sz w:val="20"/>
                <w:szCs w:val="20"/>
              </w:rPr>
              <w:t>1.2</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2006</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0.25</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0.21</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0.36</w:t>
            </w:r>
          </w:p>
        </w:tc>
        <w:tc>
          <w:tcPr>
            <w:tcW w:w="1710" w:type="dxa"/>
          </w:tcPr>
          <w:p w:rsidR="00C27F11" w:rsidRPr="00A368BD" w:rsidRDefault="00C27F11" w:rsidP="00A368BD">
            <w:pPr>
              <w:pStyle w:val="Default"/>
              <w:spacing w:before="20" w:after="20"/>
              <w:jc w:val="center"/>
              <w:rPr>
                <w:sz w:val="20"/>
                <w:szCs w:val="20"/>
              </w:rPr>
            </w:pPr>
            <w:r w:rsidRPr="00A368BD">
              <w:rPr>
                <w:sz w:val="20"/>
                <w:szCs w:val="20"/>
              </w:rPr>
              <w:t>0.9</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2007</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0.26</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0.31</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0.17</w:t>
            </w:r>
          </w:p>
        </w:tc>
        <w:tc>
          <w:tcPr>
            <w:tcW w:w="1710" w:type="dxa"/>
          </w:tcPr>
          <w:p w:rsidR="00C27F11" w:rsidRPr="00A368BD" w:rsidRDefault="00C27F11" w:rsidP="00A368BD">
            <w:pPr>
              <w:pStyle w:val="Default"/>
              <w:spacing w:before="20" w:after="20"/>
              <w:jc w:val="center"/>
              <w:rPr>
                <w:sz w:val="20"/>
                <w:szCs w:val="20"/>
              </w:rPr>
            </w:pPr>
            <w:r w:rsidRPr="00A368BD">
              <w:rPr>
                <w:sz w:val="20"/>
                <w:szCs w:val="20"/>
              </w:rPr>
              <w:t>2.8</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2008</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0.42</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0.67</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0.32</w:t>
            </w:r>
          </w:p>
        </w:tc>
        <w:tc>
          <w:tcPr>
            <w:tcW w:w="1710" w:type="dxa"/>
          </w:tcPr>
          <w:p w:rsidR="00C27F11" w:rsidRPr="00A368BD" w:rsidRDefault="00C27F11" w:rsidP="00A368BD">
            <w:pPr>
              <w:pStyle w:val="Default"/>
              <w:spacing w:before="20" w:after="20"/>
              <w:jc w:val="center"/>
              <w:rPr>
                <w:sz w:val="20"/>
                <w:szCs w:val="20"/>
              </w:rPr>
            </w:pPr>
            <w:r w:rsidRPr="00A368BD">
              <w:rPr>
                <w:sz w:val="20"/>
                <w:szCs w:val="20"/>
              </w:rPr>
              <w:t>6.1</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2009</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0.44</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0.36</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0.44</w:t>
            </w:r>
          </w:p>
        </w:tc>
        <w:tc>
          <w:tcPr>
            <w:tcW w:w="1710" w:type="dxa"/>
          </w:tcPr>
          <w:p w:rsidR="00C27F11" w:rsidRPr="00A368BD" w:rsidRDefault="00C27F11" w:rsidP="00A368BD">
            <w:pPr>
              <w:pStyle w:val="Default"/>
              <w:spacing w:before="20" w:after="20"/>
              <w:jc w:val="center"/>
              <w:rPr>
                <w:sz w:val="20"/>
                <w:szCs w:val="20"/>
              </w:rPr>
            </w:pPr>
            <w:r w:rsidRPr="00A368BD">
              <w:rPr>
                <w:sz w:val="20"/>
                <w:szCs w:val="20"/>
              </w:rPr>
              <w:t>4.4</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2010</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0.24</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0.35</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0.66</w:t>
            </w:r>
          </w:p>
        </w:tc>
        <w:tc>
          <w:tcPr>
            <w:tcW w:w="1710" w:type="dxa"/>
          </w:tcPr>
          <w:p w:rsidR="00C27F11" w:rsidRPr="00A368BD" w:rsidRDefault="00C27F11" w:rsidP="00A368BD">
            <w:pPr>
              <w:pStyle w:val="Default"/>
              <w:spacing w:before="20" w:after="20"/>
              <w:jc w:val="center"/>
              <w:rPr>
                <w:sz w:val="20"/>
                <w:szCs w:val="20"/>
              </w:rPr>
            </w:pPr>
            <w:r w:rsidRPr="00A368BD">
              <w:rPr>
                <w:sz w:val="20"/>
                <w:szCs w:val="20"/>
              </w:rPr>
              <w:t>4.4</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2011</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0.1</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0.45</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0.12</w:t>
            </w:r>
          </w:p>
        </w:tc>
        <w:tc>
          <w:tcPr>
            <w:tcW w:w="1710" w:type="dxa"/>
          </w:tcPr>
          <w:p w:rsidR="00C27F11" w:rsidRPr="00A368BD" w:rsidRDefault="000F1581" w:rsidP="000F1581">
            <w:pPr>
              <w:pStyle w:val="Default"/>
              <w:spacing w:before="20" w:after="20"/>
              <w:jc w:val="center"/>
              <w:rPr>
                <w:sz w:val="20"/>
                <w:szCs w:val="20"/>
              </w:rPr>
            </w:pPr>
            <w:r>
              <w:rPr>
                <w:sz w:val="20"/>
                <w:szCs w:val="20"/>
              </w:rPr>
              <w:t>not reported</w:t>
            </w:r>
          </w:p>
        </w:tc>
      </w:tr>
      <w:tr w:rsidR="004E4E53" w:rsidRPr="00D71E09" w:rsidTr="00A368BD">
        <w:trPr>
          <w:trHeight w:val="144"/>
        </w:trPr>
        <w:tc>
          <w:tcPr>
            <w:tcW w:w="1350" w:type="dxa"/>
          </w:tcPr>
          <w:p w:rsidR="004E4E53" w:rsidRPr="00A368BD" w:rsidRDefault="004E4E53" w:rsidP="00A368BD">
            <w:pPr>
              <w:pStyle w:val="Default"/>
              <w:spacing w:before="20" w:after="20"/>
              <w:jc w:val="center"/>
              <w:rPr>
                <w:sz w:val="20"/>
                <w:szCs w:val="20"/>
              </w:rPr>
            </w:pPr>
            <w:r>
              <w:rPr>
                <w:sz w:val="20"/>
                <w:szCs w:val="20"/>
              </w:rPr>
              <w:t>2012</w:t>
            </w:r>
          </w:p>
        </w:tc>
        <w:tc>
          <w:tcPr>
            <w:tcW w:w="2070" w:type="dxa"/>
          </w:tcPr>
          <w:p w:rsidR="004E4E53" w:rsidRPr="00A368BD" w:rsidRDefault="001109D4" w:rsidP="00A368BD">
            <w:pPr>
              <w:pStyle w:val="Default"/>
              <w:spacing w:before="20" w:after="20"/>
              <w:jc w:val="center"/>
              <w:rPr>
                <w:sz w:val="20"/>
                <w:szCs w:val="20"/>
              </w:rPr>
            </w:pPr>
            <w:r>
              <w:rPr>
                <w:sz w:val="20"/>
                <w:szCs w:val="20"/>
              </w:rPr>
              <w:t>0.09</w:t>
            </w:r>
          </w:p>
        </w:tc>
        <w:tc>
          <w:tcPr>
            <w:tcW w:w="2070" w:type="dxa"/>
          </w:tcPr>
          <w:p w:rsidR="004E4E53" w:rsidRPr="00A368BD" w:rsidRDefault="001109D4" w:rsidP="00A368BD">
            <w:pPr>
              <w:pStyle w:val="Default"/>
              <w:spacing w:before="20" w:after="20"/>
              <w:jc w:val="center"/>
              <w:rPr>
                <w:sz w:val="20"/>
                <w:szCs w:val="20"/>
              </w:rPr>
            </w:pPr>
            <w:r>
              <w:rPr>
                <w:sz w:val="20"/>
                <w:szCs w:val="20"/>
              </w:rPr>
              <w:t xml:space="preserve">0.15 </w:t>
            </w:r>
          </w:p>
        </w:tc>
        <w:tc>
          <w:tcPr>
            <w:tcW w:w="2070" w:type="dxa"/>
          </w:tcPr>
          <w:p w:rsidR="004E4E53" w:rsidRPr="00A368BD" w:rsidRDefault="004E4E53" w:rsidP="00A368BD">
            <w:pPr>
              <w:pStyle w:val="Default"/>
              <w:spacing w:before="20" w:after="20"/>
              <w:jc w:val="center"/>
              <w:rPr>
                <w:sz w:val="20"/>
                <w:szCs w:val="20"/>
              </w:rPr>
            </w:pPr>
            <w:r>
              <w:rPr>
                <w:sz w:val="20"/>
                <w:szCs w:val="20"/>
              </w:rPr>
              <w:t>0.3</w:t>
            </w:r>
          </w:p>
        </w:tc>
        <w:tc>
          <w:tcPr>
            <w:tcW w:w="1710" w:type="dxa"/>
          </w:tcPr>
          <w:p w:rsidR="004E4E53" w:rsidRPr="00A368BD" w:rsidRDefault="001109D4" w:rsidP="00A368BD">
            <w:pPr>
              <w:pStyle w:val="Default"/>
              <w:spacing w:before="20" w:after="20"/>
              <w:jc w:val="center"/>
              <w:rPr>
                <w:sz w:val="20"/>
                <w:szCs w:val="20"/>
              </w:rPr>
            </w:pPr>
            <w:r>
              <w:rPr>
                <w:sz w:val="20"/>
                <w:szCs w:val="20"/>
              </w:rPr>
              <w:t>2.95</w:t>
            </w:r>
          </w:p>
        </w:tc>
      </w:tr>
      <w:tr w:rsidR="004E4E53" w:rsidRPr="00D71E09" w:rsidTr="00A368BD">
        <w:trPr>
          <w:trHeight w:val="144"/>
        </w:trPr>
        <w:tc>
          <w:tcPr>
            <w:tcW w:w="1350" w:type="dxa"/>
          </w:tcPr>
          <w:p w:rsidR="004E4E53" w:rsidRPr="00A368BD" w:rsidRDefault="004E4E53" w:rsidP="00A368BD">
            <w:pPr>
              <w:pStyle w:val="Default"/>
              <w:spacing w:before="20" w:after="20"/>
              <w:jc w:val="center"/>
              <w:rPr>
                <w:sz w:val="20"/>
                <w:szCs w:val="20"/>
              </w:rPr>
            </w:pPr>
            <w:r>
              <w:rPr>
                <w:sz w:val="20"/>
                <w:szCs w:val="20"/>
              </w:rPr>
              <w:t>2013</w:t>
            </w:r>
          </w:p>
        </w:tc>
        <w:tc>
          <w:tcPr>
            <w:tcW w:w="2070" w:type="dxa"/>
          </w:tcPr>
          <w:p w:rsidR="004E4E53" w:rsidRPr="00A368BD" w:rsidRDefault="001109D4" w:rsidP="00A368BD">
            <w:pPr>
              <w:pStyle w:val="Default"/>
              <w:spacing w:before="20" w:after="20"/>
              <w:jc w:val="center"/>
              <w:rPr>
                <w:sz w:val="20"/>
                <w:szCs w:val="20"/>
              </w:rPr>
            </w:pPr>
            <w:r>
              <w:rPr>
                <w:sz w:val="20"/>
                <w:szCs w:val="20"/>
              </w:rPr>
              <w:t>0.41 (1.18)</w:t>
            </w:r>
          </w:p>
        </w:tc>
        <w:tc>
          <w:tcPr>
            <w:tcW w:w="2070" w:type="dxa"/>
          </w:tcPr>
          <w:p w:rsidR="004E4E53" w:rsidRPr="00A368BD" w:rsidRDefault="001109D4" w:rsidP="00A368BD">
            <w:pPr>
              <w:pStyle w:val="Default"/>
              <w:spacing w:before="20" w:after="20"/>
              <w:jc w:val="center"/>
              <w:rPr>
                <w:sz w:val="20"/>
                <w:szCs w:val="20"/>
              </w:rPr>
            </w:pPr>
            <w:r>
              <w:rPr>
                <w:sz w:val="20"/>
                <w:szCs w:val="20"/>
              </w:rPr>
              <w:t>0.44 (</w:t>
            </w:r>
            <w:r w:rsidR="004E4E53">
              <w:rPr>
                <w:sz w:val="20"/>
                <w:szCs w:val="20"/>
              </w:rPr>
              <w:t>1.13</w:t>
            </w:r>
            <w:r>
              <w:rPr>
                <w:sz w:val="20"/>
                <w:szCs w:val="20"/>
              </w:rPr>
              <w:t>)</w:t>
            </w:r>
          </w:p>
        </w:tc>
        <w:tc>
          <w:tcPr>
            <w:tcW w:w="2070" w:type="dxa"/>
          </w:tcPr>
          <w:p w:rsidR="004E4E53" w:rsidRPr="00A368BD" w:rsidRDefault="001109D4" w:rsidP="00A368BD">
            <w:pPr>
              <w:pStyle w:val="Default"/>
              <w:spacing w:before="20" w:after="20"/>
              <w:jc w:val="center"/>
              <w:rPr>
                <w:sz w:val="20"/>
                <w:szCs w:val="20"/>
              </w:rPr>
            </w:pPr>
            <w:r>
              <w:rPr>
                <w:sz w:val="20"/>
                <w:szCs w:val="20"/>
              </w:rPr>
              <w:t>0.40 (</w:t>
            </w:r>
            <w:r w:rsidR="004E4E53">
              <w:rPr>
                <w:sz w:val="20"/>
                <w:szCs w:val="20"/>
              </w:rPr>
              <w:t>1.2</w:t>
            </w:r>
            <w:r>
              <w:rPr>
                <w:sz w:val="20"/>
                <w:szCs w:val="20"/>
              </w:rPr>
              <w:t>)</w:t>
            </w:r>
          </w:p>
        </w:tc>
        <w:tc>
          <w:tcPr>
            <w:tcW w:w="1710" w:type="dxa"/>
          </w:tcPr>
          <w:p w:rsidR="004E4E53" w:rsidRPr="00A368BD" w:rsidRDefault="000F1581" w:rsidP="00A368BD">
            <w:pPr>
              <w:pStyle w:val="Default"/>
              <w:spacing w:before="20" w:after="20"/>
              <w:jc w:val="center"/>
              <w:rPr>
                <w:sz w:val="20"/>
                <w:szCs w:val="20"/>
              </w:rPr>
            </w:pPr>
            <w:r>
              <w:rPr>
                <w:sz w:val="20"/>
                <w:szCs w:val="20"/>
              </w:rPr>
              <w:t>not yet reported</w:t>
            </w:r>
          </w:p>
        </w:tc>
      </w:tr>
      <w:tr w:rsidR="00C27F11" w:rsidRPr="00D71E09" w:rsidTr="00A368BD">
        <w:trPr>
          <w:trHeight w:val="144"/>
        </w:trPr>
        <w:tc>
          <w:tcPr>
            <w:tcW w:w="1350" w:type="dxa"/>
          </w:tcPr>
          <w:p w:rsidR="00C27F11" w:rsidRPr="00A368BD" w:rsidRDefault="00C27F11" w:rsidP="00A368BD">
            <w:pPr>
              <w:pStyle w:val="Default"/>
              <w:spacing w:before="20" w:after="20"/>
              <w:jc w:val="center"/>
              <w:rPr>
                <w:sz w:val="20"/>
                <w:szCs w:val="20"/>
              </w:rPr>
            </w:pPr>
            <w:r w:rsidRPr="00A368BD">
              <w:rPr>
                <w:sz w:val="20"/>
                <w:szCs w:val="20"/>
              </w:rPr>
              <w:t>Average</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0.26</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0.35</w:t>
            </w:r>
          </w:p>
        </w:tc>
        <w:tc>
          <w:tcPr>
            <w:tcW w:w="2070" w:type="dxa"/>
          </w:tcPr>
          <w:p w:rsidR="00C27F11" w:rsidRPr="00A368BD" w:rsidRDefault="00C27F11" w:rsidP="00A368BD">
            <w:pPr>
              <w:pStyle w:val="Default"/>
              <w:spacing w:before="20" w:after="20"/>
              <w:jc w:val="center"/>
              <w:rPr>
                <w:sz w:val="20"/>
                <w:szCs w:val="20"/>
              </w:rPr>
            </w:pPr>
            <w:r w:rsidRPr="00A368BD">
              <w:rPr>
                <w:sz w:val="20"/>
                <w:szCs w:val="20"/>
              </w:rPr>
              <w:t>0.29</w:t>
            </w:r>
          </w:p>
        </w:tc>
        <w:tc>
          <w:tcPr>
            <w:tcW w:w="1710" w:type="dxa"/>
          </w:tcPr>
          <w:p w:rsidR="00C27F11" w:rsidRPr="00A368BD" w:rsidRDefault="0037469A" w:rsidP="00A368BD">
            <w:pPr>
              <w:pStyle w:val="Default"/>
              <w:spacing w:before="20" w:after="20"/>
              <w:jc w:val="center"/>
              <w:rPr>
                <w:sz w:val="20"/>
                <w:szCs w:val="20"/>
              </w:rPr>
            </w:pPr>
            <w:r w:rsidRPr="00A368BD">
              <w:rPr>
                <w:sz w:val="20"/>
                <w:szCs w:val="20"/>
              </w:rPr>
              <w:t>4.0</w:t>
            </w:r>
          </w:p>
        </w:tc>
      </w:tr>
    </w:tbl>
    <w:p w:rsidR="00A368BD" w:rsidRDefault="00AF135C" w:rsidP="00AF135C">
      <w:pPr>
        <w:spacing w:before="120" w:after="120"/>
        <w:rPr>
          <w:sz w:val="22"/>
          <w:szCs w:val="22"/>
        </w:rPr>
      </w:pPr>
      <w:r w:rsidRPr="00AF135C">
        <w:rPr>
          <w:color w:val="000000"/>
          <w:sz w:val="22"/>
          <w:szCs w:val="22"/>
        </w:rPr>
        <w:t>A summary of stack test data from facilities that fire ULSD fuel oil on a limited basis is shown in</w:t>
      </w:r>
      <w:r w:rsidR="00A368BD">
        <w:rPr>
          <w:color w:val="000000"/>
          <w:sz w:val="22"/>
          <w:szCs w:val="22"/>
        </w:rPr>
        <w:t xml:space="preserve"> </w:t>
      </w:r>
      <w:r w:rsidR="00A368BD" w:rsidRPr="009650F1">
        <w:rPr>
          <w:b/>
          <w:color w:val="000000"/>
          <w:sz w:val="22"/>
          <w:szCs w:val="22"/>
        </w:rPr>
        <w:fldChar w:fldCharType="begin"/>
      </w:r>
      <w:r w:rsidR="00A368BD" w:rsidRPr="009650F1">
        <w:rPr>
          <w:b/>
          <w:color w:val="000000"/>
          <w:sz w:val="22"/>
          <w:szCs w:val="22"/>
        </w:rPr>
        <w:instrText xml:space="preserve"> REF _Ref365551082 \h  \* MERGEFORMAT </w:instrText>
      </w:r>
      <w:r w:rsidR="00A368BD" w:rsidRPr="009650F1">
        <w:rPr>
          <w:b/>
          <w:color w:val="000000"/>
          <w:sz w:val="22"/>
          <w:szCs w:val="22"/>
        </w:rPr>
      </w:r>
      <w:r w:rsidR="00A368BD" w:rsidRPr="009650F1">
        <w:rPr>
          <w:b/>
          <w:color w:val="000000"/>
          <w:sz w:val="22"/>
          <w:szCs w:val="22"/>
        </w:rPr>
        <w:fldChar w:fldCharType="separate"/>
      </w:r>
      <w:r w:rsidR="007F3589" w:rsidRPr="007F3589">
        <w:rPr>
          <w:b/>
          <w:sz w:val="22"/>
          <w:szCs w:val="22"/>
        </w:rPr>
        <w:t xml:space="preserve">Table </w:t>
      </w:r>
      <w:r w:rsidR="007F3589" w:rsidRPr="007F3589">
        <w:rPr>
          <w:b/>
          <w:noProof/>
          <w:sz w:val="22"/>
          <w:szCs w:val="22"/>
        </w:rPr>
        <w:t>10</w:t>
      </w:r>
      <w:r w:rsidR="00A368BD" w:rsidRPr="009650F1">
        <w:rPr>
          <w:b/>
          <w:color w:val="000000"/>
          <w:sz w:val="22"/>
          <w:szCs w:val="22"/>
        </w:rPr>
        <w:fldChar w:fldCharType="end"/>
      </w:r>
      <w:r w:rsidRPr="00AF135C">
        <w:rPr>
          <w:color w:val="000000"/>
          <w:sz w:val="22"/>
          <w:szCs w:val="22"/>
        </w:rPr>
        <w:t>.</w:t>
      </w:r>
      <w:r w:rsidRPr="00AF135C">
        <w:rPr>
          <w:sz w:val="22"/>
          <w:szCs w:val="22"/>
        </w:rPr>
        <w:t xml:space="preserve">  The results suggest that emissions when firing fuel oil are minimal and slightly greater than when firing natural gas.</w:t>
      </w:r>
    </w:p>
    <w:p w:rsidR="009650F1" w:rsidRDefault="00A368BD" w:rsidP="00A368BD">
      <w:pPr>
        <w:pStyle w:val="ListParagraph"/>
        <w:spacing w:after="120"/>
        <w:ind w:left="0"/>
        <w:contextualSpacing w:val="0"/>
        <w:rPr>
          <w:sz w:val="22"/>
          <w:szCs w:val="22"/>
        </w:rPr>
      </w:pPr>
      <w:r w:rsidRPr="00D6663C">
        <w:rPr>
          <w:b/>
          <w:sz w:val="22"/>
          <w:szCs w:val="22"/>
        </w:rPr>
        <w:fldChar w:fldCharType="begin"/>
      </w:r>
      <w:r w:rsidRPr="00D6663C">
        <w:rPr>
          <w:b/>
          <w:sz w:val="22"/>
          <w:szCs w:val="22"/>
        </w:rPr>
        <w:instrText xml:space="preserve"> REF _Ref365551116 \h  \* MERGEFORMAT </w:instrText>
      </w:r>
      <w:r w:rsidRPr="00D6663C">
        <w:rPr>
          <w:b/>
          <w:sz w:val="22"/>
          <w:szCs w:val="22"/>
        </w:rPr>
      </w:r>
      <w:r w:rsidRPr="00D6663C">
        <w:rPr>
          <w:b/>
          <w:sz w:val="22"/>
          <w:szCs w:val="22"/>
        </w:rPr>
        <w:fldChar w:fldCharType="separate"/>
      </w:r>
      <w:r w:rsidR="007F3589" w:rsidRPr="007F3589">
        <w:rPr>
          <w:b/>
          <w:sz w:val="22"/>
          <w:szCs w:val="22"/>
        </w:rPr>
        <w:t xml:space="preserve">Table </w:t>
      </w:r>
      <w:r w:rsidR="007F3589" w:rsidRPr="007F3589">
        <w:rPr>
          <w:b/>
          <w:noProof/>
          <w:sz w:val="22"/>
          <w:szCs w:val="22"/>
        </w:rPr>
        <w:t>11</w:t>
      </w:r>
      <w:r w:rsidRPr="00D6663C">
        <w:rPr>
          <w:b/>
          <w:sz w:val="22"/>
          <w:szCs w:val="22"/>
        </w:rPr>
        <w:fldChar w:fldCharType="end"/>
      </w:r>
      <w:r w:rsidRPr="00A368BD">
        <w:rPr>
          <w:sz w:val="22"/>
          <w:szCs w:val="22"/>
        </w:rPr>
        <w:t xml:space="preserve"> </w:t>
      </w:r>
      <w:r w:rsidRPr="0011369F">
        <w:rPr>
          <w:sz w:val="22"/>
          <w:szCs w:val="22"/>
        </w:rPr>
        <w:t>is a summary of annual CO (full load) stack test results for simple cycle Units 2A - 2D for the years 2000 through 2012.  CO emissions are an order of magnitude less than the CO emission limits for all units.  Units 2 C and 2 D are equipped with CEMS and annual tests are not required.  However, the CO-CEMS record supports the conclusion that CO emissions are very low.  Some of the results for tests conducted during the annual Relative Accuracy and Test Audits (RATA) of the CEMS are included in the table.  Clearly emissions are equally low from a GE 7FA.03 CTG whether natural gas or fuel oil is used.</w:t>
      </w:r>
    </w:p>
    <w:p w:rsidR="00D57505" w:rsidRPr="00365FA3" w:rsidRDefault="00A368BD" w:rsidP="009650F1">
      <w:pPr>
        <w:pStyle w:val="ListParagraph"/>
        <w:spacing w:after="120"/>
        <w:ind w:left="0"/>
        <w:contextualSpacing w:val="0"/>
        <w:jc w:val="center"/>
        <w:rPr>
          <w:rFonts w:ascii="Times New Roman Bold" w:hAnsi="Times New Roman Bold"/>
          <w:b/>
          <w:caps/>
          <w:color w:val="000000"/>
          <w:sz w:val="22"/>
          <w:szCs w:val="22"/>
        </w:rPr>
      </w:pPr>
      <w:bookmarkStart w:id="28" w:name="_Ref365551082"/>
      <w:r w:rsidRPr="00365FA3">
        <w:rPr>
          <w:rFonts w:ascii="Times New Roman Bold" w:hAnsi="Times New Roman Bold"/>
          <w:b/>
          <w:caps/>
          <w:sz w:val="22"/>
          <w:szCs w:val="22"/>
        </w:rPr>
        <w:t xml:space="preserve">Table </w:t>
      </w:r>
      <w:r w:rsidRPr="00365FA3">
        <w:rPr>
          <w:rFonts w:ascii="Times New Roman Bold" w:hAnsi="Times New Roman Bold"/>
          <w:b/>
          <w:caps/>
          <w:sz w:val="22"/>
          <w:szCs w:val="22"/>
        </w:rPr>
        <w:fldChar w:fldCharType="begin"/>
      </w:r>
      <w:r w:rsidRPr="00365FA3">
        <w:rPr>
          <w:rFonts w:ascii="Times New Roman Bold" w:hAnsi="Times New Roman Bold"/>
          <w:b/>
          <w:caps/>
          <w:sz w:val="22"/>
          <w:szCs w:val="22"/>
        </w:rPr>
        <w:instrText xml:space="preserve"> SEQ Table \* ARABIC </w:instrText>
      </w:r>
      <w:r w:rsidRPr="00365FA3">
        <w:rPr>
          <w:rFonts w:ascii="Times New Roman Bold" w:hAnsi="Times New Roman Bold"/>
          <w:b/>
          <w:caps/>
          <w:sz w:val="22"/>
          <w:szCs w:val="22"/>
        </w:rPr>
        <w:fldChar w:fldCharType="separate"/>
      </w:r>
      <w:r w:rsidR="007F3589">
        <w:rPr>
          <w:rFonts w:ascii="Times New Roman Bold" w:hAnsi="Times New Roman Bold"/>
          <w:b/>
          <w:caps/>
          <w:noProof/>
          <w:sz w:val="22"/>
          <w:szCs w:val="22"/>
        </w:rPr>
        <w:t>10</w:t>
      </w:r>
      <w:r w:rsidRPr="00365FA3">
        <w:rPr>
          <w:rFonts w:ascii="Times New Roman Bold" w:hAnsi="Times New Roman Bold"/>
          <w:b/>
          <w:caps/>
          <w:sz w:val="22"/>
          <w:szCs w:val="22"/>
        </w:rPr>
        <w:fldChar w:fldCharType="end"/>
      </w:r>
      <w:bookmarkEnd w:id="28"/>
      <w:r w:rsidR="00D57505" w:rsidRPr="00365FA3">
        <w:rPr>
          <w:rFonts w:ascii="Times New Roman Bold" w:hAnsi="Times New Roman Bold"/>
          <w:b/>
          <w:caps/>
          <w:color w:val="000000"/>
          <w:sz w:val="22"/>
          <w:szCs w:val="22"/>
        </w:rPr>
        <w:t xml:space="preserve">- </w:t>
      </w:r>
      <w:r w:rsidR="00D57505" w:rsidRPr="00365FA3">
        <w:rPr>
          <w:rFonts w:ascii="Times New Roman Bold" w:hAnsi="Times New Roman Bold"/>
          <w:b/>
          <w:bCs/>
          <w:caps/>
          <w:color w:val="000000"/>
          <w:sz w:val="22"/>
          <w:szCs w:val="22"/>
        </w:rPr>
        <w:t>CO, Stack Test Results from GE 7FA.03 Simple Cycle Gas Turbines when firing Fuel Oil</w:t>
      </w:r>
      <w:r w:rsidRPr="00365FA3">
        <w:rPr>
          <w:rFonts w:ascii="Times New Roman Bold" w:hAnsi="Times New Roman Bold"/>
          <w:b/>
          <w:bCs/>
          <w:caps/>
          <w:color w:val="000000"/>
          <w:sz w:val="22"/>
          <w:szCs w:val="22"/>
        </w:rPr>
        <w:t>.</w:t>
      </w:r>
    </w:p>
    <w:tbl>
      <w:tblPr>
        <w:tblW w:w="92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90"/>
        <w:gridCol w:w="4657"/>
      </w:tblGrid>
      <w:tr w:rsidR="00D57505" w:rsidRPr="00D71E09" w:rsidTr="002E7738">
        <w:trPr>
          <w:trHeight w:val="147"/>
        </w:trPr>
        <w:tc>
          <w:tcPr>
            <w:tcW w:w="4590" w:type="dxa"/>
            <w:shd w:val="clear" w:color="auto" w:fill="C6D9F1"/>
          </w:tcPr>
          <w:p w:rsidR="00D57505" w:rsidRPr="00A368BD" w:rsidRDefault="00D57505" w:rsidP="00E673CD">
            <w:pPr>
              <w:spacing w:before="20" w:after="20"/>
              <w:ind w:left="162" w:hanging="162"/>
              <w:rPr>
                <w:b/>
                <w:bCs/>
              </w:rPr>
            </w:pPr>
            <w:r w:rsidRPr="00A368BD">
              <w:rPr>
                <w:b/>
                <w:bCs/>
              </w:rPr>
              <w:t>Facility/Unit and percent (%) of Baseload</w:t>
            </w:r>
          </w:p>
        </w:tc>
        <w:tc>
          <w:tcPr>
            <w:tcW w:w="4657" w:type="dxa"/>
            <w:shd w:val="clear" w:color="auto" w:fill="C6D9F1"/>
          </w:tcPr>
          <w:p w:rsidR="00D57505" w:rsidRPr="00A368BD" w:rsidRDefault="00D57505" w:rsidP="00E673CD">
            <w:pPr>
              <w:spacing w:before="20" w:after="20"/>
              <w:ind w:left="162" w:hanging="162"/>
              <w:jc w:val="center"/>
              <w:rPr>
                <w:b/>
                <w:bCs/>
              </w:rPr>
            </w:pPr>
            <w:r w:rsidRPr="00A368BD">
              <w:rPr>
                <w:b/>
                <w:bCs/>
              </w:rPr>
              <w:t>CO (ppmvd)</w:t>
            </w:r>
          </w:p>
        </w:tc>
      </w:tr>
      <w:tr w:rsidR="00D57505" w:rsidRPr="00D71E09" w:rsidTr="002E7738">
        <w:trPr>
          <w:trHeight w:val="182"/>
        </w:trPr>
        <w:tc>
          <w:tcPr>
            <w:tcW w:w="4590" w:type="dxa"/>
          </w:tcPr>
          <w:p w:rsidR="00D57505" w:rsidRPr="00A368BD" w:rsidRDefault="00D57505" w:rsidP="00E673CD">
            <w:pPr>
              <w:pStyle w:val="Default"/>
              <w:spacing w:before="20" w:after="20"/>
              <w:rPr>
                <w:sz w:val="20"/>
                <w:szCs w:val="20"/>
              </w:rPr>
            </w:pPr>
            <w:r w:rsidRPr="00A368BD">
              <w:rPr>
                <w:sz w:val="20"/>
                <w:szCs w:val="20"/>
              </w:rPr>
              <w:t>Martin Units 8A and 8B @100%</w:t>
            </w:r>
          </w:p>
        </w:tc>
        <w:tc>
          <w:tcPr>
            <w:tcW w:w="4657" w:type="dxa"/>
          </w:tcPr>
          <w:p w:rsidR="00D57505" w:rsidRPr="00A368BD" w:rsidRDefault="00D57505" w:rsidP="00E673CD">
            <w:pPr>
              <w:pStyle w:val="Default"/>
              <w:spacing w:before="20" w:after="20"/>
              <w:jc w:val="center"/>
              <w:rPr>
                <w:sz w:val="20"/>
                <w:szCs w:val="20"/>
              </w:rPr>
            </w:pPr>
            <w:r w:rsidRPr="00A368BD">
              <w:rPr>
                <w:sz w:val="20"/>
                <w:szCs w:val="20"/>
              </w:rPr>
              <w:t>0.6 and 0.8</w:t>
            </w:r>
          </w:p>
        </w:tc>
      </w:tr>
      <w:tr w:rsidR="00D57505" w:rsidRPr="00D71E09" w:rsidTr="002E7738">
        <w:trPr>
          <w:trHeight w:val="182"/>
        </w:trPr>
        <w:tc>
          <w:tcPr>
            <w:tcW w:w="4590" w:type="dxa"/>
          </w:tcPr>
          <w:p w:rsidR="00D57505" w:rsidRPr="00A368BD" w:rsidRDefault="00D57505" w:rsidP="00E673CD">
            <w:pPr>
              <w:pStyle w:val="Default"/>
              <w:spacing w:before="20" w:after="20"/>
              <w:rPr>
                <w:sz w:val="20"/>
                <w:szCs w:val="20"/>
              </w:rPr>
            </w:pPr>
            <w:r w:rsidRPr="00A368BD">
              <w:rPr>
                <w:sz w:val="20"/>
                <w:szCs w:val="20"/>
              </w:rPr>
              <w:t>Purdom Unit 8 @50 and 100%</w:t>
            </w:r>
          </w:p>
        </w:tc>
        <w:tc>
          <w:tcPr>
            <w:tcW w:w="4657" w:type="dxa"/>
          </w:tcPr>
          <w:p w:rsidR="00D57505" w:rsidRPr="00A368BD" w:rsidRDefault="00D57505" w:rsidP="00E673CD">
            <w:pPr>
              <w:pStyle w:val="Default"/>
              <w:spacing w:before="20" w:after="20"/>
              <w:jc w:val="center"/>
              <w:rPr>
                <w:sz w:val="20"/>
                <w:szCs w:val="20"/>
              </w:rPr>
            </w:pPr>
            <w:r w:rsidRPr="00A368BD">
              <w:rPr>
                <w:sz w:val="20"/>
                <w:szCs w:val="20"/>
              </w:rPr>
              <w:t>1.2 and 1.3</w:t>
            </w:r>
          </w:p>
        </w:tc>
      </w:tr>
      <w:tr w:rsidR="00D57505" w:rsidRPr="00D71E09" w:rsidTr="002E7738">
        <w:trPr>
          <w:trHeight w:val="182"/>
        </w:trPr>
        <w:tc>
          <w:tcPr>
            <w:tcW w:w="4590" w:type="dxa"/>
          </w:tcPr>
          <w:p w:rsidR="00D57505" w:rsidRPr="00A368BD" w:rsidRDefault="00D57505" w:rsidP="00E673CD">
            <w:pPr>
              <w:pStyle w:val="Default"/>
              <w:spacing w:before="20" w:after="20"/>
              <w:rPr>
                <w:sz w:val="20"/>
                <w:szCs w:val="20"/>
              </w:rPr>
            </w:pPr>
            <w:r w:rsidRPr="00A368BD">
              <w:rPr>
                <w:sz w:val="20"/>
                <w:szCs w:val="20"/>
              </w:rPr>
              <w:t>TECO Polk Unit 3 @100%</w:t>
            </w:r>
          </w:p>
        </w:tc>
        <w:tc>
          <w:tcPr>
            <w:tcW w:w="4657" w:type="dxa"/>
          </w:tcPr>
          <w:p w:rsidR="00D57505" w:rsidRPr="00A368BD" w:rsidRDefault="00D57505" w:rsidP="00E673CD">
            <w:pPr>
              <w:pStyle w:val="Default"/>
              <w:spacing w:before="20" w:after="20"/>
              <w:jc w:val="center"/>
              <w:rPr>
                <w:sz w:val="20"/>
                <w:szCs w:val="20"/>
              </w:rPr>
            </w:pPr>
            <w:r w:rsidRPr="00A368BD">
              <w:rPr>
                <w:sz w:val="20"/>
                <w:szCs w:val="20"/>
              </w:rPr>
              <w:t xml:space="preserve">0.6 </w:t>
            </w:r>
          </w:p>
        </w:tc>
      </w:tr>
      <w:tr w:rsidR="00D57505" w:rsidRPr="00D71E09" w:rsidTr="002E7738">
        <w:trPr>
          <w:trHeight w:val="185"/>
        </w:trPr>
        <w:tc>
          <w:tcPr>
            <w:tcW w:w="4590" w:type="dxa"/>
          </w:tcPr>
          <w:p w:rsidR="00D57505" w:rsidRPr="00A368BD" w:rsidRDefault="00D57505" w:rsidP="00E673CD">
            <w:pPr>
              <w:pStyle w:val="Default"/>
              <w:spacing w:before="20" w:after="20"/>
              <w:rPr>
                <w:sz w:val="20"/>
                <w:szCs w:val="20"/>
              </w:rPr>
            </w:pPr>
            <w:r w:rsidRPr="00A368BD">
              <w:rPr>
                <w:sz w:val="20"/>
                <w:szCs w:val="20"/>
              </w:rPr>
              <w:t>JEA Kennedy KCT-7 @100%</w:t>
            </w:r>
          </w:p>
        </w:tc>
        <w:tc>
          <w:tcPr>
            <w:tcW w:w="4657" w:type="dxa"/>
          </w:tcPr>
          <w:p w:rsidR="00D57505" w:rsidRPr="00A368BD" w:rsidRDefault="00D57505" w:rsidP="00E673CD">
            <w:pPr>
              <w:pStyle w:val="Default"/>
              <w:spacing w:before="20" w:after="20"/>
              <w:jc w:val="center"/>
              <w:rPr>
                <w:sz w:val="20"/>
                <w:szCs w:val="20"/>
              </w:rPr>
            </w:pPr>
            <w:r w:rsidRPr="00A368BD">
              <w:rPr>
                <w:sz w:val="20"/>
                <w:szCs w:val="20"/>
              </w:rPr>
              <w:t xml:space="preserve">2.1 </w:t>
            </w:r>
          </w:p>
        </w:tc>
      </w:tr>
      <w:tr w:rsidR="00D57505" w:rsidRPr="00D71E09" w:rsidTr="002E7738">
        <w:trPr>
          <w:trHeight w:val="182"/>
        </w:trPr>
        <w:tc>
          <w:tcPr>
            <w:tcW w:w="4590" w:type="dxa"/>
          </w:tcPr>
          <w:p w:rsidR="00D57505" w:rsidRPr="00A368BD" w:rsidRDefault="00D57505" w:rsidP="00E673CD">
            <w:pPr>
              <w:pStyle w:val="Default"/>
              <w:spacing w:before="20" w:after="20"/>
              <w:rPr>
                <w:sz w:val="20"/>
                <w:szCs w:val="20"/>
              </w:rPr>
            </w:pPr>
            <w:r w:rsidRPr="00A368BD">
              <w:rPr>
                <w:sz w:val="20"/>
                <w:szCs w:val="20"/>
              </w:rPr>
              <w:t xml:space="preserve">Stanton A – Units 25 and 26 @100%  </w:t>
            </w:r>
          </w:p>
        </w:tc>
        <w:tc>
          <w:tcPr>
            <w:tcW w:w="4657" w:type="dxa"/>
          </w:tcPr>
          <w:p w:rsidR="00D57505" w:rsidRPr="00A368BD" w:rsidRDefault="00D57505" w:rsidP="00E673CD">
            <w:pPr>
              <w:pStyle w:val="Default"/>
              <w:spacing w:before="20" w:after="20"/>
              <w:jc w:val="center"/>
              <w:rPr>
                <w:sz w:val="20"/>
                <w:szCs w:val="20"/>
              </w:rPr>
            </w:pPr>
            <w:r w:rsidRPr="00A368BD">
              <w:rPr>
                <w:sz w:val="20"/>
                <w:szCs w:val="20"/>
              </w:rPr>
              <w:t xml:space="preserve">1.0 </w:t>
            </w:r>
          </w:p>
        </w:tc>
      </w:tr>
      <w:tr w:rsidR="00D57505" w:rsidRPr="00D71E09" w:rsidTr="002E7738">
        <w:trPr>
          <w:trHeight w:val="182"/>
        </w:trPr>
        <w:tc>
          <w:tcPr>
            <w:tcW w:w="4590" w:type="dxa"/>
          </w:tcPr>
          <w:p w:rsidR="00D57505" w:rsidRPr="00A368BD" w:rsidRDefault="00D57505" w:rsidP="00E673CD">
            <w:pPr>
              <w:pStyle w:val="Default"/>
              <w:spacing w:before="20" w:after="20"/>
              <w:rPr>
                <w:sz w:val="20"/>
                <w:szCs w:val="20"/>
              </w:rPr>
            </w:pPr>
            <w:r w:rsidRPr="00A368BD">
              <w:rPr>
                <w:sz w:val="20"/>
                <w:szCs w:val="20"/>
              </w:rPr>
              <w:t>Reliant Osceola Unit 1, 2, 3 @100%</w:t>
            </w:r>
          </w:p>
        </w:tc>
        <w:tc>
          <w:tcPr>
            <w:tcW w:w="4657" w:type="dxa"/>
          </w:tcPr>
          <w:p w:rsidR="00D57505" w:rsidRPr="00A368BD" w:rsidRDefault="00D57505" w:rsidP="00E673CD">
            <w:pPr>
              <w:pStyle w:val="Default"/>
              <w:spacing w:before="20" w:after="20"/>
              <w:jc w:val="center"/>
              <w:rPr>
                <w:sz w:val="20"/>
                <w:szCs w:val="20"/>
              </w:rPr>
            </w:pPr>
            <w:r w:rsidRPr="00A368BD">
              <w:rPr>
                <w:sz w:val="20"/>
                <w:szCs w:val="20"/>
              </w:rPr>
              <w:t xml:space="preserve">0.04, 0.02 and 0.54 </w:t>
            </w:r>
          </w:p>
        </w:tc>
      </w:tr>
      <w:tr w:rsidR="00D57505" w:rsidRPr="00D71E09" w:rsidTr="002E7738">
        <w:trPr>
          <w:trHeight w:val="182"/>
        </w:trPr>
        <w:tc>
          <w:tcPr>
            <w:tcW w:w="4590" w:type="dxa"/>
          </w:tcPr>
          <w:p w:rsidR="00D57505" w:rsidRPr="00A368BD" w:rsidRDefault="00D57505" w:rsidP="00E673CD">
            <w:pPr>
              <w:pStyle w:val="Default"/>
              <w:spacing w:before="20" w:after="20"/>
              <w:rPr>
                <w:sz w:val="20"/>
                <w:szCs w:val="20"/>
              </w:rPr>
            </w:pPr>
            <w:r w:rsidRPr="00A368BD">
              <w:rPr>
                <w:sz w:val="20"/>
                <w:szCs w:val="20"/>
              </w:rPr>
              <w:t>Oleander Power Units 1, 2, 3 and 4 @100%</w:t>
            </w:r>
          </w:p>
        </w:tc>
        <w:tc>
          <w:tcPr>
            <w:tcW w:w="4657" w:type="dxa"/>
          </w:tcPr>
          <w:p w:rsidR="00D57505" w:rsidRPr="00A368BD" w:rsidRDefault="00D57505" w:rsidP="00E673CD">
            <w:pPr>
              <w:pStyle w:val="Default"/>
              <w:spacing w:before="20" w:after="20"/>
              <w:jc w:val="center"/>
              <w:rPr>
                <w:sz w:val="20"/>
                <w:szCs w:val="20"/>
              </w:rPr>
            </w:pPr>
            <w:r w:rsidRPr="00A368BD">
              <w:rPr>
                <w:sz w:val="20"/>
                <w:szCs w:val="20"/>
              </w:rPr>
              <w:t xml:space="preserve">1.8, 1.1, 3.8 and 2.7 </w:t>
            </w:r>
          </w:p>
        </w:tc>
      </w:tr>
    </w:tbl>
    <w:p w:rsidR="00CE3BB2" w:rsidRDefault="00CE3BB2">
      <w:pPr>
        <w:rPr>
          <w:rFonts w:ascii="Times New Roman Bold" w:hAnsi="Times New Roman Bold"/>
          <w:b/>
          <w:caps/>
          <w:sz w:val="22"/>
        </w:rPr>
      </w:pPr>
      <w:bookmarkStart w:id="29" w:name="_Ref365551116"/>
      <w:r>
        <w:rPr>
          <w:rFonts w:ascii="Times New Roman Bold" w:hAnsi="Times New Roman Bold"/>
        </w:rPr>
        <w:br w:type="page"/>
      </w:r>
    </w:p>
    <w:p w:rsidR="0011369F" w:rsidRPr="00A368BD" w:rsidRDefault="00A368BD" w:rsidP="00A368BD">
      <w:pPr>
        <w:pStyle w:val="Caption"/>
        <w:spacing w:before="120"/>
        <w:jc w:val="center"/>
        <w:rPr>
          <w:rFonts w:ascii="Times New Roman Bold" w:hAnsi="Times New Roman Bold"/>
          <w:szCs w:val="22"/>
        </w:rPr>
      </w:pPr>
      <w:r w:rsidRPr="00A368BD">
        <w:rPr>
          <w:rFonts w:ascii="Times New Roman Bold" w:hAnsi="Times New Roman Bold"/>
        </w:rPr>
        <w:lastRenderedPageBreak/>
        <w:t xml:space="preserve">Table </w:t>
      </w:r>
      <w:r w:rsidRPr="00A368BD">
        <w:rPr>
          <w:rFonts w:ascii="Times New Roman Bold" w:hAnsi="Times New Roman Bold"/>
        </w:rPr>
        <w:fldChar w:fldCharType="begin"/>
      </w:r>
      <w:r w:rsidRPr="00A368BD">
        <w:rPr>
          <w:rFonts w:ascii="Times New Roman Bold" w:hAnsi="Times New Roman Bold"/>
        </w:rPr>
        <w:instrText xml:space="preserve"> SEQ Table \* ARABIC </w:instrText>
      </w:r>
      <w:r w:rsidRPr="00A368BD">
        <w:rPr>
          <w:rFonts w:ascii="Times New Roman Bold" w:hAnsi="Times New Roman Bold"/>
        </w:rPr>
        <w:fldChar w:fldCharType="separate"/>
      </w:r>
      <w:r w:rsidR="007F3589">
        <w:rPr>
          <w:rFonts w:ascii="Times New Roman Bold" w:hAnsi="Times New Roman Bold"/>
          <w:noProof/>
        </w:rPr>
        <w:t>11</w:t>
      </w:r>
      <w:r w:rsidRPr="00A368BD">
        <w:rPr>
          <w:rFonts w:ascii="Times New Roman Bold" w:hAnsi="Times New Roman Bold"/>
        </w:rPr>
        <w:fldChar w:fldCharType="end"/>
      </w:r>
      <w:bookmarkEnd w:id="29"/>
      <w:r w:rsidRPr="00A368BD">
        <w:rPr>
          <w:rFonts w:ascii="Times New Roman Bold" w:hAnsi="Times New Roman Bold"/>
        </w:rPr>
        <w:t xml:space="preserve"> </w:t>
      </w:r>
      <w:r w:rsidR="0011369F" w:rsidRPr="00A368BD">
        <w:rPr>
          <w:rFonts w:ascii="Times New Roman Bold" w:hAnsi="Times New Roman Bold"/>
          <w:szCs w:val="22"/>
        </w:rPr>
        <w:t>– CO Stack Test Results from PPS, Units 2A to 2D (2000 to 2012).</w:t>
      </w:r>
    </w:p>
    <w:tbl>
      <w:tblPr>
        <w:tblW w:w="9257"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1080"/>
        <w:gridCol w:w="1080"/>
        <w:gridCol w:w="990"/>
        <w:gridCol w:w="990"/>
        <w:gridCol w:w="1440"/>
        <w:gridCol w:w="1597"/>
      </w:tblGrid>
      <w:tr w:rsidR="0011369F" w:rsidRPr="00006968" w:rsidTr="002E7738">
        <w:tc>
          <w:tcPr>
            <w:tcW w:w="2080" w:type="dxa"/>
            <w:vMerge w:val="restart"/>
            <w:shd w:val="clear" w:color="auto" w:fill="C6D9F1"/>
            <w:noWrap/>
            <w:vAlign w:val="center"/>
            <w:hideMark/>
          </w:tcPr>
          <w:p w:rsidR="0011369F" w:rsidRPr="00A368BD" w:rsidRDefault="0011369F" w:rsidP="00E673CD">
            <w:pPr>
              <w:jc w:val="center"/>
              <w:rPr>
                <w:color w:val="000000"/>
                <w:sz w:val="18"/>
                <w:szCs w:val="18"/>
              </w:rPr>
            </w:pPr>
            <w:r w:rsidRPr="00A368BD">
              <w:rPr>
                <w:b/>
                <w:bCs/>
                <w:color w:val="000000"/>
                <w:sz w:val="18"/>
                <w:szCs w:val="18"/>
              </w:rPr>
              <w:t>Year</w:t>
            </w:r>
          </w:p>
        </w:tc>
        <w:tc>
          <w:tcPr>
            <w:tcW w:w="7177" w:type="dxa"/>
            <w:gridSpan w:val="6"/>
            <w:shd w:val="clear" w:color="auto" w:fill="C6D9F1"/>
            <w:noWrap/>
            <w:vAlign w:val="center"/>
            <w:hideMark/>
          </w:tcPr>
          <w:p w:rsidR="0011369F" w:rsidRPr="00A368BD" w:rsidRDefault="0011369F" w:rsidP="00E673CD">
            <w:pPr>
              <w:jc w:val="center"/>
              <w:rPr>
                <w:b/>
                <w:bCs/>
                <w:color w:val="000000"/>
                <w:sz w:val="18"/>
                <w:szCs w:val="18"/>
              </w:rPr>
            </w:pPr>
            <w:r w:rsidRPr="00A368BD">
              <w:rPr>
                <w:b/>
                <w:bCs/>
                <w:color w:val="000000"/>
                <w:sz w:val="18"/>
                <w:szCs w:val="18"/>
              </w:rPr>
              <w:t>CO (ppmvd @15% O</w:t>
            </w:r>
            <w:r w:rsidRPr="00A368BD">
              <w:rPr>
                <w:b/>
                <w:bCs/>
                <w:color w:val="000000"/>
                <w:sz w:val="18"/>
                <w:szCs w:val="18"/>
                <w:vertAlign w:val="subscript"/>
              </w:rPr>
              <w:t>2</w:t>
            </w:r>
            <w:r w:rsidRPr="00A368BD">
              <w:rPr>
                <w:b/>
                <w:bCs/>
                <w:color w:val="000000"/>
                <w:sz w:val="18"/>
                <w:szCs w:val="18"/>
              </w:rPr>
              <w:t xml:space="preserve">) </w:t>
            </w:r>
            <w:r w:rsidRPr="00A368BD">
              <w:rPr>
                <w:b/>
                <w:bCs/>
                <w:color w:val="000000"/>
                <w:sz w:val="18"/>
                <w:szCs w:val="18"/>
                <w:vertAlign w:val="superscript"/>
              </w:rPr>
              <w:t>1</w:t>
            </w:r>
          </w:p>
        </w:tc>
      </w:tr>
      <w:tr w:rsidR="0011369F" w:rsidRPr="00006968" w:rsidTr="002E7738">
        <w:trPr>
          <w:trHeight w:val="94"/>
        </w:trPr>
        <w:tc>
          <w:tcPr>
            <w:tcW w:w="2080" w:type="dxa"/>
            <w:vMerge/>
            <w:shd w:val="clear" w:color="auto" w:fill="C6D9F1"/>
            <w:noWrap/>
            <w:vAlign w:val="center"/>
            <w:hideMark/>
          </w:tcPr>
          <w:p w:rsidR="0011369F" w:rsidRPr="00A368BD" w:rsidRDefault="0011369F" w:rsidP="00E673CD">
            <w:pPr>
              <w:jc w:val="center"/>
              <w:rPr>
                <w:b/>
                <w:bCs/>
                <w:color w:val="000000"/>
                <w:sz w:val="18"/>
                <w:szCs w:val="18"/>
              </w:rPr>
            </w:pPr>
          </w:p>
        </w:tc>
        <w:tc>
          <w:tcPr>
            <w:tcW w:w="2160" w:type="dxa"/>
            <w:gridSpan w:val="2"/>
            <w:shd w:val="clear" w:color="auto" w:fill="C6D9F1"/>
            <w:noWrap/>
            <w:vAlign w:val="center"/>
            <w:hideMark/>
          </w:tcPr>
          <w:p w:rsidR="0011369F" w:rsidRPr="00A368BD" w:rsidRDefault="0011369F" w:rsidP="00E673CD">
            <w:pPr>
              <w:jc w:val="center"/>
              <w:rPr>
                <w:b/>
                <w:bCs/>
                <w:color w:val="000000"/>
                <w:sz w:val="18"/>
                <w:szCs w:val="18"/>
              </w:rPr>
            </w:pPr>
            <w:r w:rsidRPr="00A368BD">
              <w:rPr>
                <w:b/>
                <w:bCs/>
                <w:color w:val="000000"/>
                <w:sz w:val="18"/>
                <w:szCs w:val="18"/>
              </w:rPr>
              <w:t xml:space="preserve">Unit 2A </w:t>
            </w:r>
            <w:r w:rsidRPr="00A368BD">
              <w:rPr>
                <w:b/>
                <w:bCs/>
                <w:color w:val="000000"/>
                <w:sz w:val="18"/>
                <w:szCs w:val="18"/>
                <w:vertAlign w:val="superscript"/>
              </w:rPr>
              <w:t>2</w:t>
            </w:r>
          </w:p>
        </w:tc>
        <w:tc>
          <w:tcPr>
            <w:tcW w:w="1980" w:type="dxa"/>
            <w:gridSpan w:val="2"/>
            <w:shd w:val="clear" w:color="auto" w:fill="C6D9F1"/>
            <w:noWrap/>
            <w:vAlign w:val="center"/>
            <w:hideMark/>
          </w:tcPr>
          <w:p w:rsidR="0011369F" w:rsidRPr="00A368BD" w:rsidRDefault="0011369F" w:rsidP="00E673CD">
            <w:pPr>
              <w:jc w:val="center"/>
              <w:rPr>
                <w:b/>
                <w:bCs/>
                <w:color w:val="000000"/>
                <w:sz w:val="18"/>
                <w:szCs w:val="18"/>
              </w:rPr>
            </w:pPr>
            <w:r w:rsidRPr="00A368BD">
              <w:rPr>
                <w:b/>
                <w:bCs/>
                <w:color w:val="000000"/>
                <w:sz w:val="18"/>
                <w:szCs w:val="18"/>
              </w:rPr>
              <w:t xml:space="preserve">Unit 2B </w:t>
            </w:r>
            <w:r w:rsidRPr="00A368BD">
              <w:rPr>
                <w:b/>
                <w:bCs/>
                <w:color w:val="000000"/>
                <w:sz w:val="18"/>
                <w:szCs w:val="18"/>
                <w:vertAlign w:val="superscript"/>
              </w:rPr>
              <w:t>2</w:t>
            </w:r>
          </w:p>
        </w:tc>
        <w:tc>
          <w:tcPr>
            <w:tcW w:w="1440" w:type="dxa"/>
            <w:shd w:val="clear" w:color="auto" w:fill="C6D9F1"/>
            <w:noWrap/>
            <w:vAlign w:val="center"/>
            <w:hideMark/>
          </w:tcPr>
          <w:p w:rsidR="0011369F" w:rsidRPr="00A368BD" w:rsidRDefault="0011369F" w:rsidP="00E673CD">
            <w:pPr>
              <w:jc w:val="center"/>
              <w:rPr>
                <w:b/>
                <w:bCs/>
                <w:color w:val="000000"/>
                <w:sz w:val="18"/>
                <w:szCs w:val="18"/>
              </w:rPr>
            </w:pPr>
            <w:r w:rsidRPr="00A368BD">
              <w:rPr>
                <w:b/>
                <w:bCs/>
                <w:color w:val="000000"/>
                <w:sz w:val="18"/>
                <w:szCs w:val="18"/>
              </w:rPr>
              <w:t>Unit 2C</w:t>
            </w:r>
          </w:p>
        </w:tc>
        <w:tc>
          <w:tcPr>
            <w:tcW w:w="1597" w:type="dxa"/>
            <w:shd w:val="clear" w:color="auto" w:fill="C6D9F1"/>
            <w:noWrap/>
            <w:vAlign w:val="center"/>
            <w:hideMark/>
          </w:tcPr>
          <w:p w:rsidR="0011369F" w:rsidRPr="00A368BD" w:rsidRDefault="0011369F" w:rsidP="00E673CD">
            <w:pPr>
              <w:jc w:val="center"/>
              <w:rPr>
                <w:b/>
                <w:bCs/>
                <w:color w:val="000000"/>
                <w:sz w:val="18"/>
                <w:szCs w:val="18"/>
              </w:rPr>
            </w:pPr>
            <w:r w:rsidRPr="00A368BD">
              <w:rPr>
                <w:b/>
                <w:bCs/>
                <w:color w:val="000000"/>
                <w:sz w:val="18"/>
                <w:szCs w:val="18"/>
              </w:rPr>
              <w:t>Unit 2D</w:t>
            </w:r>
          </w:p>
        </w:tc>
      </w:tr>
      <w:tr w:rsidR="0011369F" w:rsidRPr="00006968" w:rsidTr="002E7738">
        <w:trPr>
          <w:trHeight w:val="94"/>
        </w:trPr>
        <w:tc>
          <w:tcPr>
            <w:tcW w:w="2080" w:type="dxa"/>
            <w:vMerge/>
            <w:shd w:val="clear" w:color="auto" w:fill="C6D9F1"/>
            <w:noWrap/>
            <w:vAlign w:val="center"/>
            <w:hideMark/>
          </w:tcPr>
          <w:p w:rsidR="0011369F" w:rsidRPr="00A368BD" w:rsidRDefault="0011369F" w:rsidP="00E673CD">
            <w:pPr>
              <w:jc w:val="center"/>
              <w:rPr>
                <w:b/>
                <w:bCs/>
                <w:color w:val="000000"/>
                <w:sz w:val="18"/>
                <w:szCs w:val="18"/>
              </w:rPr>
            </w:pPr>
          </w:p>
        </w:tc>
        <w:tc>
          <w:tcPr>
            <w:tcW w:w="1080" w:type="dxa"/>
            <w:shd w:val="clear" w:color="auto" w:fill="C6D9F1"/>
            <w:noWrap/>
            <w:vAlign w:val="center"/>
            <w:hideMark/>
          </w:tcPr>
          <w:p w:rsidR="0011369F" w:rsidRPr="00A368BD" w:rsidRDefault="0011369F" w:rsidP="00E673CD">
            <w:pPr>
              <w:jc w:val="center"/>
              <w:rPr>
                <w:b/>
                <w:bCs/>
                <w:color w:val="000000"/>
                <w:sz w:val="18"/>
                <w:szCs w:val="18"/>
              </w:rPr>
            </w:pPr>
            <w:r w:rsidRPr="00A368BD">
              <w:rPr>
                <w:b/>
                <w:bCs/>
                <w:color w:val="000000"/>
                <w:sz w:val="18"/>
                <w:szCs w:val="18"/>
              </w:rPr>
              <w:t>Gas</w:t>
            </w:r>
          </w:p>
        </w:tc>
        <w:tc>
          <w:tcPr>
            <w:tcW w:w="1080" w:type="dxa"/>
            <w:shd w:val="clear" w:color="auto" w:fill="C6D9F1"/>
            <w:vAlign w:val="center"/>
          </w:tcPr>
          <w:p w:rsidR="0011369F" w:rsidRPr="00A368BD" w:rsidRDefault="0011369F" w:rsidP="00E673CD">
            <w:pPr>
              <w:jc w:val="center"/>
              <w:rPr>
                <w:b/>
                <w:bCs/>
                <w:color w:val="000000"/>
                <w:sz w:val="18"/>
                <w:szCs w:val="18"/>
              </w:rPr>
            </w:pPr>
            <w:r w:rsidRPr="00A368BD">
              <w:rPr>
                <w:b/>
                <w:bCs/>
                <w:color w:val="000000"/>
                <w:sz w:val="18"/>
                <w:szCs w:val="18"/>
              </w:rPr>
              <w:t>Oil</w:t>
            </w:r>
          </w:p>
        </w:tc>
        <w:tc>
          <w:tcPr>
            <w:tcW w:w="990" w:type="dxa"/>
            <w:shd w:val="clear" w:color="auto" w:fill="C6D9F1"/>
            <w:noWrap/>
            <w:vAlign w:val="center"/>
            <w:hideMark/>
          </w:tcPr>
          <w:p w:rsidR="0011369F" w:rsidRPr="00A368BD" w:rsidRDefault="0011369F" w:rsidP="00E673CD">
            <w:pPr>
              <w:jc w:val="center"/>
              <w:rPr>
                <w:b/>
                <w:bCs/>
                <w:color w:val="000000"/>
                <w:sz w:val="18"/>
                <w:szCs w:val="18"/>
              </w:rPr>
            </w:pPr>
            <w:r w:rsidRPr="00A368BD">
              <w:rPr>
                <w:b/>
                <w:bCs/>
                <w:color w:val="000000"/>
                <w:sz w:val="18"/>
                <w:szCs w:val="18"/>
              </w:rPr>
              <w:t>Gas</w:t>
            </w:r>
          </w:p>
        </w:tc>
        <w:tc>
          <w:tcPr>
            <w:tcW w:w="990" w:type="dxa"/>
            <w:shd w:val="clear" w:color="auto" w:fill="C6D9F1"/>
            <w:vAlign w:val="center"/>
          </w:tcPr>
          <w:p w:rsidR="0011369F" w:rsidRPr="00A368BD" w:rsidRDefault="0011369F" w:rsidP="00E673CD">
            <w:pPr>
              <w:jc w:val="center"/>
              <w:rPr>
                <w:b/>
                <w:bCs/>
                <w:color w:val="000000"/>
                <w:sz w:val="18"/>
                <w:szCs w:val="18"/>
              </w:rPr>
            </w:pPr>
            <w:r w:rsidRPr="00A368BD">
              <w:rPr>
                <w:b/>
                <w:bCs/>
                <w:color w:val="000000"/>
                <w:sz w:val="18"/>
                <w:szCs w:val="18"/>
              </w:rPr>
              <w:t>Oil</w:t>
            </w:r>
          </w:p>
        </w:tc>
        <w:tc>
          <w:tcPr>
            <w:tcW w:w="1440" w:type="dxa"/>
            <w:shd w:val="clear" w:color="auto" w:fill="C6D9F1"/>
            <w:noWrap/>
            <w:vAlign w:val="center"/>
            <w:hideMark/>
          </w:tcPr>
          <w:p w:rsidR="0011369F" w:rsidRPr="00A368BD" w:rsidRDefault="0011369F" w:rsidP="00E673CD">
            <w:pPr>
              <w:jc w:val="center"/>
              <w:rPr>
                <w:b/>
                <w:bCs/>
                <w:color w:val="000000"/>
                <w:sz w:val="18"/>
                <w:szCs w:val="18"/>
              </w:rPr>
            </w:pPr>
            <w:r w:rsidRPr="00A368BD">
              <w:rPr>
                <w:b/>
                <w:bCs/>
                <w:color w:val="000000"/>
                <w:sz w:val="18"/>
                <w:szCs w:val="18"/>
              </w:rPr>
              <w:t>Gas Only</w:t>
            </w:r>
          </w:p>
        </w:tc>
        <w:tc>
          <w:tcPr>
            <w:tcW w:w="1597" w:type="dxa"/>
            <w:shd w:val="clear" w:color="auto" w:fill="C6D9F1"/>
            <w:noWrap/>
            <w:vAlign w:val="center"/>
            <w:hideMark/>
          </w:tcPr>
          <w:p w:rsidR="0011369F" w:rsidRPr="00A368BD" w:rsidRDefault="0011369F" w:rsidP="00E673CD">
            <w:pPr>
              <w:jc w:val="center"/>
              <w:rPr>
                <w:b/>
                <w:bCs/>
                <w:color w:val="000000"/>
                <w:sz w:val="18"/>
                <w:szCs w:val="18"/>
              </w:rPr>
            </w:pPr>
            <w:r w:rsidRPr="00A368BD">
              <w:rPr>
                <w:b/>
                <w:bCs/>
                <w:color w:val="000000"/>
                <w:sz w:val="18"/>
                <w:szCs w:val="18"/>
              </w:rPr>
              <w:t>Gas Only</w:t>
            </w: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2000</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0.24</w:t>
            </w:r>
          </w:p>
        </w:tc>
        <w:tc>
          <w:tcPr>
            <w:tcW w:w="108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1.05</w:t>
            </w:r>
          </w:p>
        </w:tc>
        <w:tc>
          <w:tcPr>
            <w:tcW w:w="1980" w:type="dxa"/>
            <w:gridSpan w:val="2"/>
            <w:vMerge w:val="restart"/>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Not yet constructed</w:t>
            </w:r>
          </w:p>
        </w:tc>
        <w:tc>
          <w:tcPr>
            <w:tcW w:w="3037" w:type="dxa"/>
            <w:gridSpan w:val="2"/>
            <w:vMerge w:val="restart"/>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Not yet constructed</w:t>
            </w: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2001</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0.06</w:t>
            </w:r>
          </w:p>
        </w:tc>
        <w:tc>
          <w:tcPr>
            <w:tcW w:w="108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0.06</w:t>
            </w:r>
          </w:p>
        </w:tc>
        <w:tc>
          <w:tcPr>
            <w:tcW w:w="1980" w:type="dxa"/>
            <w:gridSpan w:val="2"/>
            <w:vMerge/>
            <w:shd w:val="clear" w:color="auto" w:fill="auto"/>
            <w:noWrap/>
            <w:vAlign w:val="center"/>
            <w:hideMark/>
          </w:tcPr>
          <w:p w:rsidR="0011369F" w:rsidRPr="00A368BD" w:rsidRDefault="0011369F" w:rsidP="00E673CD">
            <w:pPr>
              <w:jc w:val="center"/>
              <w:rPr>
                <w:color w:val="000000"/>
                <w:sz w:val="18"/>
                <w:szCs w:val="18"/>
              </w:rPr>
            </w:pPr>
          </w:p>
        </w:tc>
        <w:tc>
          <w:tcPr>
            <w:tcW w:w="3037" w:type="dxa"/>
            <w:gridSpan w:val="2"/>
            <w:vMerge/>
            <w:shd w:val="clear" w:color="auto" w:fill="auto"/>
            <w:noWrap/>
            <w:vAlign w:val="center"/>
            <w:hideMark/>
          </w:tcPr>
          <w:p w:rsidR="0011369F" w:rsidRPr="00A368BD" w:rsidRDefault="0011369F" w:rsidP="00E673CD">
            <w:pPr>
              <w:jc w:val="center"/>
              <w:rPr>
                <w:color w:val="000000"/>
                <w:sz w:val="18"/>
                <w:szCs w:val="18"/>
              </w:rPr>
            </w:pP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2002</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0.75</w:t>
            </w:r>
          </w:p>
        </w:tc>
        <w:tc>
          <w:tcPr>
            <w:tcW w:w="108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0.62</w:t>
            </w: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0.23</w:t>
            </w:r>
          </w:p>
        </w:tc>
        <w:tc>
          <w:tcPr>
            <w:tcW w:w="99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0.58</w:t>
            </w:r>
          </w:p>
        </w:tc>
        <w:tc>
          <w:tcPr>
            <w:tcW w:w="3037" w:type="dxa"/>
            <w:gridSpan w:val="2"/>
            <w:vMerge/>
            <w:shd w:val="clear" w:color="auto" w:fill="auto"/>
            <w:noWrap/>
            <w:vAlign w:val="center"/>
            <w:hideMark/>
          </w:tcPr>
          <w:p w:rsidR="0011369F" w:rsidRPr="00A368BD" w:rsidRDefault="0011369F" w:rsidP="00E673CD">
            <w:pPr>
              <w:jc w:val="center"/>
              <w:rPr>
                <w:color w:val="000000"/>
                <w:sz w:val="18"/>
                <w:szCs w:val="18"/>
              </w:rPr>
            </w:pP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2003</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0.8</w:t>
            </w:r>
          </w:p>
        </w:tc>
        <w:tc>
          <w:tcPr>
            <w:tcW w:w="108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0.5</w:t>
            </w: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0.3</w:t>
            </w:r>
          </w:p>
        </w:tc>
        <w:tc>
          <w:tcPr>
            <w:tcW w:w="99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0.3</w:t>
            </w:r>
          </w:p>
        </w:tc>
        <w:tc>
          <w:tcPr>
            <w:tcW w:w="3037" w:type="dxa"/>
            <w:gridSpan w:val="2"/>
            <w:vMerge/>
            <w:shd w:val="clear" w:color="auto" w:fill="auto"/>
            <w:noWrap/>
            <w:vAlign w:val="center"/>
            <w:hideMark/>
          </w:tcPr>
          <w:p w:rsidR="0011369F" w:rsidRPr="00A368BD" w:rsidRDefault="0011369F" w:rsidP="00E673CD">
            <w:pPr>
              <w:jc w:val="center"/>
              <w:rPr>
                <w:color w:val="000000"/>
                <w:sz w:val="18"/>
                <w:szCs w:val="18"/>
              </w:rPr>
            </w:pP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2004</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0.5</w:t>
            </w:r>
          </w:p>
        </w:tc>
        <w:tc>
          <w:tcPr>
            <w:tcW w:w="1080" w:type="dxa"/>
            <w:shd w:val="clear" w:color="auto" w:fill="auto"/>
            <w:vAlign w:val="center"/>
          </w:tcPr>
          <w:p w:rsidR="0011369F" w:rsidRPr="00A368BD" w:rsidRDefault="0011369F" w:rsidP="00E673CD">
            <w:pPr>
              <w:jc w:val="center"/>
              <w:rPr>
                <w:color w:val="000000"/>
                <w:sz w:val="18"/>
                <w:szCs w:val="18"/>
              </w:rPr>
            </w:pP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0.3</w:t>
            </w:r>
          </w:p>
        </w:tc>
        <w:tc>
          <w:tcPr>
            <w:tcW w:w="990" w:type="dxa"/>
            <w:shd w:val="clear" w:color="auto" w:fill="auto"/>
            <w:vAlign w:val="center"/>
          </w:tcPr>
          <w:p w:rsidR="0011369F" w:rsidRPr="00A368BD" w:rsidRDefault="0011369F" w:rsidP="00E673CD">
            <w:pPr>
              <w:jc w:val="center"/>
              <w:rPr>
                <w:color w:val="000000"/>
                <w:sz w:val="18"/>
                <w:szCs w:val="18"/>
              </w:rPr>
            </w:pPr>
          </w:p>
        </w:tc>
        <w:tc>
          <w:tcPr>
            <w:tcW w:w="3037" w:type="dxa"/>
            <w:gridSpan w:val="2"/>
            <w:vMerge/>
            <w:shd w:val="clear" w:color="auto" w:fill="auto"/>
            <w:noWrap/>
            <w:vAlign w:val="center"/>
            <w:hideMark/>
          </w:tcPr>
          <w:p w:rsidR="0011369F" w:rsidRPr="00A368BD" w:rsidRDefault="0011369F" w:rsidP="00E673CD">
            <w:pPr>
              <w:jc w:val="center"/>
              <w:rPr>
                <w:color w:val="000000"/>
                <w:sz w:val="18"/>
                <w:szCs w:val="18"/>
              </w:rPr>
            </w:pP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2005</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w:t>
            </w:r>
          </w:p>
        </w:tc>
        <w:tc>
          <w:tcPr>
            <w:tcW w:w="108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~0</w:t>
            </w: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w:t>
            </w:r>
          </w:p>
        </w:tc>
        <w:tc>
          <w:tcPr>
            <w:tcW w:w="99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~0</w:t>
            </w:r>
          </w:p>
        </w:tc>
        <w:tc>
          <w:tcPr>
            <w:tcW w:w="3037" w:type="dxa"/>
            <w:gridSpan w:val="2"/>
            <w:vMerge/>
            <w:shd w:val="clear" w:color="auto" w:fill="auto"/>
            <w:noWrap/>
            <w:vAlign w:val="center"/>
            <w:hideMark/>
          </w:tcPr>
          <w:p w:rsidR="0011369F" w:rsidRPr="00A368BD" w:rsidRDefault="0011369F" w:rsidP="00E673CD">
            <w:pPr>
              <w:jc w:val="center"/>
              <w:rPr>
                <w:color w:val="000000"/>
                <w:sz w:val="18"/>
                <w:szCs w:val="18"/>
              </w:rPr>
            </w:pP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2006</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w:t>
            </w:r>
          </w:p>
        </w:tc>
        <w:tc>
          <w:tcPr>
            <w:tcW w:w="1080" w:type="dxa"/>
            <w:shd w:val="clear" w:color="auto" w:fill="auto"/>
            <w:vAlign w:val="center"/>
          </w:tcPr>
          <w:p w:rsidR="0011369F" w:rsidRPr="00A368BD" w:rsidRDefault="0011369F" w:rsidP="00E673CD">
            <w:pPr>
              <w:jc w:val="center"/>
              <w:rPr>
                <w:color w:val="000000"/>
                <w:sz w:val="18"/>
                <w:szCs w:val="18"/>
              </w:rPr>
            </w:pPr>
          </w:p>
        </w:tc>
        <w:tc>
          <w:tcPr>
            <w:tcW w:w="990" w:type="dxa"/>
            <w:shd w:val="clear" w:color="auto" w:fill="auto"/>
            <w:noWrap/>
            <w:vAlign w:val="center"/>
            <w:hideMark/>
          </w:tcPr>
          <w:p w:rsidR="0011369F" w:rsidRPr="00A368BD" w:rsidRDefault="0011369F" w:rsidP="00E673CD">
            <w:pPr>
              <w:jc w:val="center"/>
              <w:rPr>
                <w:color w:val="000000"/>
                <w:sz w:val="18"/>
                <w:szCs w:val="18"/>
              </w:rPr>
            </w:pPr>
          </w:p>
        </w:tc>
        <w:tc>
          <w:tcPr>
            <w:tcW w:w="990" w:type="dxa"/>
            <w:shd w:val="clear" w:color="auto" w:fill="auto"/>
            <w:vAlign w:val="center"/>
          </w:tcPr>
          <w:p w:rsidR="0011369F" w:rsidRPr="00A368BD" w:rsidRDefault="0011369F" w:rsidP="00E673CD">
            <w:pPr>
              <w:jc w:val="center"/>
              <w:rPr>
                <w:color w:val="000000"/>
                <w:sz w:val="18"/>
                <w:szCs w:val="18"/>
              </w:rPr>
            </w:pPr>
          </w:p>
        </w:tc>
        <w:tc>
          <w:tcPr>
            <w:tcW w:w="3037" w:type="dxa"/>
            <w:gridSpan w:val="2"/>
            <w:vMerge/>
            <w:shd w:val="clear" w:color="auto" w:fill="auto"/>
            <w:noWrap/>
            <w:vAlign w:val="center"/>
            <w:hideMark/>
          </w:tcPr>
          <w:p w:rsidR="0011369F" w:rsidRPr="00A368BD" w:rsidRDefault="0011369F" w:rsidP="00E673CD">
            <w:pPr>
              <w:jc w:val="center"/>
              <w:rPr>
                <w:color w:val="000000"/>
                <w:sz w:val="18"/>
                <w:szCs w:val="18"/>
              </w:rPr>
            </w:pP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2007</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0.57</w:t>
            </w:r>
          </w:p>
        </w:tc>
        <w:tc>
          <w:tcPr>
            <w:tcW w:w="1080" w:type="dxa"/>
            <w:shd w:val="clear" w:color="auto" w:fill="auto"/>
            <w:vAlign w:val="center"/>
          </w:tcPr>
          <w:p w:rsidR="0011369F" w:rsidRPr="00A368BD" w:rsidRDefault="0011369F" w:rsidP="00E673CD">
            <w:pPr>
              <w:jc w:val="center"/>
              <w:rPr>
                <w:color w:val="000000"/>
                <w:sz w:val="18"/>
                <w:szCs w:val="18"/>
              </w:rPr>
            </w:pP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1.0</w:t>
            </w:r>
          </w:p>
        </w:tc>
        <w:tc>
          <w:tcPr>
            <w:tcW w:w="990" w:type="dxa"/>
            <w:shd w:val="clear" w:color="auto" w:fill="auto"/>
            <w:vAlign w:val="center"/>
          </w:tcPr>
          <w:p w:rsidR="0011369F" w:rsidRPr="00A368BD" w:rsidRDefault="0011369F" w:rsidP="00E673CD">
            <w:pPr>
              <w:jc w:val="center"/>
              <w:rPr>
                <w:color w:val="000000"/>
                <w:sz w:val="18"/>
                <w:szCs w:val="18"/>
              </w:rPr>
            </w:pPr>
          </w:p>
        </w:tc>
        <w:tc>
          <w:tcPr>
            <w:tcW w:w="3037" w:type="dxa"/>
            <w:gridSpan w:val="2"/>
            <w:vMerge/>
            <w:shd w:val="clear" w:color="auto" w:fill="auto"/>
            <w:noWrap/>
            <w:vAlign w:val="center"/>
            <w:hideMark/>
          </w:tcPr>
          <w:p w:rsidR="0011369F" w:rsidRPr="00A368BD" w:rsidRDefault="0011369F" w:rsidP="00E673CD">
            <w:pPr>
              <w:jc w:val="center"/>
              <w:rPr>
                <w:color w:val="000000"/>
                <w:sz w:val="18"/>
                <w:szCs w:val="18"/>
              </w:rPr>
            </w:pP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2008</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0.22</w:t>
            </w:r>
          </w:p>
        </w:tc>
        <w:tc>
          <w:tcPr>
            <w:tcW w:w="1080" w:type="dxa"/>
            <w:shd w:val="clear" w:color="auto" w:fill="auto"/>
            <w:vAlign w:val="center"/>
          </w:tcPr>
          <w:p w:rsidR="0011369F" w:rsidRPr="00A368BD" w:rsidRDefault="0011369F" w:rsidP="00E673CD">
            <w:pPr>
              <w:jc w:val="center"/>
              <w:rPr>
                <w:color w:val="000000"/>
                <w:sz w:val="18"/>
                <w:szCs w:val="18"/>
              </w:rPr>
            </w:pP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0.21</w:t>
            </w:r>
          </w:p>
        </w:tc>
        <w:tc>
          <w:tcPr>
            <w:tcW w:w="990" w:type="dxa"/>
            <w:shd w:val="clear" w:color="auto" w:fill="auto"/>
            <w:vAlign w:val="center"/>
          </w:tcPr>
          <w:p w:rsidR="0011369F" w:rsidRPr="00A368BD" w:rsidRDefault="0011369F" w:rsidP="00E673CD">
            <w:pPr>
              <w:jc w:val="center"/>
              <w:rPr>
                <w:color w:val="000000"/>
                <w:sz w:val="18"/>
                <w:szCs w:val="18"/>
              </w:rPr>
            </w:pPr>
          </w:p>
        </w:tc>
        <w:tc>
          <w:tcPr>
            <w:tcW w:w="144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 xml:space="preserve">0.2 </w:t>
            </w:r>
            <w:r w:rsidRPr="00A368BD">
              <w:rPr>
                <w:b/>
                <w:color w:val="000000"/>
                <w:sz w:val="18"/>
                <w:szCs w:val="18"/>
                <w:vertAlign w:val="superscript"/>
              </w:rPr>
              <w:t>3</w:t>
            </w:r>
          </w:p>
        </w:tc>
        <w:tc>
          <w:tcPr>
            <w:tcW w:w="1597"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 xml:space="preserve">0.19 </w:t>
            </w:r>
            <w:r w:rsidRPr="00A368BD">
              <w:rPr>
                <w:b/>
                <w:color w:val="000000"/>
                <w:sz w:val="18"/>
                <w:szCs w:val="18"/>
                <w:vertAlign w:val="superscript"/>
              </w:rPr>
              <w:t>3</w:t>
            </w: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2009</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w:t>
            </w:r>
          </w:p>
        </w:tc>
        <w:tc>
          <w:tcPr>
            <w:tcW w:w="1080" w:type="dxa"/>
            <w:shd w:val="clear" w:color="auto" w:fill="auto"/>
            <w:vAlign w:val="center"/>
          </w:tcPr>
          <w:p w:rsidR="0011369F" w:rsidRPr="00A368BD" w:rsidRDefault="0011369F" w:rsidP="00E673CD">
            <w:pPr>
              <w:jc w:val="center"/>
              <w:rPr>
                <w:color w:val="000000"/>
                <w:sz w:val="18"/>
                <w:szCs w:val="18"/>
              </w:rPr>
            </w:pP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w:t>
            </w:r>
          </w:p>
        </w:tc>
        <w:tc>
          <w:tcPr>
            <w:tcW w:w="990" w:type="dxa"/>
            <w:shd w:val="clear" w:color="auto" w:fill="auto"/>
            <w:vAlign w:val="center"/>
          </w:tcPr>
          <w:p w:rsidR="0011369F" w:rsidRPr="00A368BD" w:rsidRDefault="0011369F" w:rsidP="00E673CD">
            <w:pPr>
              <w:jc w:val="center"/>
              <w:rPr>
                <w:color w:val="000000"/>
                <w:sz w:val="18"/>
                <w:szCs w:val="18"/>
              </w:rPr>
            </w:pPr>
          </w:p>
        </w:tc>
        <w:tc>
          <w:tcPr>
            <w:tcW w:w="1440" w:type="dxa"/>
            <w:shd w:val="clear" w:color="auto" w:fill="auto"/>
            <w:noWrap/>
            <w:vAlign w:val="center"/>
            <w:hideMark/>
          </w:tcPr>
          <w:p w:rsidR="0011369F" w:rsidRPr="00A368BD" w:rsidRDefault="0011369F" w:rsidP="00E673CD">
            <w:pPr>
              <w:jc w:val="center"/>
              <w:rPr>
                <w:color w:val="000000"/>
                <w:sz w:val="18"/>
                <w:szCs w:val="18"/>
              </w:rPr>
            </w:pPr>
          </w:p>
        </w:tc>
        <w:tc>
          <w:tcPr>
            <w:tcW w:w="1597" w:type="dxa"/>
            <w:shd w:val="clear" w:color="auto" w:fill="auto"/>
            <w:noWrap/>
            <w:vAlign w:val="center"/>
            <w:hideMark/>
          </w:tcPr>
          <w:p w:rsidR="0011369F" w:rsidRPr="00A368BD" w:rsidRDefault="0011369F" w:rsidP="00E673CD">
            <w:pPr>
              <w:jc w:val="center"/>
              <w:rPr>
                <w:color w:val="000000"/>
                <w:sz w:val="18"/>
                <w:szCs w:val="18"/>
              </w:rPr>
            </w:pP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2010</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w:t>
            </w:r>
          </w:p>
        </w:tc>
        <w:tc>
          <w:tcPr>
            <w:tcW w:w="108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0.04</w:t>
            </w: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0.04</w:t>
            </w:r>
          </w:p>
        </w:tc>
        <w:tc>
          <w:tcPr>
            <w:tcW w:w="990" w:type="dxa"/>
            <w:shd w:val="clear" w:color="auto" w:fill="auto"/>
            <w:vAlign w:val="center"/>
          </w:tcPr>
          <w:p w:rsidR="0011369F" w:rsidRPr="00A368BD" w:rsidRDefault="0011369F" w:rsidP="00E673CD">
            <w:pPr>
              <w:jc w:val="center"/>
              <w:rPr>
                <w:color w:val="000000"/>
                <w:sz w:val="18"/>
                <w:szCs w:val="18"/>
              </w:rPr>
            </w:pPr>
            <w:r w:rsidRPr="00A368BD">
              <w:rPr>
                <w:color w:val="000000"/>
                <w:sz w:val="18"/>
                <w:szCs w:val="18"/>
              </w:rPr>
              <w:t>0.04</w:t>
            </w:r>
          </w:p>
        </w:tc>
        <w:tc>
          <w:tcPr>
            <w:tcW w:w="144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 xml:space="preserve">0.7 </w:t>
            </w:r>
            <w:r w:rsidRPr="00A368BD">
              <w:rPr>
                <w:b/>
                <w:color w:val="000000"/>
                <w:sz w:val="18"/>
                <w:szCs w:val="18"/>
                <w:vertAlign w:val="superscript"/>
              </w:rPr>
              <w:t>4</w:t>
            </w:r>
          </w:p>
        </w:tc>
        <w:tc>
          <w:tcPr>
            <w:tcW w:w="1597"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 xml:space="preserve">1.2 </w:t>
            </w:r>
            <w:r w:rsidRPr="00A368BD">
              <w:rPr>
                <w:b/>
                <w:color w:val="000000"/>
                <w:sz w:val="18"/>
                <w:szCs w:val="18"/>
                <w:vertAlign w:val="superscript"/>
              </w:rPr>
              <w:t>4</w:t>
            </w: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2011</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0.03</w:t>
            </w:r>
          </w:p>
        </w:tc>
        <w:tc>
          <w:tcPr>
            <w:tcW w:w="1080" w:type="dxa"/>
            <w:shd w:val="clear" w:color="auto" w:fill="auto"/>
            <w:vAlign w:val="center"/>
          </w:tcPr>
          <w:p w:rsidR="0011369F" w:rsidRPr="00A368BD" w:rsidRDefault="0011369F" w:rsidP="00E673CD">
            <w:pPr>
              <w:jc w:val="center"/>
              <w:rPr>
                <w:color w:val="000000"/>
                <w:sz w:val="18"/>
                <w:szCs w:val="18"/>
              </w:rPr>
            </w:pP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0.04</w:t>
            </w:r>
          </w:p>
        </w:tc>
        <w:tc>
          <w:tcPr>
            <w:tcW w:w="990" w:type="dxa"/>
            <w:shd w:val="clear" w:color="auto" w:fill="auto"/>
            <w:vAlign w:val="center"/>
          </w:tcPr>
          <w:p w:rsidR="0011369F" w:rsidRPr="00A368BD" w:rsidRDefault="0011369F" w:rsidP="00E673CD">
            <w:pPr>
              <w:jc w:val="center"/>
              <w:rPr>
                <w:color w:val="000000"/>
                <w:sz w:val="18"/>
                <w:szCs w:val="18"/>
              </w:rPr>
            </w:pPr>
          </w:p>
        </w:tc>
        <w:tc>
          <w:tcPr>
            <w:tcW w:w="144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 xml:space="preserve">1.0 </w:t>
            </w:r>
            <w:r w:rsidRPr="00A368BD">
              <w:rPr>
                <w:b/>
                <w:color w:val="000000"/>
                <w:sz w:val="18"/>
                <w:szCs w:val="18"/>
                <w:vertAlign w:val="superscript"/>
              </w:rPr>
              <w:t>4</w:t>
            </w:r>
          </w:p>
        </w:tc>
        <w:tc>
          <w:tcPr>
            <w:tcW w:w="1597"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 xml:space="preserve">0.8 </w:t>
            </w:r>
            <w:r w:rsidRPr="00A368BD">
              <w:rPr>
                <w:b/>
                <w:color w:val="000000"/>
                <w:sz w:val="18"/>
                <w:szCs w:val="18"/>
                <w:vertAlign w:val="superscript"/>
              </w:rPr>
              <w:t>4</w:t>
            </w:r>
          </w:p>
        </w:tc>
      </w:tr>
      <w:tr w:rsidR="0011369F" w:rsidRPr="00006968" w:rsidTr="002E7738">
        <w:tc>
          <w:tcPr>
            <w:tcW w:w="2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2012</w:t>
            </w:r>
          </w:p>
        </w:tc>
        <w:tc>
          <w:tcPr>
            <w:tcW w:w="108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0.4</w:t>
            </w:r>
          </w:p>
        </w:tc>
        <w:tc>
          <w:tcPr>
            <w:tcW w:w="1080" w:type="dxa"/>
            <w:shd w:val="clear" w:color="auto" w:fill="auto"/>
            <w:vAlign w:val="center"/>
          </w:tcPr>
          <w:p w:rsidR="0011369F" w:rsidRPr="00A368BD" w:rsidRDefault="0011369F" w:rsidP="00E673CD">
            <w:pPr>
              <w:jc w:val="center"/>
              <w:rPr>
                <w:color w:val="000000"/>
                <w:sz w:val="18"/>
                <w:szCs w:val="18"/>
              </w:rPr>
            </w:pPr>
          </w:p>
        </w:tc>
        <w:tc>
          <w:tcPr>
            <w:tcW w:w="990" w:type="dxa"/>
            <w:shd w:val="clear" w:color="auto" w:fill="auto"/>
            <w:noWrap/>
            <w:vAlign w:val="center"/>
            <w:hideMark/>
          </w:tcPr>
          <w:p w:rsidR="0011369F" w:rsidRPr="00A368BD" w:rsidRDefault="0011369F" w:rsidP="00E673CD">
            <w:pPr>
              <w:jc w:val="center"/>
              <w:rPr>
                <w:color w:val="000000"/>
                <w:sz w:val="18"/>
                <w:szCs w:val="18"/>
              </w:rPr>
            </w:pPr>
            <w:r w:rsidRPr="00A368BD">
              <w:rPr>
                <w:color w:val="000000"/>
                <w:sz w:val="18"/>
                <w:szCs w:val="18"/>
              </w:rPr>
              <w:t>0.6</w:t>
            </w:r>
          </w:p>
        </w:tc>
        <w:tc>
          <w:tcPr>
            <w:tcW w:w="990" w:type="dxa"/>
            <w:shd w:val="clear" w:color="auto" w:fill="auto"/>
            <w:vAlign w:val="center"/>
          </w:tcPr>
          <w:p w:rsidR="0011369F" w:rsidRPr="00A368BD" w:rsidRDefault="0011369F" w:rsidP="00E673CD">
            <w:pPr>
              <w:jc w:val="center"/>
              <w:rPr>
                <w:color w:val="000000"/>
                <w:sz w:val="18"/>
                <w:szCs w:val="18"/>
              </w:rPr>
            </w:pPr>
          </w:p>
        </w:tc>
        <w:tc>
          <w:tcPr>
            <w:tcW w:w="1440" w:type="dxa"/>
            <w:shd w:val="clear" w:color="auto" w:fill="auto"/>
            <w:noWrap/>
            <w:vAlign w:val="center"/>
            <w:hideMark/>
          </w:tcPr>
          <w:p w:rsidR="0011369F" w:rsidRPr="00A368BD" w:rsidRDefault="0011369F" w:rsidP="00E673CD">
            <w:pPr>
              <w:jc w:val="center"/>
              <w:rPr>
                <w:color w:val="000000"/>
                <w:sz w:val="18"/>
                <w:szCs w:val="18"/>
              </w:rPr>
            </w:pPr>
          </w:p>
        </w:tc>
        <w:tc>
          <w:tcPr>
            <w:tcW w:w="1597" w:type="dxa"/>
            <w:shd w:val="clear" w:color="auto" w:fill="auto"/>
            <w:noWrap/>
            <w:vAlign w:val="center"/>
            <w:hideMark/>
          </w:tcPr>
          <w:p w:rsidR="0011369F" w:rsidRPr="00A368BD" w:rsidRDefault="0011369F" w:rsidP="00E673CD">
            <w:pPr>
              <w:jc w:val="center"/>
              <w:rPr>
                <w:color w:val="000000"/>
                <w:sz w:val="18"/>
                <w:szCs w:val="18"/>
              </w:rPr>
            </w:pPr>
          </w:p>
        </w:tc>
      </w:tr>
      <w:tr w:rsidR="0011369F" w:rsidRPr="00006968" w:rsidTr="002E7738">
        <w:tc>
          <w:tcPr>
            <w:tcW w:w="2080" w:type="dxa"/>
            <w:shd w:val="clear" w:color="auto" w:fill="auto"/>
            <w:noWrap/>
            <w:vAlign w:val="center"/>
            <w:hideMark/>
          </w:tcPr>
          <w:p w:rsidR="0011369F" w:rsidRPr="00A368BD" w:rsidRDefault="0011369F" w:rsidP="00E673CD">
            <w:pPr>
              <w:jc w:val="center"/>
              <w:rPr>
                <w:b/>
                <w:color w:val="000000"/>
                <w:sz w:val="18"/>
                <w:szCs w:val="18"/>
              </w:rPr>
            </w:pPr>
            <w:r w:rsidRPr="00A368BD">
              <w:rPr>
                <w:b/>
                <w:color w:val="000000"/>
                <w:sz w:val="18"/>
                <w:szCs w:val="18"/>
              </w:rPr>
              <w:t>Average</w:t>
            </w:r>
          </w:p>
        </w:tc>
        <w:tc>
          <w:tcPr>
            <w:tcW w:w="1080" w:type="dxa"/>
            <w:shd w:val="clear" w:color="auto" w:fill="auto"/>
            <w:noWrap/>
            <w:vAlign w:val="center"/>
            <w:hideMark/>
          </w:tcPr>
          <w:p w:rsidR="0011369F" w:rsidRPr="00A368BD" w:rsidRDefault="0011369F" w:rsidP="00E673CD">
            <w:pPr>
              <w:jc w:val="center"/>
              <w:rPr>
                <w:b/>
                <w:color w:val="000000"/>
                <w:sz w:val="18"/>
                <w:szCs w:val="18"/>
              </w:rPr>
            </w:pPr>
            <w:r w:rsidRPr="00A368BD">
              <w:rPr>
                <w:b/>
                <w:color w:val="000000"/>
                <w:sz w:val="18"/>
                <w:szCs w:val="18"/>
              </w:rPr>
              <w:t>0.3</w:t>
            </w:r>
          </w:p>
        </w:tc>
        <w:tc>
          <w:tcPr>
            <w:tcW w:w="1080" w:type="dxa"/>
            <w:shd w:val="clear" w:color="auto" w:fill="auto"/>
            <w:vAlign w:val="center"/>
          </w:tcPr>
          <w:p w:rsidR="0011369F" w:rsidRPr="00A368BD" w:rsidRDefault="0011369F" w:rsidP="00E673CD">
            <w:pPr>
              <w:jc w:val="center"/>
              <w:rPr>
                <w:b/>
                <w:color w:val="000000"/>
                <w:sz w:val="18"/>
                <w:szCs w:val="18"/>
              </w:rPr>
            </w:pPr>
            <w:r w:rsidRPr="00A368BD">
              <w:rPr>
                <w:b/>
                <w:color w:val="000000"/>
                <w:sz w:val="18"/>
                <w:szCs w:val="18"/>
              </w:rPr>
              <w:t>0.5</w:t>
            </w:r>
          </w:p>
        </w:tc>
        <w:tc>
          <w:tcPr>
            <w:tcW w:w="990" w:type="dxa"/>
            <w:shd w:val="clear" w:color="auto" w:fill="auto"/>
            <w:noWrap/>
            <w:vAlign w:val="center"/>
            <w:hideMark/>
          </w:tcPr>
          <w:p w:rsidR="0011369F" w:rsidRPr="00A368BD" w:rsidRDefault="0011369F" w:rsidP="00E673CD">
            <w:pPr>
              <w:jc w:val="center"/>
              <w:rPr>
                <w:b/>
                <w:color w:val="000000"/>
                <w:sz w:val="18"/>
                <w:szCs w:val="18"/>
              </w:rPr>
            </w:pPr>
            <w:r w:rsidRPr="00A368BD">
              <w:rPr>
                <w:b/>
                <w:color w:val="000000"/>
                <w:sz w:val="18"/>
                <w:szCs w:val="18"/>
              </w:rPr>
              <w:t>0.3</w:t>
            </w:r>
          </w:p>
        </w:tc>
        <w:tc>
          <w:tcPr>
            <w:tcW w:w="990" w:type="dxa"/>
            <w:shd w:val="clear" w:color="auto" w:fill="auto"/>
            <w:vAlign w:val="center"/>
          </w:tcPr>
          <w:p w:rsidR="0011369F" w:rsidRPr="00A368BD" w:rsidRDefault="0011369F" w:rsidP="00E673CD">
            <w:pPr>
              <w:jc w:val="center"/>
              <w:rPr>
                <w:b/>
                <w:color w:val="000000"/>
                <w:sz w:val="18"/>
                <w:szCs w:val="18"/>
              </w:rPr>
            </w:pPr>
            <w:r w:rsidRPr="00A368BD">
              <w:rPr>
                <w:b/>
                <w:color w:val="000000"/>
                <w:sz w:val="18"/>
                <w:szCs w:val="18"/>
              </w:rPr>
              <w:t>0.2</w:t>
            </w:r>
          </w:p>
        </w:tc>
        <w:tc>
          <w:tcPr>
            <w:tcW w:w="1440" w:type="dxa"/>
            <w:shd w:val="clear" w:color="auto" w:fill="auto"/>
            <w:noWrap/>
            <w:vAlign w:val="center"/>
            <w:hideMark/>
          </w:tcPr>
          <w:p w:rsidR="0011369F" w:rsidRPr="00A368BD" w:rsidRDefault="0011369F" w:rsidP="00E673CD">
            <w:pPr>
              <w:jc w:val="center"/>
              <w:rPr>
                <w:b/>
                <w:color w:val="000000"/>
                <w:sz w:val="18"/>
                <w:szCs w:val="18"/>
              </w:rPr>
            </w:pPr>
            <w:r w:rsidRPr="00A368BD">
              <w:rPr>
                <w:b/>
                <w:color w:val="000000"/>
                <w:sz w:val="18"/>
                <w:szCs w:val="18"/>
              </w:rPr>
              <w:t>0.6</w:t>
            </w:r>
          </w:p>
        </w:tc>
        <w:tc>
          <w:tcPr>
            <w:tcW w:w="1597" w:type="dxa"/>
            <w:shd w:val="clear" w:color="auto" w:fill="auto"/>
            <w:noWrap/>
            <w:vAlign w:val="center"/>
            <w:hideMark/>
          </w:tcPr>
          <w:p w:rsidR="0011369F" w:rsidRPr="00A368BD" w:rsidRDefault="0011369F" w:rsidP="00E673CD">
            <w:pPr>
              <w:jc w:val="center"/>
              <w:rPr>
                <w:b/>
                <w:color w:val="000000"/>
                <w:sz w:val="18"/>
                <w:szCs w:val="18"/>
              </w:rPr>
            </w:pPr>
            <w:r w:rsidRPr="00A368BD">
              <w:rPr>
                <w:b/>
                <w:color w:val="000000"/>
                <w:sz w:val="18"/>
                <w:szCs w:val="18"/>
              </w:rPr>
              <w:t>0.7</w:t>
            </w:r>
          </w:p>
        </w:tc>
      </w:tr>
      <w:tr w:rsidR="0011369F" w:rsidRPr="00006968" w:rsidTr="002E7738">
        <w:tc>
          <w:tcPr>
            <w:tcW w:w="9257" w:type="dxa"/>
            <w:gridSpan w:val="7"/>
            <w:shd w:val="clear" w:color="auto" w:fill="auto"/>
            <w:noWrap/>
            <w:vAlign w:val="bottom"/>
            <w:hideMark/>
          </w:tcPr>
          <w:p w:rsidR="0011369F" w:rsidRPr="00A368BD" w:rsidRDefault="0011369F" w:rsidP="00C070A4">
            <w:pPr>
              <w:numPr>
                <w:ilvl w:val="0"/>
                <w:numId w:val="18"/>
              </w:numPr>
              <w:spacing w:before="20" w:after="20"/>
              <w:ind w:left="346"/>
              <w:rPr>
                <w:color w:val="000000"/>
                <w:sz w:val="16"/>
                <w:szCs w:val="16"/>
              </w:rPr>
            </w:pPr>
            <w:r w:rsidRPr="00A368BD">
              <w:rPr>
                <w:color w:val="000000"/>
                <w:sz w:val="16"/>
                <w:szCs w:val="16"/>
              </w:rPr>
              <w:t>Parts per million by volume @ 15% O</w:t>
            </w:r>
            <w:r w:rsidRPr="00A368BD">
              <w:rPr>
                <w:color w:val="000000"/>
                <w:sz w:val="16"/>
                <w:szCs w:val="16"/>
                <w:vertAlign w:val="subscript"/>
              </w:rPr>
              <w:t>2</w:t>
            </w:r>
            <w:r w:rsidRPr="00A368BD">
              <w:rPr>
                <w:color w:val="000000"/>
                <w:sz w:val="16"/>
                <w:szCs w:val="16"/>
              </w:rPr>
              <w:t xml:space="preserve">.  </w:t>
            </w:r>
          </w:p>
          <w:p w:rsidR="0011369F" w:rsidRPr="00A368BD" w:rsidRDefault="0011369F" w:rsidP="00C070A4">
            <w:pPr>
              <w:numPr>
                <w:ilvl w:val="0"/>
                <w:numId w:val="18"/>
              </w:numPr>
              <w:spacing w:after="20"/>
              <w:ind w:left="346"/>
              <w:rPr>
                <w:color w:val="000000"/>
                <w:sz w:val="16"/>
                <w:szCs w:val="16"/>
              </w:rPr>
            </w:pPr>
            <w:r w:rsidRPr="00A368BD">
              <w:rPr>
                <w:color w:val="000000"/>
                <w:sz w:val="16"/>
                <w:szCs w:val="16"/>
              </w:rPr>
              <w:t>Permit limit is 12 ppmvd @ 15% O</w:t>
            </w:r>
            <w:r w:rsidRPr="00A368BD">
              <w:rPr>
                <w:color w:val="000000"/>
                <w:sz w:val="16"/>
                <w:szCs w:val="16"/>
                <w:vertAlign w:val="subscript"/>
              </w:rPr>
              <w:t>2</w:t>
            </w:r>
            <w:r w:rsidRPr="00A368BD">
              <w:rPr>
                <w:color w:val="000000"/>
                <w:sz w:val="16"/>
                <w:szCs w:val="16"/>
              </w:rPr>
              <w:t xml:space="preserve"> for gas firing and 20 ppmvd @ 15% O</w:t>
            </w:r>
            <w:r w:rsidRPr="00A368BD">
              <w:rPr>
                <w:color w:val="000000"/>
                <w:sz w:val="16"/>
                <w:szCs w:val="16"/>
                <w:vertAlign w:val="subscript"/>
              </w:rPr>
              <w:t>2</w:t>
            </w:r>
            <w:r w:rsidRPr="00A368BD">
              <w:rPr>
                <w:color w:val="000000"/>
                <w:sz w:val="16"/>
                <w:szCs w:val="16"/>
              </w:rPr>
              <w:t xml:space="preserve"> for oil firing.</w:t>
            </w:r>
          </w:p>
          <w:p w:rsidR="0011369F" w:rsidRPr="00A368BD" w:rsidRDefault="0011369F" w:rsidP="00C070A4">
            <w:pPr>
              <w:numPr>
                <w:ilvl w:val="0"/>
                <w:numId w:val="18"/>
              </w:numPr>
              <w:spacing w:after="20"/>
              <w:ind w:left="346"/>
              <w:rPr>
                <w:color w:val="000000"/>
                <w:sz w:val="16"/>
                <w:szCs w:val="16"/>
              </w:rPr>
            </w:pPr>
            <w:r w:rsidRPr="00A368BD">
              <w:rPr>
                <w:color w:val="000000"/>
                <w:sz w:val="16"/>
                <w:szCs w:val="16"/>
              </w:rPr>
              <w:t>Initial stack test to validate emission rate of 9 ppmvd @15% O</w:t>
            </w:r>
            <w:r w:rsidRPr="00A368BD">
              <w:rPr>
                <w:color w:val="000000"/>
                <w:sz w:val="16"/>
                <w:szCs w:val="16"/>
                <w:vertAlign w:val="subscript"/>
              </w:rPr>
              <w:t>2</w:t>
            </w:r>
            <w:r w:rsidRPr="00A368BD">
              <w:rPr>
                <w:color w:val="000000"/>
                <w:sz w:val="16"/>
                <w:szCs w:val="16"/>
              </w:rPr>
              <w:t xml:space="preserve"> or less.  Subsequent compliance by CEMS to shown annual emission less than 100 TPY to avoid BACT.</w:t>
            </w:r>
          </w:p>
          <w:p w:rsidR="0011369F" w:rsidRPr="00006968" w:rsidRDefault="0011369F" w:rsidP="00C070A4">
            <w:pPr>
              <w:numPr>
                <w:ilvl w:val="0"/>
                <w:numId w:val="18"/>
              </w:numPr>
              <w:spacing w:after="20"/>
              <w:ind w:left="346"/>
              <w:rPr>
                <w:color w:val="000000"/>
                <w:sz w:val="18"/>
                <w:szCs w:val="18"/>
              </w:rPr>
            </w:pPr>
            <w:r w:rsidRPr="00A368BD">
              <w:rPr>
                <w:color w:val="000000"/>
                <w:sz w:val="16"/>
                <w:szCs w:val="16"/>
              </w:rPr>
              <w:t>Results from CO-CEMS data taken when demonstrating compliance at (near) full load.</w:t>
            </w:r>
          </w:p>
        </w:tc>
      </w:tr>
    </w:tbl>
    <w:p w:rsidR="00A368BD" w:rsidRDefault="00927CE6" w:rsidP="00E673CD">
      <w:pPr>
        <w:pStyle w:val="BodyText2"/>
        <w:widowControl w:val="0"/>
        <w:numPr>
          <w:ilvl w:val="0"/>
          <w:numId w:val="0"/>
        </w:numPr>
        <w:spacing w:before="120"/>
        <w:jc w:val="center"/>
        <w:rPr>
          <w:szCs w:val="22"/>
        </w:rPr>
      </w:pPr>
      <w:r w:rsidRPr="00375763">
        <w:rPr>
          <w:noProof/>
          <w:szCs w:val="24"/>
        </w:rPr>
        <w:drawing>
          <wp:inline distT="0" distB="0" distL="0" distR="0">
            <wp:extent cx="4775200" cy="2006600"/>
            <wp:effectExtent l="19050" t="19050" r="25400" b="1270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75200" cy="2006600"/>
                    </a:xfrm>
                    <a:prstGeom prst="rect">
                      <a:avLst/>
                    </a:prstGeom>
                    <a:noFill/>
                    <a:ln w="6350" cmpd="sng">
                      <a:solidFill>
                        <a:schemeClr val="tx1"/>
                      </a:solidFill>
                      <a:miter lim="800000"/>
                      <a:headEnd/>
                      <a:tailEnd/>
                    </a:ln>
                    <a:effectLst/>
                  </pic:spPr>
                </pic:pic>
              </a:graphicData>
            </a:graphic>
          </wp:inline>
        </w:drawing>
      </w:r>
    </w:p>
    <w:p w:rsidR="00A368BD" w:rsidRPr="00D27077" w:rsidRDefault="00D27077" w:rsidP="00D27077">
      <w:pPr>
        <w:pStyle w:val="Caption"/>
        <w:spacing w:before="0"/>
        <w:jc w:val="center"/>
        <w:rPr>
          <w:rFonts w:ascii="Times New Roman Bold" w:hAnsi="Times New Roman Bold"/>
          <w:caps w:val="0"/>
          <w:szCs w:val="22"/>
        </w:rPr>
      </w:pPr>
      <w:bookmarkStart w:id="30" w:name="_Ref365551872"/>
      <w:r w:rsidRPr="00D27077">
        <w:rPr>
          <w:rFonts w:ascii="Times New Roman Bold" w:hAnsi="Times New Roman Bold"/>
          <w:caps w:val="0"/>
        </w:rPr>
        <w:t xml:space="preserve">Figure </w:t>
      </w:r>
      <w:r w:rsidRPr="00D27077">
        <w:rPr>
          <w:rFonts w:ascii="Times New Roman Bold" w:hAnsi="Times New Roman Bold"/>
          <w:caps w:val="0"/>
        </w:rPr>
        <w:fldChar w:fldCharType="begin"/>
      </w:r>
      <w:r w:rsidRPr="00D27077">
        <w:rPr>
          <w:rFonts w:ascii="Times New Roman Bold" w:hAnsi="Times New Roman Bold"/>
          <w:caps w:val="0"/>
        </w:rPr>
        <w:instrText xml:space="preserve"> SEQ Figure \* ARABIC </w:instrText>
      </w:r>
      <w:r w:rsidRPr="00D27077">
        <w:rPr>
          <w:rFonts w:ascii="Times New Roman Bold" w:hAnsi="Times New Roman Bold"/>
          <w:caps w:val="0"/>
        </w:rPr>
        <w:fldChar w:fldCharType="separate"/>
      </w:r>
      <w:r w:rsidR="007F3589">
        <w:rPr>
          <w:rFonts w:ascii="Times New Roman Bold" w:hAnsi="Times New Roman Bold"/>
          <w:caps w:val="0"/>
          <w:noProof/>
        </w:rPr>
        <w:t>16</w:t>
      </w:r>
      <w:r w:rsidRPr="00D27077">
        <w:rPr>
          <w:rFonts w:ascii="Times New Roman Bold" w:hAnsi="Times New Roman Bold"/>
          <w:caps w:val="0"/>
        </w:rPr>
        <w:fldChar w:fldCharType="end"/>
      </w:r>
      <w:bookmarkEnd w:id="30"/>
      <w:r w:rsidRPr="00D27077">
        <w:rPr>
          <w:rFonts w:ascii="Times New Roman Bold" w:hAnsi="Times New Roman Bold"/>
          <w:caps w:val="0"/>
        </w:rPr>
        <w:t xml:space="preserve">.  </w:t>
      </w:r>
      <w:r w:rsidR="00A368BD" w:rsidRPr="00D27077">
        <w:rPr>
          <w:rFonts w:ascii="Times New Roman Bold" w:hAnsi="Times New Roman Bold"/>
          <w:caps w:val="0"/>
          <w:szCs w:val="22"/>
        </w:rPr>
        <w:t>Average CO Emissions versus Percent Load for GE 7FA.03 Combustion Turbines</w:t>
      </w:r>
      <w:r>
        <w:rPr>
          <w:rFonts w:ascii="Times New Roman Bold" w:hAnsi="Times New Roman Bold"/>
          <w:caps w:val="0"/>
          <w:szCs w:val="22"/>
        </w:rPr>
        <w:t>.</w:t>
      </w:r>
    </w:p>
    <w:p w:rsidR="007D1B9F" w:rsidRDefault="00D27077" w:rsidP="008626D6">
      <w:pPr>
        <w:pStyle w:val="BodyText2"/>
        <w:widowControl w:val="0"/>
        <w:numPr>
          <w:ilvl w:val="0"/>
          <w:numId w:val="0"/>
        </w:numPr>
        <w:jc w:val="left"/>
        <w:rPr>
          <w:szCs w:val="22"/>
        </w:rPr>
      </w:pPr>
      <w:r w:rsidRPr="009650F1">
        <w:rPr>
          <w:b/>
          <w:szCs w:val="22"/>
        </w:rPr>
        <w:fldChar w:fldCharType="begin"/>
      </w:r>
      <w:r w:rsidRPr="009650F1">
        <w:rPr>
          <w:b/>
          <w:szCs w:val="22"/>
        </w:rPr>
        <w:instrText xml:space="preserve"> REF _Ref365551872 \h  \* MERGEFORMAT </w:instrText>
      </w:r>
      <w:r w:rsidRPr="009650F1">
        <w:rPr>
          <w:b/>
          <w:szCs w:val="22"/>
        </w:rPr>
      </w:r>
      <w:r w:rsidRPr="009650F1">
        <w:rPr>
          <w:b/>
          <w:szCs w:val="22"/>
        </w:rPr>
        <w:fldChar w:fldCharType="separate"/>
      </w:r>
      <w:r w:rsidR="007F3589" w:rsidRPr="007F3589">
        <w:rPr>
          <w:b/>
        </w:rPr>
        <w:t xml:space="preserve">Figure </w:t>
      </w:r>
      <w:r w:rsidR="007F3589" w:rsidRPr="007F3589">
        <w:rPr>
          <w:b/>
          <w:noProof/>
        </w:rPr>
        <w:t>16</w:t>
      </w:r>
      <w:r w:rsidRPr="009650F1">
        <w:rPr>
          <w:b/>
          <w:szCs w:val="22"/>
        </w:rPr>
        <w:fldChar w:fldCharType="end"/>
      </w:r>
      <w:r>
        <w:rPr>
          <w:szCs w:val="22"/>
        </w:rPr>
        <w:t xml:space="preserve"> above </w:t>
      </w:r>
      <w:r w:rsidR="004C68E3">
        <w:rPr>
          <w:szCs w:val="22"/>
        </w:rPr>
        <w:t xml:space="preserve">is </w:t>
      </w:r>
      <w:r w:rsidR="00125F2A">
        <w:rPr>
          <w:szCs w:val="22"/>
        </w:rPr>
        <w:t xml:space="preserve">from </w:t>
      </w:r>
      <w:r>
        <w:rPr>
          <w:szCs w:val="22"/>
        </w:rPr>
        <w:t>a</w:t>
      </w:r>
      <w:r w:rsidR="004C68E3" w:rsidRPr="00531BF5">
        <w:rPr>
          <w:szCs w:val="22"/>
        </w:rPr>
        <w:t xml:space="preserve"> GE article </w:t>
      </w:r>
      <w:r w:rsidR="00D57505">
        <w:rPr>
          <w:szCs w:val="22"/>
        </w:rPr>
        <w:t xml:space="preserve">and likely relates to CO emissions while firing natural gas.  </w:t>
      </w:r>
      <w:r w:rsidR="002E7545">
        <w:rPr>
          <w:szCs w:val="22"/>
        </w:rPr>
        <w:t>T</w:t>
      </w:r>
      <w:r w:rsidR="00D57505">
        <w:rPr>
          <w:szCs w:val="22"/>
        </w:rPr>
        <w:t xml:space="preserve">he data are </w:t>
      </w:r>
      <w:r w:rsidR="004C68E3" w:rsidRPr="00531BF5">
        <w:rPr>
          <w:szCs w:val="22"/>
        </w:rPr>
        <w:t>consistent with th</w:t>
      </w:r>
      <w:r w:rsidR="00AF135C">
        <w:rPr>
          <w:szCs w:val="22"/>
        </w:rPr>
        <w:t xml:space="preserve">ose </w:t>
      </w:r>
      <w:r w:rsidR="004C68E3" w:rsidRPr="00531BF5">
        <w:rPr>
          <w:szCs w:val="22"/>
        </w:rPr>
        <w:t>collected by the Department</w:t>
      </w:r>
      <w:r w:rsidR="00D57505">
        <w:rPr>
          <w:szCs w:val="22"/>
        </w:rPr>
        <w:t xml:space="preserve"> for both natural gas </w:t>
      </w:r>
      <w:r w:rsidR="00D57505" w:rsidRPr="00D57505">
        <w:rPr>
          <w:szCs w:val="22"/>
          <w:u w:val="single"/>
        </w:rPr>
        <w:t>and</w:t>
      </w:r>
      <w:r w:rsidR="00D57505">
        <w:rPr>
          <w:szCs w:val="22"/>
        </w:rPr>
        <w:t xml:space="preserve"> fuel oil.</w:t>
      </w:r>
      <w:r w:rsidR="004C68E3" w:rsidRPr="00531BF5">
        <w:rPr>
          <w:szCs w:val="22"/>
        </w:rPr>
        <w:t xml:space="preserve"> </w:t>
      </w:r>
    </w:p>
    <w:p w:rsidR="00FB3BD5" w:rsidRPr="00DD52D3" w:rsidRDefault="00FB3BD5" w:rsidP="008626D6">
      <w:pPr>
        <w:pStyle w:val="BodyText2"/>
        <w:widowControl w:val="0"/>
        <w:numPr>
          <w:ilvl w:val="0"/>
          <w:numId w:val="0"/>
        </w:numPr>
        <w:jc w:val="left"/>
        <w:rPr>
          <w:b/>
          <w:szCs w:val="22"/>
          <w:u w:val="single"/>
        </w:rPr>
      </w:pPr>
      <w:r w:rsidRPr="00DD52D3">
        <w:rPr>
          <w:b/>
          <w:szCs w:val="22"/>
          <w:u w:val="single"/>
        </w:rPr>
        <w:t>Siemens SGT6-5000F and 8000H CT</w:t>
      </w:r>
    </w:p>
    <w:p w:rsidR="00FB3BD5" w:rsidRDefault="00FB3BD5" w:rsidP="00FB3BD5">
      <w:pPr>
        <w:pStyle w:val="BodyText2"/>
        <w:widowControl w:val="0"/>
        <w:numPr>
          <w:ilvl w:val="0"/>
          <w:numId w:val="0"/>
        </w:numPr>
        <w:jc w:val="left"/>
        <w:rPr>
          <w:szCs w:val="22"/>
        </w:rPr>
      </w:pPr>
      <w:r>
        <w:fldChar w:fldCharType="begin"/>
      </w:r>
      <w:r>
        <w:instrText xml:space="preserve"> REF _Ref369002690 \h  \* MERGEFORMAT </w:instrText>
      </w:r>
      <w:r>
        <w:fldChar w:fldCharType="separate"/>
      </w:r>
      <w:r w:rsidR="007F3589" w:rsidRPr="007F3589">
        <w:rPr>
          <w:b/>
        </w:rPr>
        <w:t xml:space="preserve">Figure </w:t>
      </w:r>
      <w:r w:rsidR="007F3589" w:rsidRPr="007F3589">
        <w:rPr>
          <w:b/>
          <w:noProof/>
        </w:rPr>
        <w:t>17</w:t>
      </w:r>
      <w:r>
        <w:fldChar w:fldCharType="end"/>
      </w:r>
      <w:r w:rsidRPr="00DD52D3">
        <w:rPr>
          <w:szCs w:val="22"/>
        </w:rPr>
        <w:t xml:space="preserve"> and </w:t>
      </w:r>
      <w:r>
        <w:fldChar w:fldCharType="begin"/>
      </w:r>
      <w:r>
        <w:instrText xml:space="preserve"> REF _Ref369002700 \h  \* MERGEFORMAT </w:instrText>
      </w:r>
      <w:r>
        <w:fldChar w:fldCharType="separate"/>
      </w:r>
      <w:r w:rsidR="007F3589" w:rsidRPr="007F3589">
        <w:rPr>
          <w:b/>
        </w:rPr>
        <w:t xml:space="preserve">Figure </w:t>
      </w:r>
      <w:r w:rsidR="007F3589" w:rsidRPr="007F3589">
        <w:rPr>
          <w:b/>
          <w:noProof/>
        </w:rPr>
        <w:t>18</w:t>
      </w:r>
      <w:r>
        <w:fldChar w:fldCharType="end"/>
      </w:r>
      <w:r>
        <w:rPr>
          <w:szCs w:val="22"/>
        </w:rPr>
        <w:t xml:space="preserve"> below show CO CEMS emissions data in ppmvd corrected to 15% oxygen measured at the bypass stack, i.e., in simple cycle mode,</w:t>
      </w:r>
      <w:r>
        <w:rPr>
          <w:color w:val="000000"/>
          <w:szCs w:val="22"/>
        </w:rPr>
        <w:t xml:space="preserve"> while </w:t>
      </w:r>
      <w:r>
        <w:rPr>
          <w:szCs w:val="22"/>
        </w:rPr>
        <w:t>firing natural gas from a Siemens</w:t>
      </w:r>
      <w:r>
        <w:rPr>
          <w:color w:val="000000"/>
          <w:szCs w:val="22"/>
        </w:rPr>
        <w:t xml:space="preserve"> SGT6-5000F CT. </w:t>
      </w:r>
      <w:r>
        <w:rPr>
          <w:szCs w:val="22"/>
        </w:rPr>
        <w:t xml:space="preserve"> CO emission data is reported for</w:t>
      </w:r>
      <w:r>
        <w:rPr>
          <w:color w:val="000000"/>
          <w:szCs w:val="22"/>
        </w:rPr>
        <w:t xml:space="preserve"> loads of 100% and 55%.  The Siemens CT is Unit 4A at the Duke Power Bartow Plant.  </w:t>
      </w:r>
      <w:r>
        <w:rPr>
          <w:szCs w:val="22"/>
        </w:rPr>
        <w:t>Unit 4A is part of a</w:t>
      </w:r>
      <w:r w:rsidRPr="001C6F97">
        <w:rPr>
          <w:szCs w:val="22"/>
        </w:rPr>
        <w:t xml:space="preserve"> combined cycle system consist</w:t>
      </w:r>
      <w:r>
        <w:rPr>
          <w:szCs w:val="22"/>
        </w:rPr>
        <w:t>ing</w:t>
      </w:r>
      <w:r w:rsidRPr="001C6F97">
        <w:rPr>
          <w:szCs w:val="22"/>
        </w:rPr>
        <w:t xml:space="preserve"> of: four </w:t>
      </w:r>
      <w:r>
        <w:rPr>
          <w:szCs w:val="22"/>
        </w:rPr>
        <w:t xml:space="preserve">Siemens </w:t>
      </w:r>
      <w:r w:rsidRPr="001C6F97">
        <w:rPr>
          <w:szCs w:val="22"/>
        </w:rPr>
        <w:t>Model SGT6-5000F CT with a nominal rating of 215 MW at ISO conditions when practicing power augmentation; four HRSG each equipped with a SCR and a nominal 500 MMBtu/hr duct burner; and a single nominal 420 MW ST</w:t>
      </w:r>
      <w:r>
        <w:rPr>
          <w:szCs w:val="22"/>
        </w:rPr>
        <w:t>E</w:t>
      </w:r>
      <w:r w:rsidRPr="001C6F97">
        <w:rPr>
          <w:szCs w:val="22"/>
        </w:rPr>
        <w:t>G.</w:t>
      </w:r>
      <w:r>
        <w:rPr>
          <w:szCs w:val="22"/>
        </w:rPr>
        <w:t xml:space="preserve">  The units are capable of operating in simple cycle mode via a by-pass stack.</w:t>
      </w:r>
    </w:p>
    <w:p w:rsidR="00E717FD" w:rsidRDefault="00E717FD" w:rsidP="00E717FD">
      <w:pPr>
        <w:pStyle w:val="BodyText2"/>
        <w:widowControl w:val="0"/>
        <w:numPr>
          <w:ilvl w:val="0"/>
          <w:numId w:val="0"/>
        </w:numPr>
        <w:jc w:val="left"/>
        <w:rPr>
          <w:color w:val="000000"/>
          <w:szCs w:val="22"/>
        </w:rPr>
      </w:pPr>
      <w:r>
        <w:rPr>
          <w:color w:val="000000"/>
          <w:szCs w:val="22"/>
        </w:rPr>
        <w:t xml:space="preserve">As seen </w:t>
      </w:r>
      <w:r>
        <w:fldChar w:fldCharType="begin"/>
      </w:r>
      <w:r>
        <w:instrText xml:space="preserve"> REF _Ref369002690 \h  \* MERGEFORMAT </w:instrText>
      </w:r>
      <w:r>
        <w:fldChar w:fldCharType="separate"/>
      </w:r>
      <w:r w:rsidRPr="007F3589">
        <w:rPr>
          <w:b/>
        </w:rPr>
        <w:t xml:space="preserve">Figure </w:t>
      </w:r>
      <w:r w:rsidRPr="007F3589">
        <w:rPr>
          <w:b/>
          <w:noProof/>
        </w:rPr>
        <w:t>17</w:t>
      </w:r>
      <w:r>
        <w:fldChar w:fldCharType="end"/>
      </w:r>
      <w:r>
        <w:rPr>
          <w:color w:val="000000"/>
          <w:szCs w:val="22"/>
        </w:rPr>
        <w:t xml:space="preserve">, at 100% loading, the Siemens CT CO emissions average less than 1 ppmvd, while according </w:t>
      </w:r>
      <w:r w:rsidRPr="005B7071">
        <w:rPr>
          <w:color w:val="000000"/>
          <w:szCs w:val="22"/>
        </w:rPr>
        <w:t xml:space="preserve">to </w:t>
      </w:r>
      <w:r>
        <w:fldChar w:fldCharType="begin"/>
      </w:r>
      <w:r>
        <w:instrText xml:space="preserve"> REF _Ref369005357 \h  \* MERGEFORMAT </w:instrText>
      </w:r>
      <w:r>
        <w:fldChar w:fldCharType="separate"/>
      </w:r>
      <w:r w:rsidRPr="007F3589">
        <w:rPr>
          <w:b/>
        </w:rPr>
        <w:t xml:space="preserve">Figure </w:t>
      </w:r>
      <w:r w:rsidRPr="007F3589">
        <w:rPr>
          <w:b/>
          <w:noProof/>
        </w:rPr>
        <w:t>18</w:t>
      </w:r>
      <w:r>
        <w:fldChar w:fldCharType="end"/>
      </w:r>
      <w:r>
        <w:rPr>
          <w:color w:val="000000"/>
          <w:szCs w:val="22"/>
        </w:rPr>
        <w:t xml:space="preserve"> at 55% load CO emission are less than 4 ppmvd.  The actual permit limit (</w:t>
      </w:r>
      <w:r w:rsidRPr="00DD52D3">
        <w:rPr>
          <w:color w:val="000000"/>
          <w:szCs w:val="22"/>
        </w:rPr>
        <w:t>DEP File No. 1030011-010-AC)</w:t>
      </w:r>
      <w:r>
        <w:rPr>
          <w:color w:val="000000"/>
          <w:szCs w:val="22"/>
        </w:rPr>
        <w:t xml:space="preserve"> is 4.1 </w:t>
      </w:r>
      <w:r w:rsidRPr="00DD52D3">
        <w:rPr>
          <w:color w:val="000000"/>
          <w:szCs w:val="22"/>
        </w:rPr>
        <w:t>ppmvd @ 15% O</w:t>
      </w:r>
      <w:r w:rsidRPr="00DD52D3">
        <w:rPr>
          <w:color w:val="000000"/>
          <w:szCs w:val="22"/>
          <w:vertAlign w:val="subscript"/>
        </w:rPr>
        <w:t>2</w:t>
      </w:r>
      <w:r>
        <w:rPr>
          <w:color w:val="000000"/>
          <w:szCs w:val="22"/>
        </w:rPr>
        <w:t xml:space="preserve"> in simple cycle mode and combined cycle mode without firing duct burners.  Compliance with this limit is based on </w:t>
      </w:r>
      <w:r w:rsidRPr="00A242C3">
        <w:rPr>
          <w:color w:val="000000"/>
          <w:szCs w:val="22"/>
        </w:rPr>
        <w:t>3-</w:t>
      </w:r>
      <w:r>
        <w:rPr>
          <w:color w:val="000000"/>
          <w:szCs w:val="22"/>
        </w:rPr>
        <w:t>r</w:t>
      </w:r>
      <w:r w:rsidRPr="00A242C3">
        <w:rPr>
          <w:color w:val="000000"/>
          <w:szCs w:val="22"/>
        </w:rPr>
        <w:t xml:space="preserve">un </w:t>
      </w:r>
      <w:r>
        <w:rPr>
          <w:color w:val="000000"/>
          <w:szCs w:val="22"/>
        </w:rPr>
        <w:t>a</w:t>
      </w:r>
      <w:r w:rsidRPr="00A242C3">
        <w:rPr>
          <w:color w:val="000000"/>
          <w:szCs w:val="22"/>
        </w:rPr>
        <w:t xml:space="preserve">verage </w:t>
      </w:r>
      <w:r>
        <w:rPr>
          <w:color w:val="000000"/>
          <w:szCs w:val="22"/>
        </w:rPr>
        <w:t>of s</w:t>
      </w:r>
      <w:r w:rsidRPr="00A242C3">
        <w:rPr>
          <w:color w:val="000000"/>
          <w:szCs w:val="22"/>
        </w:rPr>
        <w:t xml:space="preserve">tack </w:t>
      </w:r>
      <w:r>
        <w:rPr>
          <w:color w:val="000000"/>
          <w:szCs w:val="22"/>
        </w:rPr>
        <w:t>t</w:t>
      </w:r>
      <w:r w:rsidRPr="00A242C3">
        <w:rPr>
          <w:color w:val="000000"/>
          <w:szCs w:val="22"/>
        </w:rPr>
        <w:t>est</w:t>
      </w:r>
      <w:r>
        <w:rPr>
          <w:color w:val="000000"/>
          <w:szCs w:val="22"/>
        </w:rPr>
        <w:t>s.</w:t>
      </w:r>
      <w:r w:rsidRPr="00A242C3">
        <w:rPr>
          <w:color w:val="000000"/>
          <w:szCs w:val="22"/>
        </w:rPr>
        <w:t xml:space="preserve"> </w:t>
      </w:r>
      <w:r>
        <w:rPr>
          <w:color w:val="000000"/>
          <w:szCs w:val="22"/>
        </w:rPr>
        <w:t xml:space="preserve"> This data </w:t>
      </w:r>
      <w:r>
        <w:rPr>
          <w:color w:val="000000"/>
          <w:szCs w:val="22"/>
        </w:rPr>
        <w:lastRenderedPageBreak/>
        <w:t>indicates that the newer Siemens model proposed by FPL for the Lauderdale project should have no trouble meeting 4 ppmvd @ 15% O</w:t>
      </w:r>
      <w:r w:rsidRPr="00A242C3">
        <w:rPr>
          <w:color w:val="000000"/>
          <w:szCs w:val="22"/>
          <w:vertAlign w:val="subscript"/>
        </w:rPr>
        <w:t>2</w:t>
      </w:r>
      <w:r>
        <w:rPr>
          <w:color w:val="000000"/>
          <w:szCs w:val="22"/>
        </w:rPr>
        <w:t xml:space="preserve"> at full load when firing natural gas and should be able to still comply with this limit a lower loads.</w:t>
      </w:r>
    </w:p>
    <w:p w:rsidR="00FB3BD5" w:rsidRDefault="00834BC4" w:rsidP="00FB3BD5">
      <w:pPr>
        <w:pStyle w:val="BodyText2"/>
        <w:widowControl w:val="0"/>
        <w:numPr>
          <w:ilvl w:val="0"/>
          <w:numId w:val="0"/>
        </w:numPr>
        <w:tabs>
          <w:tab w:val="left" w:pos="4680"/>
        </w:tabs>
        <w:jc w:val="left"/>
        <w:rPr>
          <w:color w:val="000000"/>
          <w:szCs w:val="22"/>
        </w:rPr>
      </w:pPr>
      <w:r>
        <w:rPr>
          <w:noProof/>
          <w:color w:val="000000"/>
          <w:szCs w:val="22"/>
        </w:rPr>
        <w:drawing>
          <wp:inline distT="0" distB="0" distL="0" distR="0" wp14:anchorId="0E91581F">
            <wp:extent cx="2692400" cy="1953735"/>
            <wp:effectExtent l="19050" t="19050" r="12700" b="2794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04439" cy="1962471"/>
                    </a:xfrm>
                    <a:prstGeom prst="rect">
                      <a:avLst/>
                    </a:prstGeom>
                    <a:noFill/>
                    <a:ln>
                      <a:solidFill>
                        <a:schemeClr val="tx1"/>
                      </a:solidFill>
                    </a:ln>
                  </pic:spPr>
                </pic:pic>
              </a:graphicData>
            </a:graphic>
          </wp:inline>
        </w:drawing>
      </w:r>
      <w:r w:rsidR="00FB3BD5">
        <w:rPr>
          <w:noProof/>
          <w:color w:val="000000"/>
          <w:szCs w:val="22"/>
        </w:rPr>
        <w:tab/>
      </w:r>
      <w:r w:rsidR="00140585">
        <w:rPr>
          <w:noProof/>
          <w:color w:val="000000"/>
          <w:szCs w:val="22"/>
        </w:rPr>
        <w:drawing>
          <wp:inline distT="0" distB="0" distL="0" distR="0" wp14:anchorId="44561D6B">
            <wp:extent cx="2709399" cy="1967653"/>
            <wp:effectExtent l="19050" t="19050" r="15240" b="139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14631" cy="1971453"/>
                    </a:xfrm>
                    <a:prstGeom prst="rect">
                      <a:avLst/>
                    </a:prstGeom>
                    <a:noFill/>
                    <a:ln>
                      <a:solidFill>
                        <a:schemeClr val="tx1"/>
                      </a:solidFill>
                    </a:ln>
                  </pic:spPr>
                </pic:pic>
              </a:graphicData>
            </a:graphic>
          </wp:inline>
        </w:drawing>
      </w:r>
    </w:p>
    <w:p w:rsidR="00FB3BD5" w:rsidRDefault="00FB3BD5" w:rsidP="00FB3BD5">
      <w:pPr>
        <w:pStyle w:val="Caption"/>
        <w:tabs>
          <w:tab w:val="left" w:pos="4950"/>
        </w:tabs>
        <w:spacing w:before="0"/>
        <w:ind w:left="180"/>
        <w:rPr>
          <w:rFonts w:ascii="Times New Roman Bold" w:hAnsi="Times New Roman Bold"/>
          <w:caps w:val="0"/>
        </w:rPr>
      </w:pPr>
      <w:bookmarkStart w:id="31" w:name="_Ref369002690"/>
      <w:r w:rsidRPr="00DD52D3">
        <w:rPr>
          <w:rFonts w:ascii="Times New Roman Bold" w:hAnsi="Times New Roman Bold"/>
          <w:caps w:val="0"/>
        </w:rPr>
        <w:t xml:space="preserve">Figure </w:t>
      </w:r>
      <w:r w:rsidRPr="00DD52D3">
        <w:rPr>
          <w:rFonts w:ascii="Times New Roman Bold" w:hAnsi="Times New Roman Bold"/>
          <w:caps w:val="0"/>
        </w:rPr>
        <w:fldChar w:fldCharType="begin"/>
      </w:r>
      <w:r w:rsidRPr="00DD52D3">
        <w:rPr>
          <w:rFonts w:ascii="Times New Roman Bold" w:hAnsi="Times New Roman Bold"/>
          <w:caps w:val="0"/>
        </w:rPr>
        <w:instrText xml:space="preserve"> SEQ Figure \* ARABIC </w:instrText>
      </w:r>
      <w:r w:rsidRPr="00DD52D3">
        <w:rPr>
          <w:rFonts w:ascii="Times New Roman Bold" w:hAnsi="Times New Roman Bold"/>
          <w:caps w:val="0"/>
        </w:rPr>
        <w:fldChar w:fldCharType="separate"/>
      </w:r>
      <w:r w:rsidR="007F3589">
        <w:rPr>
          <w:rFonts w:ascii="Times New Roman Bold" w:hAnsi="Times New Roman Bold"/>
          <w:caps w:val="0"/>
          <w:noProof/>
        </w:rPr>
        <w:t>17</w:t>
      </w:r>
      <w:r w:rsidRPr="00DD52D3">
        <w:rPr>
          <w:rFonts w:ascii="Times New Roman Bold" w:hAnsi="Times New Roman Bold"/>
          <w:caps w:val="0"/>
        </w:rPr>
        <w:fldChar w:fldCharType="end"/>
      </w:r>
      <w:bookmarkEnd w:id="31"/>
      <w:r w:rsidRPr="00DD52D3">
        <w:rPr>
          <w:rFonts w:ascii="Times New Roman Bold" w:hAnsi="Times New Roman Bold"/>
          <w:caps w:val="0"/>
        </w:rPr>
        <w:t xml:space="preserve">.  Siemens CO </w:t>
      </w:r>
      <w:r>
        <w:rPr>
          <w:rFonts w:ascii="Times New Roman Bold" w:hAnsi="Times New Roman Bold"/>
          <w:caps w:val="0"/>
        </w:rPr>
        <w:t>Data at 100% Load.</w:t>
      </w:r>
      <w:r>
        <w:rPr>
          <w:rFonts w:ascii="Times New Roman Bold" w:hAnsi="Times New Roman Bold"/>
          <w:caps w:val="0"/>
        </w:rPr>
        <w:tab/>
      </w:r>
      <w:bookmarkStart w:id="32" w:name="_Ref369002700"/>
      <w:bookmarkStart w:id="33" w:name="_Ref369005357"/>
      <w:r w:rsidRPr="00DD52D3">
        <w:rPr>
          <w:rFonts w:ascii="Times New Roman Bold" w:hAnsi="Times New Roman Bold"/>
          <w:caps w:val="0"/>
        </w:rPr>
        <w:t xml:space="preserve">Figure </w:t>
      </w:r>
      <w:r w:rsidRPr="00DD52D3">
        <w:rPr>
          <w:rFonts w:ascii="Times New Roman Bold" w:hAnsi="Times New Roman Bold"/>
          <w:caps w:val="0"/>
        </w:rPr>
        <w:fldChar w:fldCharType="begin"/>
      </w:r>
      <w:r w:rsidRPr="00DD52D3">
        <w:rPr>
          <w:rFonts w:ascii="Times New Roman Bold" w:hAnsi="Times New Roman Bold"/>
          <w:caps w:val="0"/>
        </w:rPr>
        <w:instrText xml:space="preserve"> SEQ Figure \* ARABIC </w:instrText>
      </w:r>
      <w:r w:rsidRPr="00DD52D3">
        <w:rPr>
          <w:rFonts w:ascii="Times New Roman Bold" w:hAnsi="Times New Roman Bold"/>
          <w:caps w:val="0"/>
        </w:rPr>
        <w:fldChar w:fldCharType="separate"/>
      </w:r>
      <w:r w:rsidR="007F3589">
        <w:rPr>
          <w:rFonts w:ascii="Times New Roman Bold" w:hAnsi="Times New Roman Bold"/>
          <w:caps w:val="0"/>
          <w:noProof/>
        </w:rPr>
        <w:t>18</w:t>
      </w:r>
      <w:r w:rsidRPr="00DD52D3">
        <w:rPr>
          <w:rFonts w:ascii="Times New Roman Bold" w:hAnsi="Times New Roman Bold"/>
          <w:caps w:val="0"/>
        </w:rPr>
        <w:fldChar w:fldCharType="end"/>
      </w:r>
      <w:bookmarkEnd w:id="32"/>
      <w:bookmarkEnd w:id="33"/>
      <w:r>
        <w:rPr>
          <w:rFonts w:ascii="Times New Roman Bold" w:hAnsi="Times New Roman Bold"/>
          <w:caps w:val="0"/>
        </w:rPr>
        <w:t>.  Siemens CO Data at 55% Load.</w:t>
      </w:r>
    </w:p>
    <w:p w:rsidR="00FB3BD5" w:rsidRDefault="00140585" w:rsidP="007D1B9F">
      <w:pPr>
        <w:widowControl w:val="0"/>
        <w:spacing w:after="120"/>
        <w:jc w:val="center"/>
        <w:rPr>
          <w:sz w:val="22"/>
          <w:szCs w:val="22"/>
        </w:rPr>
      </w:pPr>
      <w:r>
        <w:rPr>
          <w:noProof/>
          <w:sz w:val="22"/>
          <w:szCs w:val="22"/>
        </w:rPr>
        <w:drawing>
          <wp:inline distT="0" distB="0" distL="0" distR="0" wp14:anchorId="75CEE10B">
            <wp:extent cx="5191880" cy="3759200"/>
            <wp:effectExtent l="19050" t="19050" r="27940" b="1270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03410" cy="3767549"/>
                    </a:xfrm>
                    <a:prstGeom prst="rect">
                      <a:avLst/>
                    </a:prstGeom>
                    <a:noFill/>
                    <a:ln>
                      <a:solidFill>
                        <a:schemeClr val="tx1"/>
                      </a:solidFill>
                    </a:ln>
                  </pic:spPr>
                </pic:pic>
              </a:graphicData>
            </a:graphic>
          </wp:inline>
        </w:drawing>
      </w:r>
    </w:p>
    <w:p w:rsidR="00FB3BD5" w:rsidRPr="005E756C" w:rsidRDefault="00FB3BD5" w:rsidP="00FB3BD5">
      <w:pPr>
        <w:pStyle w:val="Caption"/>
        <w:spacing w:before="0"/>
        <w:jc w:val="center"/>
        <w:rPr>
          <w:rFonts w:ascii="Times New Roman Bold" w:hAnsi="Times New Roman Bold"/>
          <w:caps w:val="0"/>
          <w:szCs w:val="22"/>
        </w:rPr>
      </w:pPr>
      <w:bookmarkStart w:id="34" w:name="_Ref369081221"/>
      <w:r w:rsidRPr="005E756C">
        <w:rPr>
          <w:rFonts w:ascii="Times New Roman Bold" w:hAnsi="Times New Roman Bold"/>
          <w:caps w:val="0"/>
        </w:rPr>
        <w:t xml:space="preserve">Figure </w:t>
      </w:r>
      <w:r w:rsidRPr="005E756C">
        <w:rPr>
          <w:rFonts w:ascii="Times New Roman Bold" w:hAnsi="Times New Roman Bold"/>
          <w:caps w:val="0"/>
        </w:rPr>
        <w:fldChar w:fldCharType="begin"/>
      </w:r>
      <w:r w:rsidRPr="005E756C">
        <w:rPr>
          <w:rFonts w:ascii="Times New Roman Bold" w:hAnsi="Times New Roman Bold"/>
          <w:caps w:val="0"/>
        </w:rPr>
        <w:instrText xml:space="preserve"> SEQ Figure \* ARABIC </w:instrText>
      </w:r>
      <w:r w:rsidRPr="005E756C">
        <w:rPr>
          <w:rFonts w:ascii="Times New Roman Bold" w:hAnsi="Times New Roman Bold"/>
          <w:caps w:val="0"/>
        </w:rPr>
        <w:fldChar w:fldCharType="separate"/>
      </w:r>
      <w:r w:rsidR="007F3589">
        <w:rPr>
          <w:rFonts w:ascii="Times New Roman Bold" w:hAnsi="Times New Roman Bold"/>
          <w:caps w:val="0"/>
          <w:noProof/>
        </w:rPr>
        <w:t>19</w:t>
      </w:r>
      <w:r w:rsidRPr="005E756C">
        <w:rPr>
          <w:rFonts w:ascii="Times New Roman Bold" w:hAnsi="Times New Roman Bold"/>
          <w:caps w:val="0"/>
        </w:rPr>
        <w:fldChar w:fldCharType="end"/>
      </w:r>
      <w:bookmarkEnd w:id="34"/>
      <w:r w:rsidRPr="005E756C">
        <w:rPr>
          <w:rFonts w:ascii="Times New Roman Bold" w:hAnsi="Times New Roman Bold"/>
          <w:caps w:val="0"/>
        </w:rPr>
        <w:t xml:space="preserve">.  Siemens </w:t>
      </w:r>
      <w:r w:rsidRPr="005E756C">
        <w:rPr>
          <w:caps w:val="0"/>
          <w:szCs w:val="22"/>
        </w:rPr>
        <w:t xml:space="preserve">8000H </w:t>
      </w:r>
      <w:r>
        <w:rPr>
          <w:caps w:val="0"/>
          <w:szCs w:val="22"/>
        </w:rPr>
        <w:t xml:space="preserve">CT </w:t>
      </w:r>
      <w:r w:rsidRPr="005E756C">
        <w:rPr>
          <w:caps w:val="0"/>
          <w:szCs w:val="22"/>
        </w:rPr>
        <w:t>CO Emission</w:t>
      </w:r>
      <w:r>
        <w:rPr>
          <w:caps w:val="0"/>
          <w:szCs w:val="22"/>
        </w:rPr>
        <w:t xml:space="preserve">s </w:t>
      </w:r>
      <w:r w:rsidRPr="005E756C">
        <w:rPr>
          <w:caps w:val="0"/>
          <w:szCs w:val="22"/>
        </w:rPr>
        <w:t>from FP</w:t>
      </w:r>
      <w:r>
        <w:rPr>
          <w:caps w:val="0"/>
          <w:szCs w:val="22"/>
        </w:rPr>
        <w:t>L</w:t>
      </w:r>
      <w:r w:rsidRPr="005E756C">
        <w:rPr>
          <w:caps w:val="0"/>
          <w:szCs w:val="22"/>
        </w:rPr>
        <w:t xml:space="preserve"> Cape </w:t>
      </w:r>
      <w:r>
        <w:rPr>
          <w:caps w:val="0"/>
          <w:szCs w:val="22"/>
        </w:rPr>
        <w:t>Canaveral Energy Center.</w:t>
      </w:r>
    </w:p>
    <w:p w:rsidR="00FB3BD5" w:rsidRDefault="00FB3BD5" w:rsidP="00FB3BD5">
      <w:pPr>
        <w:widowControl w:val="0"/>
        <w:spacing w:after="120"/>
        <w:rPr>
          <w:color w:val="000000"/>
          <w:sz w:val="22"/>
          <w:szCs w:val="22"/>
        </w:rPr>
      </w:pPr>
      <w:r>
        <w:fldChar w:fldCharType="begin"/>
      </w:r>
      <w:r>
        <w:instrText xml:space="preserve"> REF _Ref369081221 \h  \* MERGEFORMAT </w:instrText>
      </w:r>
      <w:r>
        <w:fldChar w:fldCharType="separate"/>
      </w:r>
      <w:r w:rsidR="007F3589" w:rsidRPr="007F3589">
        <w:rPr>
          <w:b/>
          <w:sz w:val="22"/>
          <w:szCs w:val="22"/>
        </w:rPr>
        <w:t xml:space="preserve">Figure </w:t>
      </w:r>
      <w:r w:rsidR="007F3589" w:rsidRPr="007F3589">
        <w:rPr>
          <w:b/>
          <w:noProof/>
          <w:sz w:val="22"/>
          <w:szCs w:val="22"/>
        </w:rPr>
        <w:t>19</w:t>
      </w:r>
      <w:r>
        <w:fldChar w:fldCharType="end"/>
      </w:r>
      <w:r w:rsidRPr="00724FCA">
        <w:rPr>
          <w:sz w:val="22"/>
          <w:szCs w:val="22"/>
        </w:rPr>
        <w:t xml:space="preserve"> </w:t>
      </w:r>
      <w:r w:rsidR="007D1B9F">
        <w:rPr>
          <w:sz w:val="22"/>
          <w:szCs w:val="22"/>
        </w:rPr>
        <w:t xml:space="preserve">above </w:t>
      </w:r>
      <w:r w:rsidRPr="00724FCA">
        <w:rPr>
          <w:sz w:val="22"/>
          <w:szCs w:val="22"/>
        </w:rPr>
        <w:t>show</w:t>
      </w:r>
      <w:r>
        <w:rPr>
          <w:sz w:val="22"/>
          <w:szCs w:val="22"/>
        </w:rPr>
        <w:t>s</w:t>
      </w:r>
      <w:r w:rsidRPr="00724FCA">
        <w:rPr>
          <w:sz w:val="22"/>
          <w:szCs w:val="22"/>
        </w:rPr>
        <w:t xml:space="preserve"> CO CEMS emissions data in ppmvd corrected to 15% oxygen</w:t>
      </w:r>
      <w:r w:rsidRPr="00724FCA">
        <w:rPr>
          <w:color w:val="000000"/>
          <w:sz w:val="22"/>
          <w:szCs w:val="22"/>
        </w:rPr>
        <w:t xml:space="preserve"> while </w:t>
      </w:r>
      <w:r w:rsidRPr="00724FCA">
        <w:rPr>
          <w:sz w:val="22"/>
          <w:szCs w:val="22"/>
        </w:rPr>
        <w:t xml:space="preserve">firing natural gas from </w:t>
      </w:r>
      <w:r>
        <w:rPr>
          <w:sz w:val="22"/>
          <w:szCs w:val="22"/>
        </w:rPr>
        <w:t>three</w:t>
      </w:r>
      <w:r w:rsidRPr="00724FCA">
        <w:rPr>
          <w:sz w:val="22"/>
          <w:szCs w:val="22"/>
        </w:rPr>
        <w:t xml:space="preserve"> Siemens</w:t>
      </w:r>
      <w:r w:rsidRPr="00724FCA">
        <w:rPr>
          <w:color w:val="000000"/>
          <w:sz w:val="22"/>
          <w:szCs w:val="22"/>
        </w:rPr>
        <w:t xml:space="preserve"> 8000H CT</w:t>
      </w:r>
      <w:r>
        <w:rPr>
          <w:color w:val="000000"/>
          <w:sz w:val="22"/>
          <w:szCs w:val="22"/>
        </w:rPr>
        <w:t xml:space="preserve"> at</w:t>
      </w:r>
      <w:r w:rsidRPr="00724FCA">
        <w:rPr>
          <w:color w:val="000000"/>
          <w:sz w:val="22"/>
          <w:szCs w:val="22"/>
        </w:rPr>
        <w:t xml:space="preserve"> 100% </w:t>
      </w:r>
      <w:r>
        <w:rPr>
          <w:color w:val="000000"/>
          <w:sz w:val="22"/>
          <w:szCs w:val="22"/>
        </w:rPr>
        <w:t>load</w:t>
      </w:r>
      <w:r w:rsidRPr="00724FCA">
        <w:rPr>
          <w:color w:val="000000"/>
          <w:sz w:val="22"/>
          <w:szCs w:val="22"/>
        </w:rPr>
        <w:t>.  The</w:t>
      </w:r>
      <w:r>
        <w:rPr>
          <w:color w:val="000000"/>
          <w:sz w:val="22"/>
          <w:szCs w:val="22"/>
        </w:rPr>
        <w:t>se</w:t>
      </w:r>
      <w:r w:rsidRPr="00724FCA">
        <w:rPr>
          <w:color w:val="000000"/>
          <w:sz w:val="22"/>
          <w:szCs w:val="22"/>
        </w:rPr>
        <w:t xml:space="preserve"> Siemens CT </w:t>
      </w:r>
      <w:r>
        <w:rPr>
          <w:color w:val="000000"/>
          <w:sz w:val="22"/>
          <w:szCs w:val="22"/>
        </w:rPr>
        <w:t xml:space="preserve">are located at the FPL Cape Canaveral </w:t>
      </w:r>
      <w:r w:rsidRPr="00724FCA">
        <w:rPr>
          <w:color w:val="000000"/>
          <w:sz w:val="22"/>
          <w:szCs w:val="22"/>
        </w:rPr>
        <w:t>Energy Center.</w:t>
      </w:r>
      <w:r>
        <w:rPr>
          <w:color w:val="000000"/>
          <w:sz w:val="22"/>
          <w:szCs w:val="22"/>
        </w:rPr>
        <w:t xml:space="preserve">  </w:t>
      </w:r>
      <w:r w:rsidRPr="00724FCA">
        <w:rPr>
          <w:color w:val="000000"/>
          <w:sz w:val="22"/>
          <w:szCs w:val="22"/>
        </w:rPr>
        <w:t>The Cape Canaveral Energy Center is a nominal 1,250 MW power plant</w:t>
      </w:r>
      <w:r>
        <w:rPr>
          <w:color w:val="000000"/>
          <w:sz w:val="22"/>
          <w:szCs w:val="22"/>
        </w:rPr>
        <w:t xml:space="preserve"> </w:t>
      </w:r>
      <w:r w:rsidRPr="00724FCA">
        <w:rPr>
          <w:color w:val="000000"/>
          <w:sz w:val="22"/>
          <w:szCs w:val="22"/>
        </w:rPr>
        <w:t xml:space="preserve">located in Brevard County, Florida. </w:t>
      </w:r>
      <w:r>
        <w:rPr>
          <w:color w:val="000000"/>
          <w:sz w:val="22"/>
          <w:szCs w:val="22"/>
        </w:rPr>
        <w:t xml:space="preserve"> </w:t>
      </w:r>
      <w:r w:rsidRPr="00724FCA">
        <w:rPr>
          <w:color w:val="000000"/>
          <w:sz w:val="22"/>
          <w:szCs w:val="22"/>
        </w:rPr>
        <w:t>The facility consists of three nominal 250 MW Model</w:t>
      </w:r>
      <w:r>
        <w:rPr>
          <w:color w:val="000000"/>
          <w:sz w:val="22"/>
          <w:szCs w:val="22"/>
        </w:rPr>
        <w:t xml:space="preserve"> </w:t>
      </w:r>
      <w:r w:rsidRPr="00724FCA">
        <w:rPr>
          <w:color w:val="000000"/>
          <w:sz w:val="22"/>
          <w:szCs w:val="22"/>
        </w:rPr>
        <w:t xml:space="preserve">8000H </w:t>
      </w:r>
      <w:r>
        <w:rPr>
          <w:color w:val="000000"/>
          <w:sz w:val="22"/>
          <w:szCs w:val="22"/>
        </w:rPr>
        <w:t>Siemens CT</w:t>
      </w:r>
      <w:r w:rsidRPr="00724FCA">
        <w:rPr>
          <w:color w:val="000000"/>
          <w:sz w:val="22"/>
          <w:szCs w:val="22"/>
        </w:rPr>
        <w:t xml:space="preserve"> with three supplementary-fired HRSG</w:t>
      </w:r>
      <w:r>
        <w:rPr>
          <w:color w:val="000000"/>
          <w:sz w:val="22"/>
          <w:szCs w:val="22"/>
        </w:rPr>
        <w:t xml:space="preserve"> </w:t>
      </w:r>
      <w:r w:rsidRPr="00724FCA">
        <w:rPr>
          <w:color w:val="000000"/>
          <w:sz w:val="22"/>
          <w:szCs w:val="22"/>
        </w:rPr>
        <w:t xml:space="preserve">and a common 500 MW </w:t>
      </w:r>
      <w:r>
        <w:rPr>
          <w:color w:val="000000"/>
          <w:sz w:val="22"/>
          <w:szCs w:val="22"/>
        </w:rPr>
        <w:t>STEG</w:t>
      </w:r>
      <w:r w:rsidRPr="00724FCA">
        <w:rPr>
          <w:color w:val="000000"/>
          <w:sz w:val="22"/>
          <w:szCs w:val="22"/>
        </w:rPr>
        <w:t xml:space="preserve">. </w:t>
      </w:r>
      <w:r>
        <w:rPr>
          <w:color w:val="000000"/>
          <w:sz w:val="22"/>
          <w:szCs w:val="22"/>
        </w:rPr>
        <w:t xml:space="preserve"> </w:t>
      </w:r>
      <w:r w:rsidRPr="00724FCA">
        <w:rPr>
          <w:color w:val="000000"/>
          <w:sz w:val="22"/>
          <w:szCs w:val="22"/>
        </w:rPr>
        <w:t xml:space="preserve">The individual </w:t>
      </w:r>
      <w:r>
        <w:rPr>
          <w:color w:val="000000"/>
          <w:sz w:val="22"/>
          <w:szCs w:val="22"/>
        </w:rPr>
        <w:t>CT</w:t>
      </w:r>
      <w:r w:rsidRPr="00724FCA">
        <w:rPr>
          <w:color w:val="000000"/>
          <w:sz w:val="22"/>
          <w:szCs w:val="22"/>
        </w:rPr>
        <w:t xml:space="preserve"> are identified as</w:t>
      </w:r>
      <w:r>
        <w:rPr>
          <w:color w:val="000000"/>
          <w:sz w:val="22"/>
          <w:szCs w:val="22"/>
        </w:rPr>
        <w:t xml:space="preserve"> Units </w:t>
      </w:r>
      <w:r w:rsidRPr="00724FCA">
        <w:rPr>
          <w:color w:val="000000"/>
          <w:sz w:val="22"/>
          <w:szCs w:val="22"/>
        </w:rPr>
        <w:t>3A, 3B, and 3C.</w:t>
      </w:r>
    </w:p>
    <w:p w:rsidR="00FB3BD5" w:rsidRDefault="00FB3BD5" w:rsidP="00FB3BD5">
      <w:pPr>
        <w:widowControl w:val="0"/>
        <w:spacing w:after="120"/>
        <w:rPr>
          <w:sz w:val="22"/>
          <w:szCs w:val="22"/>
        </w:rPr>
      </w:pPr>
      <w:r>
        <w:rPr>
          <w:sz w:val="22"/>
          <w:szCs w:val="22"/>
        </w:rPr>
        <w:t xml:space="preserve">As seen from </w:t>
      </w:r>
      <w:r>
        <w:fldChar w:fldCharType="begin"/>
      </w:r>
      <w:r>
        <w:instrText xml:space="preserve"> REF _Ref369081221 \h  \* MERGEFORMAT </w:instrText>
      </w:r>
      <w:r>
        <w:fldChar w:fldCharType="separate"/>
      </w:r>
      <w:r w:rsidR="007F3589" w:rsidRPr="007F3589">
        <w:rPr>
          <w:b/>
          <w:sz w:val="22"/>
          <w:szCs w:val="22"/>
        </w:rPr>
        <w:t xml:space="preserve">Figure </w:t>
      </w:r>
      <w:r w:rsidR="007F3589" w:rsidRPr="007F3589">
        <w:rPr>
          <w:b/>
          <w:noProof/>
          <w:sz w:val="22"/>
          <w:szCs w:val="22"/>
        </w:rPr>
        <w:t>19</w:t>
      </w:r>
      <w:r>
        <w:fldChar w:fldCharType="end"/>
      </w:r>
      <w:r w:rsidRPr="003D6171">
        <w:rPr>
          <w:sz w:val="22"/>
          <w:szCs w:val="22"/>
        </w:rPr>
        <w:t>,</w:t>
      </w:r>
      <w:r>
        <w:rPr>
          <w:sz w:val="22"/>
          <w:szCs w:val="22"/>
        </w:rPr>
        <w:t xml:space="preserve"> CO emissions from all three units are below 1.0 ppmvd during all test runs.  Each test run was one hour in duration.  These units are approximately 25% larger (200 versus 250 MW) </w:t>
      </w:r>
      <w:r>
        <w:rPr>
          <w:sz w:val="22"/>
          <w:szCs w:val="22"/>
        </w:rPr>
        <w:lastRenderedPageBreak/>
        <w:t xml:space="preserve">than the Siemens CT proposed for the </w:t>
      </w:r>
      <w:r w:rsidR="007D1B9F">
        <w:rPr>
          <w:sz w:val="22"/>
          <w:szCs w:val="22"/>
        </w:rPr>
        <w:t>Lauderdale</w:t>
      </w:r>
      <w:r>
        <w:rPr>
          <w:sz w:val="22"/>
          <w:szCs w:val="22"/>
        </w:rPr>
        <w:t xml:space="preserve"> project.  This provides further assurance that the </w:t>
      </w:r>
      <w:r w:rsidR="007D1B9F">
        <w:rPr>
          <w:sz w:val="22"/>
          <w:szCs w:val="22"/>
        </w:rPr>
        <w:t xml:space="preserve">Lauderdale </w:t>
      </w:r>
      <w:r>
        <w:rPr>
          <w:sz w:val="22"/>
          <w:szCs w:val="22"/>
        </w:rPr>
        <w:t>Siemens CT should easily me able to meet 4 ppmvd @ 15% O</w:t>
      </w:r>
      <w:r w:rsidRPr="003D6171">
        <w:rPr>
          <w:sz w:val="22"/>
          <w:szCs w:val="22"/>
          <w:vertAlign w:val="subscript"/>
        </w:rPr>
        <w:t>2</w:t>
      </w:r>
      <w:r>
        <w:rPr>
          <w:sz w:val="22"/>
          <w:szCs w:val="22"/>
        </w:rPr>
        <w:t xml:space="preserve"> when firing natural gas.</w:t>
      </w:r>
    </w:p>
    <w:p w:rsidR="00610E08" w:rsidRPr="00D27077" w:rsidRDefault="00610E08" w:rsidP="00C070A4">
      <w:pPr>
        <w:widowControl w:val="0"/>
        <w:numPr>
          <w:ilvl w:val="3"/>
          <w:numId w:val="2"/>
        </w:numPr>
        <w:tabs>
          <w:tab w:val="left" w:pos="720"/>
        </w:tabs>
        <w:spacing w:after="120"/>
        <w:ind w:left="720" w:hanging="720"/>
        <w:rPr>
          <w:i/>
          <w:sz w:val="22"/>
          <w:szCs w:val="22"/>
        </w:rPr>
      </w:pPr>
      <w:r w:rsidRPr="00D27077">
        <w:rPr>
          <w:i/>
          <w:sz w:val="22"/>
          <w:szCs w:val="22"/>
        </w:rPr>
        <w:t xml:space="preserve">Requirements of 40 CFR Parts 60 and 63 on the </w:t>
      </w:r>
      <w:r w:rsidR="00492D6A" w:rsidRPr="00D27077">
        <w:rPr>
          <w:i/>
          <w:sz w:val="22"/>
          <w:szCs w:val="22"/>
        </w:rPr>
        <w:t xml:space="preserve">Combustion Turbines </w:t>
      </w:r>
      <w:r w:rsidRPr="00D27077">
        <w:rPr>
          <w:i/>
          <w:sz w:val="22"/>
          <w:szCs w:val="22"/>
        </w:rPr>
        <w:t xml:space="preserve">with respect to </w:t>
      </w:r>
      <w:r w:rsidR="005A4884">
        <w:rPr>
          <w:i/>
          <w:sz w:val="22"/>
          <w:szCs w:val="22"/>
        </w:rPr>
        <w:t>CO</w:t>
      </w:r>
    </w:p>
    <w:p w:rsidR="00610E08" w:rsidRPr="00A0412F" w:rsidRDefault="00610E08" w:rsidP="00610E08">
      <w:pPr>
        <w:pStyle w:val="BodyText2"/>
        <w:jc w:val="left"/>
        <w:rPr>
          <w:szCs w:val="22"/>
        </w:rPr>
      </w:pPr>
      <w:r w:rsidRPr="00A0412F">
        <w:rPr>
          <w:szCs w:val="22"/>
        </w:rPr>
        <w:t>Neither the NSPS Subpart KKKK nor the NESHAP Subpart YYYY applicable to combustion turbines includes a CO emission standard</w:t>
      </w:r>
      <w:r w:rsidR="00A0412F" w:rsidRPr="00A0412F">
        <w:rPr>
          <w:szCs w:val="22"/>
        </w:rPr>
        <w:t xml:space="preserve"> and therefore are not considered when conducting a BACT determination for this pollutant.</w:t>
      </w:r>
    </w:p>
    <w:p w:rsidR="00AC13C9" w:rsidRPr="002066D7" w:rsidRDefault="00AC13C9" w:rsidP="00C070A4">
      <w:pPr>
        <w:widowControl w:val="0"/>
        <w:numPr>
          <w:ilvl w:val="3"/>
          <w:numId w:val="2"/>
        </w:numPr>
        <w:tabs>
          <w:tab w:val="left" w:pos="720"/>
        </w:tabs>
        <w:spacing w:after="120"/>
        <w:ind w:left="720" w:hanging="720"/>
        <w:rPr>
          <w:i/>
          <w:sz w:val="22"/>
          <w:szCs w:val="22"/>
        </w:rPr>
      </w:pPr>
      <w:r w:rsidRPr="002066D7">
        <w:rPr>
          <w:i/>
          <w:sz w:val="22"/>
          <w:szCs w:val="22"/>
        </w:rPr>
        <w:t xml:space="preserve">Applicant’s CO BACT Proposal </w:t>
      </w:r>
    </w:p>
    <w:p w:rsidR="00D72948" w:rsidRDefault="00F42DD6" w:rsidP="0066459A">
      <w:pPr>
        <w:widowControl w:val="0"/>
        <w:spacing w:after="120"/>
        <w:rPr>
          <w:sz w:val="22"/>
          <w:szCs w:val="22"/>
        </w:rPr>
      </w:pPr>
      <w:r w:rsidRPr="00D65056">
        <w:rPr>
          <w:sz w:val="22"/>
          <w:szCs w:val="22"/>
        </w:rPr>
        <w:t xml:space="preserve">For the </w:t>
      </w:r>
      <w:r w:rsidR="007944FF" w:rsidRPr="00D65056">
        <w:rPr>
          <w:sz w:val="22"/>
          <w:szCs w:val="22"/>
        </w:rPr>
        <w:t>Lauderdale</w:t>
      </w:r>
      <w:r w:rsidRPr="00D65056">
        <w:rPr>
          <w:sz w:val="22"/>
          <w:szCs w:val="22"/>
        </w:rPr>
        <w:t xml:space="preserve"> project, FPL</w:t>
      </w:r>
      <w:r w:rsidR="00192E60" w:rsidRPr="00D65056">
        <w:rPr>
          <w:sz w:val="22"/>
          <w:szCs w:val="22"/>
        </w:rPr>
        <w:t xml:space="preserve"> </w:t>
      </w:r>
      <w:r w:rsidRPr="00D65056">
        <w:rPr>
          <w:sz w:val="22"/>
          <w:szCs w:val="22"/>
        </w:rPr>
        <w:t xml:space="preserve">has </w:t>
      </w:r>
      <w:r w:rsidR="00AC13C9" w:rsidRPr="00D65056">
        <w:rPr>
          <w:sz w:val="22"/>
          <w:szCs w:val="22"/>
        </w:rPr>
        <w:t>propose</w:t>
      </w:r>
      <w:r w:rsidR="00EF7883" w:rsidRPr="00D65056">
        <w:rPr>
          <w:sz w:val="22"/>
          <w:szCs w:val="22"/>
        </w:rPr>
        <w:t>d</w:t>
      </w:r>
      <w:r w:rsidR="00AC13C9" w:rsidRPr="00D65056">
        <w:rPr>
          <w:sz w:val="22"/>
          <w:szCs w:val="22"/>
        </w:rPr>
        <w:t xml:space="preserve"> </w:t>
      </w:r>
      <w:r w:rsidR="00EF7883" w:rsidRPr="00D65056">
        <w:rPr>
          <w:sz w:val="22"/>
          <w:szCs w:val="22"/>
        </w:rPr>
        <w:t xml:space="preserve">BACT emission standards </w:t>
      </w:r>
      <w:r w:rsidRPr="00D65056">
        <w:rPr>
          <w:sz w:val="22"/>
          <w:szCs w:val="22"/>
        </w:rPr>
        <w:t xml:space="preserve">for the CT </w:t>
      </w:r>
      <w:r w:rsidR="00AC13C9" w:rsidRPr="00D65056">
        <w:rPr>
          <w:sz w:val="22"/>
          <w:szCs w:val="22"/>
        </w:rPr>
        <w:t>of 9</w:t>
      </w:r>
      <w:r w:rsidR="005352E5">
        <w:rPr>
          <w:sz w:val="22"/>
          <w:szCs w:val="22"/>
        </w:rPr>
        <w:t xml:space="preserve"> @</w:t>
      </w:r>
      <w:r w:rsidR="004F4E8F">
        <w:rPr>
          <w:sz w:val="22"/>
          <w:szCs w:val="22"/>
        </w:rPr>
        <w:t xml:space="preserve"> </w:t>
      </w:r>
      <w:r w:rsidR="005352E5" w:rsidRPr="00D65056">
        <w:rPr>
          <w:sz w:val="22"/>
          <w:szCs w:val="22"/>
        </w:rPr>
        <w:t>15% O</w:t>
      </w:r>
      <w:r w:rsidR="005352E5" w:rsidRPr="00D65056">
        <w:rPr>
          <w:sz w:val="22"/>
          <w:szCs w:val="22"/>
          <w:vertAlign w:val="subscript"/>
        </w:rPr>
        <w:t>2</w:t>
      </w:r>
      <w:r w:rsidR="00AC13C9" w:rsidRPr="00D65056">
        <w:rPr>
          <w:sz w:val="22"/>
          <w:szCs w:val="22"/>
        </w:rPr>
        <w:t xml:space="preserve"> for natural gas</w:t>
      </w:r>
      <w:r w:rsidR="005352E5">
        <w:rPr>
          <w:sz w:val="22"/>
          <w:szCs w:val="22"/>
        </w:rPr>
        <w:t xml:space="preserve"> firing</w:t>
      </w:r>
      <w:r w:rsidR="00AC13C9" w:rsidRPr="00D65056">
        <w:rPr>
          <w:sz w:val="22"/>
          <w:szCs w:val="22"/>
        </w:rPr>
        <w:t xml:space="preserve"> </w:t>
      </w:r>
      <w:r w:rsidR="005352E5" w:rsidRPr="00D65056">
        <w:rPr>
          <w:sz w:val="22"/>
          <w:szCs w:val="22"/>
        </w:rPr>
        <w:t xml:space="preserve">and 20 ppmvd </w:t>
      </w:r>
      <w:r w:rsidR="005352E5">
        <w:rPr>
          <w:sz w:val="22"/>
          <w:szCs w:val="22"/>
        </w:rPr>
        <w:t>uncorrected when firing</w:t>
      </w:r>
      <w:r w:rsidR="00AC13C9" w:rsidRPr="00D65056">
        <w:rPr>
          <w:sz w:val="22"/>
          <w:szCs w:val="22"/>
        </w:rPr>
        <w:t xml:space="preserve"> </w:t>
      </w:r>
      <w:r w:rsidR="004B3F5A" w:rsidRPr="00D65056">
        <w:rPr>
          <w:sz w:val="22"/>
          <w:szCs w:val="22"/>
        </w:rPr>
        <w:t>ULSD</w:t>
      </w:r>
      <w:r w:rsidR="00EF7883" w:rsidRPr="00D65056">
        <w:rPr>
          <w:sz w:val="22"/>
          <w:szCs w:val="22"/>
        </w:rPr>
        <w:t xml:space="preserve"> </w:t>
      </w:r>
      <w:r w:rsidR="00AC13C9" w:rsidRPr="00D65056">
        <w:rPr>
          <w:sz w:val="22"/>
          <w:szCs w:val="22"/>
        </w:rPr>
        <w:t>fuel oil</w:t>
      </w:r>
      <w:r w:rsidR="00EF7883" w:rsidRPr="00D65056">
        <w:rPr>
          <w:sz w:val="22"/>
          <w:szCs w:val="22"/>
        </w:rPr>
        <w:t>,</w:t>
      </w:r>
      <w:r w:rsidR="00AC13C9" w:rsidRPr="00D65056">
        <w:rPr>
          <w:sz w:val="22"/>
          <w:szCs w:val="22"/>
        </w:rPr>
        <w:t xml:space="preserve"> </w:t>
      </w:r>
      <w:r w:rsidR="00D65056">
        <w:rPr>
          <w:sz w:val="22"/>
          <w:szCs w:val="22"/>
        </w:rPr>
        <w:t>with compliance shown by annual stack testing</w:t>
      </w:r>
      <w:r w:rsidR="00AC13C9" w:rsidRPr="00D65056">
        <w:rPr>
          <w:sz w:val="22"/>
          <w:szCs w:val="22"/>
        </w:rPr>
        <w:t xml:space="preserve">.  </w:t>
      </w:r>
      <w:r w:rsidR="00D72948" w:rsidRPr="00D65056">
        <w:rPr>
          <w:sz w:val="22"/>
          <w:szCs w:val="22"/>
        </w:rPr>
        <w:t>The applicant stated:</w:t>
      </w:r>
    </w:p>
    <w:p w:rsidR="00F42DD6" w:rsidRDefault="002066D7" w:rsidP="002066D7">
      <w:pPr>
        <w:widowControl w:val="0"/>
        <w:spacing w:after="120"/>
        <w:rPr>
          <w:i/>
          <w:sz w:val="22"/>
          <w:szCs w:val="22"/>
        </w:rPr>
      </w:pPr>
      <w:r>
        <w:rPr>
          <w:i/>
          <w:sz w:val="22"/>
          <w:szCs w:val="22"/>
        </w:rPr>
        <w:t>“</w:t>
      </w:r>
      <w:r w:rsidRPr="002066D7">
        <w:rPr>
          <w:i/>
          <w:sz w:val="22"/>
          <w:szCs w:val="22"/>
        </w:rPr>
        <w:t xml:space="preserve">A review of the most recent BACT determinations for CO for large frame simple-cycle CT projects </w:t>
      </w:r>
      <w:r>
        <w:rPr>
          <w:i/>
          <w:sz w:val="22"/>
          <w:szCs w:val="22"/>
        </w:rPr>
        <w:t>………</w:t>
      </w:r>
      <w:r w:rsidRPr="002066D7">
        <w:rPr>
          <w:i/>
          <w:sz w:val="22"/>
          <w:szCs w:val="22"/>
        </w:rPr>
        <w:t xml:space="preserve"> demonstrates that FDEP has historically established CT</w:t>
      </w:r>
      <w:r>
        <w:rPr>
          <w:i/>
          <w:sz w:val="22"/>
          <w:szCs w:val="22"/>
        </w:rPr>
        <w:t xml:space="preserve"> </w:t>
      </w:r>
      <w:r w:rsidRPr="002066D7">
        <w:rPr>
          <w:i/>
          <w:sz w:val="22"/>
          <w:szCs w:val="22"/>
        </w:rPr>
        <w:t>BACT emission rates based on the use of good combustion practices for minimizing CO emissions</w:t>
      </w:r>
      <w:r>
        <w:rPr>
          <w:i/>
          <w:sz w:val="22"/>
          <w:szCs w:val="22"/>
        </w:rPr>
        <w:t xml:space="preserve"> </w:t>
      </w:r>
      <w:r w:rsidRPr="002066D7">
        <w:rPr>
          <w:i/>
          <w:sz w:val="22"/>
          <w:szCs w:val="22"/>
        </w:rPr>
        <w:t xml:space="preserve">for simple cycle frame turbines. </w:t>
      </w:r>
      <w:r>
        <w:rPr>
          <w:i/>
          <w:sz w:val="22"/>
          <w:szCs w:val="22"/>
        </w:rPr>
        <w:t xml:space="preserve"> </w:t>
      </w:r>
      <w:r w:rsidRPr="002066D7">
        <w:rPr>
          <w:i/>
          <w:sz w:val="22"/>
          <w:szCs w:val="22"/>
        </w:rPr>
        <w:t>Although the Department has permitted GE7FA.03 and GE7FA.04</w:t>
      </w:r>
      <w:r>
        <w:rPr>
          <w:i/>
          <w:sz w:val="22"/>
          <w:szCs w:val="22"/>
        </w:rPr>
        <w:t xml:space="preserve"> </w:t>
      </w:r>
      <w:r w:rsidRPr="002066D7">
        <w:rPr>
          <w:i/>
          <w:sz w:val="22"/>
          <w:szCs w:val="22"/>
        </w:rPr>
        <w:t xml:space="preserve">CT models with CO BACT levels as low as 4.1 </w:t>
      </w:r>
      <w:r>
        <w:rPr>
          <w:i/>
          <w:sz w:val="22"/>
          <w:szCs w:val="22"/>
        </w:rPr>
        <w:t xml:space="preserve">for </w:t>
      </w:r>
      <w:r w:rsidRPr="002066D7">
        <w:rPr>
          <w:i/>
          <w:sz w:val="22"/>
          <w:szCs w:val="22"/>
        </w:rPr>
        <w:t>ppmvd natural gas firing and 8 ppmvd for ULSD oil</w:t>
      </w:r>
      <w:r>
        <w:rPr>
          <w:i/>
          <w:sz w:val="22"/>
          <w:szCs w:val="22"/>
        </w:rPr>
        <w:t xml:space="preserve"> </w:t>
      </w:r>
      <w:r w:rsidRPr="002066D7">
        <w:rPr>
          <w:i/>
          <w:sz w:val="22"/>
          <w:szCs w:val="22"/>
        </w:rPr>
        <w:t>firing based on operational data, the Project may utilize new GE model 7FA.05 or Siemens F5</w:t>
      </w:r>
      <w:r>
        <w:rPr>
          <w:i/>
          <w:sz w:val="22"/>
          <w:szCs w:val="22"/>
        </w:rPr>
        <w:t xml:space="preserve"> </w:t>
      </w:r>
      <w:r w:rsidRPr="002066D7">
        <w:rPr>
          <w:i/>
          <w:sz w:val="22"/>
          <w:szCs w:val="22"/>
        </w:rPr>
        <w:t xml:space="preserve">turbines for which no operational data exists. </w:t>
      </w:r>
      <w:r>
        <w:rPr>
          <w:i/>
          <w:sz w:val="22"/>
          <w:szCs w:val="22"/>
        </w:rPr>
        <w:t xml:space="preserve"> </w:t>
      </w:r>
      <w:r w:rsidRPr="002066D7">
        <w:rPr>
          <w:i/>
          <w:sz w:val="22"/>
          <w:szCs w:val="22"/>
        </w:rPr>
        <w:t>The design of the new 7FA.05 differs from the 7FA.03</w:t>
      </w:r>
      <w:r>
        <w:rPr>
          <w:i/>
          <w:sz w:val="22"/>
          <w:szCs w:val="22"/>
        </w:rPr>
        <w:t xml:space="preserve"> </w:t>
      </w:r>
      <w:r w:rsidRPr="002066D7">
        <w:rPr>
          <w:i/>
          <w:sz w:val="22"/>
          <w:szCs w:val="22"/>
        </w:rPr>
        <w:t>and 7FA.04 in that power generation has been increased by approximately 20% to over 200 MW at</w:t>
      </w:r>
      <w:r>
        <w:rPr>
          <w:i/>
          <w:sz w:val="22"/>
          <w:szCs w:val="22"/>
        </w:rPr>
        <w:t xml:space="preserve"> </w:t>
      </w:r>
      <w:r w:rsidRPr="002066D7">
        <w:rPr>
          <w:i/>
          <w:sz w:val="22"/>
          <w:szCs w:val="22"/>
        </w:rPr>
        <w:t xml:space="preserve">ISO conditions, through higher firing temperature and optimization. </w:t>
      </w:r>
      <w:r>
        <w:rPr>
          <w:i/>
          <w:sz w:val="22"/>
          <w:szCs w:val="22"/>
        </w:rPr>
        <w:t xml:space="preserve"> </w:t>
      </w:r>
      <w:r w:rsidRPr="002066D7">
        <w:rPr>
          <w:i/>
          <w:sz w:val="22"/>
          <w:szCs w:val="22"/>
        </w:rPr>
        <w:t>The new CT design yields</w:t>
      </w:r>
      <w:r>
        <w:rPr>
          <w:i/>
          <w:sz w:val="22"/>
          <w:szCs w:val="22"/>
        </w:rPr>
        <w:t xml:space="preserve"> </w:t>
      </w:r>
      <w:r w:rsidRPr="002066D7">
        <w:rPr>
          <w:i/>
          <w:sz w:val="22"/>
          <w:szCs w:val="22"/>
        </w:rPr>
        <w:t xml:space="preserve">uncertainty that the CO concentrations will be similar to the previous 7FA models. </w:t>
      </w:r>
      <w:r>
        <w:rPr>
          <w:i/>
          <w:sz w:val="22"/>
          <w:szCs w:val="22"/>
        </w:rPr>
        <w:t xml:space="preserve"> </w:t>
      </w:r>
      <w:r w:rsidRPr="002066D7">
        <w:rPr>
          <w:i/>
          <w:sz w:val="22"/>
          <w:szCs w:val="22"/>
        </w:rPr>
        <w:t>While other BACT</w:t>
      </w:r>
      <w:r>
        <w:rPr>
          <w:i/>
          <w:sz w:val="22"/>
          <w:szCs w:val="22"/>
        </w:rPr>
        <w:t xml:space="preserve"> </w:t>
      </w:r>
      <w:r w:rsidRPr="002066D7">
        <w:rPr>
          <w:i/>
          <w:sz w:val="22"/>
          <w:szCs w:val="22"/>
        </w:rPr>
        <w:t>determinations have established permit limits as low as 4.1 ppmvd, it has been through supporting</w:t>
      </w:r>
      <w:r>
        <w:rPr>
          <w:i/>
          <w:sz w:val="22"/>
          <w:szCs w:val="22"/>
        </w:rPr>
        <w:t xml:space="preserve"> </w:t>
      </w:r>
      <w:r w:rsidRPr="002066D7">
        <w:rPr>
          <w:i/>
          <w:sz w:val="22"/>
          <w:szCs w:val="22"/>
        </w:rPr>
        <w:t xml:space="preserve">operational data of their existing fleet of similar turbines. </w:t>
      </w:r>
      <w:r>
        <w:rPr>
          <w:i/>
          <w:sz w:val="22"/>
          <w:szCs w:val="22"/>
        </w:rPr>
        <w:t xml:space="preserve"> </w:t>
      </w:r>
      <w:r w:rsidRPr="002066D7">
        <w:rPr>
          <w:i/>
          <w:sz w:val="22"/>
          <w:szCs w:val="22"/>
        </w:rPr>
        <w:t>Because historical operating data are not</w:t>
      </w:r>
      <w:r>
        <w:rPr>
          <w:i/>
          <w:sz w:val="22"/>
          <w:szCs w:val="22"/>
        </w:rPr>
        <w:t xml:space="preserve"> </w:t>
      </w:r>
      <w:r w:rsidRPr="002066D7">
        <w:rPr>
          <w:i/>
          <w:sz w:val="22"/>
          <w:szCs w:val="22"/>
        </w:rPr>
        <w:t>available for the 7FA.05 and Siemens F5 units, vendor guarantees should be used to establish the</w:t>
      </w:r>
      <w:r>
        <w:rPr>
          <w:i/>
          <w:sz w:val="22"/>
          <w:szCs w:val="22"/>
        </w:rPr>
        <w:t xml:space="preserve"> </w:t>
      </w:r>
      <w:r w:rsidRPr="002066D7">
        <w:rPr>
          <w:i/>
          <w:sz w:val="22"/>
          <w:szCs w:val="22"/>
        </w:rPr>
        <w:t>BACT limits.</w:t>
      </w:r>
      <w:r>
        <w:rPr>
          <w:i/>
          <w:sz w:val="22"/>
          <w:szCs w:val="22"/>
        </w:rPr>
        <w:t>”</w:t>
      </w:r>
    </w:p>
    <w:p w:rsidR="007255E8" w:rsidRDefault="007255E8" w:rsidP="007E12A4">
      <w:pPr>
        <w:widowControl w:val="0"/>
        <w:spacing w:after="120"/>
        <w:rPr>
          <w:sz w:val="22"/>
          <w:szCs w:val="22"/>
        </w:rPr>
      </w:pPr>
      <w:r>
        <w:rPr>
          <w:sz w:val="22"/>
          <w:szCs w:val="22"/>
        </w:rPr>
        <w:t>Also a</w:t>
      </w:r>
      <w:r w:rsidR="007E12A4">
        <w:rPr>
          <w:sz w:val="22"/>
          <w:szCs w:val="22"/>
        </w:rPr>
        <w:t>ccording to the applicant</w:t>
      </w:r>
      <w:r>
        <w:rPr>
          <w:sz w:val="22"/>
          <w:szCs w:val="22"/>
        </w:rPr>
        <w:t>:</w:t>
      </w:r>
    </w:p>
    <w:p w:rsidR="007255E8" w:rsidRDefault="007255E8" w:rsidP="007255E8">
      <w:pPr>
        <w:widowControl w:val="0"/>
        <w:spacing w:after="120"/>
        <w:rPr>
          <w:i/>
          <w:sz w:val="22"/>
          <w:szCs w:val="22"/>
        </w:rPr>
      </w:pPr>
      <w:r>
        <w:rPr>
          <w:i/>
          <w:sz w:val="22"/>
          <w:szCs w:val="22"/>
        </w:rPr>
        <w:t>“</w:t>
      </w:r>
      <w:r w:rsidRPr="007255E8">
        <w:rPr>
          <w:i/>
          <w:sz w:val="22"/>
          <w:szCs w:val="22"/>
        </w:rPr>
        <w:t>The capital and annualized cost of a CO oxidation catalyst are approximately $2,100,000</w:t>
      </w:r>
      <w:r>
        <w:rPr>
          <w:i/>
          <w:sz w:val="22"/>
          <w:szCs w:val="22"/>
        </w:rPr>
        <w:t xml:space="preserve"> </w:t>
      </w:r>
      <w:r w:rsidRPr="007255E8">
        <w:rPr>
          <w:i/>
          <w:sz w:val="22"/>
          <w:szCs w:val="22"/>
        </w:rPr>
        <w:t xml:space="preserve">and $600,000 per unit, respectively, corresponding to the most cost effective scenario. </w:t>
      </w:r>
      <w:r>
        <w:rPr>
          <w:i/>
          <w:sz w:val="22"/>
          <w:szCs w:val="22"/>
        </w:rPr>
        <w:t xml:space="preserve"> </w:t>
      </w:r>
      <w:r w:rsidRPr="007255E8">
        <w:rPr>
          <w:i/>
          <w:sz w:val="22"/>
          <w:szCs w:val="22"/>
        </w:rPr>
        <w:t>The resulting</w:t>
      </w:r>
      <w:r>
        <w:rPr>
          <w:i/>
          <w:sz w:val="22"/>
          <w:szCs w:val="22"/>
        </w:rPr>
        <w:t xml:space="preserve"> </w:t>
      </w:r>
      <w:r w:rsidRPr="007255E8">
        <w:rPr>
          <w:i/>
          <w:sz w:val="22"/>
          <w:szCs w:val="22"/>
        </w:rPr>
        <w:t xml:space="preserve">cost effectiveness is greater than $10,000 per ton of CO removed. </w:t>
      </w:r>
      <w:r>
        <w:rPr>
          <w:i/>
          <w:sz w:val="22"/>
          <w:szCs w:val="22"/>
        </w:rPr>
        <w:t xml:space="preserve"> </w:t>
      </w:r>
      <w:r w:rsidRPr="007255E8">
        <w:rPr>
          <w:i/>
          <w:sz w:val="22"/>
          <w:szCs w:val="22"/>
        </w:rPr>
        <w:t>The cost effectiveness is based</w:t>
      </w:r>
      <w:r>
        <w:rPr>
          <w:i/>
          <w:sz w:val="22"/>
          <w:szCs w:val="22"/>
        </w:rPr>
        <w:t xml:space="preserve"> </w:t>
      </w:r>
      <w:r w:rsidRPr="007255E8">
        <w:rPr>
          <w:i/>
          <w:sz w:val="22"/>
          <w:szCs w:val="22"/>
        </w:rPr>
        <w:t xml:space="preserve">on 2,890 hr/yr on natural gas and 500 hours per year of operation on ULSD oil. </w:t>
      </w:r>
      <w:r>
        <w:rPr>
          <w:i/>
          <w:sz w:val="22"/>
          <w:szCs w:val="22"/>
        </w:rPr>
        <w:t xml:space="preserve"> </w:t>
      </w:r>
      <w:r w:rsidRPr="007255E8">
        <w:rPr>
          <w:i/>
          <w:sz w:val="22"/>
          <w:szCs w:val="22"/>
        </w:rPr>
        <w:t>No costs are</w:t>
      </w:r>
      <w:r>
        <w:rPr>
          <w:i/>
          <w:sz w:val="22"/>
          <w:szCs w:val="22"/>
        </w:rPr>
        <w:t xml:space="preserve"> </w:t>
      </w:r>
      <w:r w:rsidRPr="007255E8">
        <w:rPr>
          <w:i/>
          <w:sz w:val="22"/>
          <w:szCs w:val="22"/>
        </w:rPr>
        <w:t xml:space="preserve">associated with combustion techniques since they are inherent in the design. </w:t>
      </w:r>
      <w:r>
        <w:rPr>
          <w:i/>
          <w:sz w:val="22"/>
          <w:szCs w:val="22"/>
        </w:rPr>
        <w:t xml:space="preserve"> </w:t>
      </w:r>
      <w:r w:rsidRPr="007255E8">
        <w:rPr>
          <w:i/>
          <w:sz w:val="22"/>
          <w:szCs w:val="22"/>
        </w:rPr>
        <w:t>In addition, actual CO</w:t>
      </w:r>
      <w:r>
        <w:rPr>
          <w:i/>
          <w:sz w:val="22"/>
          <w:szCs w:val="22"/>
        </w:rPr>
        <w:t xml:space="preserve"> </w:t>
      </w:r>
      <w:r w:rsidRPr="007255E8">
        <w:rPr>
          <w:i/>
          <w:sz w:val="22"/>
          <w:szCs w:val="22"/>
        </w:rPr>
        <w:t>emissions are likely to be less than the GE guarantee</w:t>
      </w:r>
      <w:r>
        <w:rPr>
          <w:i/>
          <w:sz w:val="22"/>
          <w:szCs w:val="22"/>
        </w:rPr>
        <w:t>d</w:t>
      </w:r>
      <w:r w:rsidRPr="007255E8">
        <w:rPr>
          <w:i/>
          <w:sz w:val="22"/>
          <w:szCs w:val="22"/>
        </w:rPr>
        <w:t xml:space="preserve"> rates of 9 ppmvd and 20 ppmvd (for gas and</w:t>
      </w:r>
      <w:r>
        <w:rPr>
          <w:i/>
          <w:sz w:val="22"/>
          <w:szCs w:val="22"/>
        </w:rPr>
        <w:t xml:space="preserve"> </w:t>
      </w:r>
      <w:r w:rsidRPr="007255E8">
        <w:rPr>
          <w:i/>
          <w:sz w:val="22"/>
          <w:szCs w:val="22"/>
        </w:rPr>
        <w:t>oil, respectively) and as a result the cost effectiveness based on actual emissions would be higher</w:t>
      </w:r>
      <w:r>
        <w:rPr>
          <w:i/>
          <w:sz w:val="22"/>
          <w:szCs w:val="22"/>
        </w:rPr>
        <w:t xml:space="preserve"> </w:t>
      </w:r>
      <w:r w:rsidRPr="007255E8">
        <w:rPr>
          <w:i/>
          <w:sz w:val="22"/>
          <w:szCs w:val="22"/>
        </w:rPr>
        <w:t>than $11,000 per ton of CO removed.</w:t>
      </w:r>
      <w:r>
        <w:rPr>
          <w:i/>
          <w:sz w:val="22"/>
          <w:szCs w:val="22"/>
        </w:rPr>
        <w:t>”</w:t>
      </w:r>
    </w:p>
    <w:p w:rsidR="001C085B" w:rsidRPr="007255E8" w:rsidRDefault="001C085B" w:rsidP="00C070A4">
      <w:pPr>
        <w:widowControl w:val="0"/>
        <w:numPr>
          <w:ilvl w:val="3"/>
          <w:numId w:val="2"/>
        </w:numPr>
        <w:tabs>
          <w:tab w:val="left" w:pos="720"/>
        </w:tabs>
        <w:spacing w:after="120"/>
        <w:ind w:left="720" w:hanging="720"/>
        <w:rPr>
          <w:i/>
          <w:sz w:val="22"/>
          <w:szCs w:val="22"/>
        </w:rPr>
      </w:pPr>
      <w:r w:rsidRPr="007255E8">
        <w:rPr>
          <w:i/>
          <w:sz w:val="22"/>
          <w:szCs w:val="22"/>
        </w:rPr>
        <w:t>Department’s Assessment of Applicant’s CO BACT Proposal</w:t>
      </w:r>
    </w:p>
    <w:p w:rsidR="001C085B" w:rsidRDefault="001C085B" w:rsidP="007E12A4">
      <w:pPr>
        <w:widowControl w:val="0"/>
        <w:spacing w:after="120"/>
        <w:rPr>
          <w:sz w:val="22"/>
          <w:szCs w:val="22"/>
        </w:rPr>
      </w:pPr>
      <w:r w:rsidRPr="001C085B">
        <w:rPr>
          <w:sz w:val="22"/>
          <w:szCs w:val="22"/>
        </w:rPr>
        <w:t xml:space="preserve">The Department </w:t>
      </w:r>
      <w:r>
        <w:rPr>
          <w:sz w:val="22"/>
          <w:szCs w:val="22"/>
        </w:rPr>
        <w:t xml:space="preserve">does not necessarily agree with the costs presented by the applicant.  However, the Department concurs that oxidation catalyst is not cost-effective to reduce CO emissions </w:t>
      </w:r>
      <w:r w:rsidR="00AA2E09">
        <w:rPr>
          <w:sz w:val="22"/>
          <w:szCs w:val="22"/>
        </w:rPr>
        <w:t xml:space="preserve">by 80% (value given by the </w:t>
      </w:r>
      <w:r w:rsidR="00F7653E">
        <w:rPr>
          <w:sz w:val="22"/>
          <w:szCs w:val="22"/>
        </w:rPr>
        <w:t>applicant</w:t>
      </w:r>
      <w:r w:rsidR="00AA2E09">
        <w:rPr>
          <w:sz w:val="22"/>
          <w:szCs w:val="22"/>
        </w:rPr>
        <w:t>)</w:t>
      </w:r>
      <w:r>
        <w:rPr>
          <w:sz w:val="22"/>
          <w:szCs w:val="22"/>
        </w:rPr>
        <w:t xml:space="preserve"> to </w:t>
      </w:r>
      <w:r w:rsidR="00F7653E">
        <w:rPr>
          <w:sz w:val="22"/>
          <w:szCs w:val="22"/>
        </w:rPr>
        <w:t xml:space="preserve">levels of </w:t>
      </w:r>
      <w:r>
        <w:rPr>
          <w:sz w:val="22"/>
          <w:szCs w:val="22"/>
        </w:rPr>
        <w:t xml:space="preserve">2 and 4 ppmvd for natural gas and fuel oil, respectively.  In fact, based on data from the </w:t>
      </w:r>
      <w:r w:rsidR="002119F8">
        <w:rPr>
          <w:sz w:val="22"/>
          <w:szCs w:val="22"/>
        </w:rPr>
        <w:t xml:space="preserve">GE </w:t>
      </w:r>
      <w:r>
        <w:rPr>
          <w:sz w:val="22"/>
          <w:szCs w:val="22"/>
        </w:rPr>
        <w:t>7FA.03</w:t>
      </w:r>
      <w:r w:rsidR="002119F8">
        <w:rPr>
          <w:sz w:val="22"/>
          <w:szCs w:val="22"/>
        </w:rPr>
        <w:t xml:space="preserve"> units</w:t>
      </w:r>
      <w:r w:rsidR="00AA2E09">
        <w:rPr>
          <w:sz w:val="22"/>
          <w:szCs w:val="22"/>
        </w:rPr>
        <w:t xml:space="preserve"> presented in </w:t>
      </w:r>
      <w:r w:rsidR="00AA2E09" w:rsidRPr="00AA2E09">
        <w:rPr>
          <w:b/>
          <w:sz w:val="22"/>
          <w:szCs w:val="22"/>
        </w:rPr>
        <w:t>subsection 3.2.3.</w:t>
      </w:r>
      <w:r w:rsidR="003702BA">
        <w:rPr>
          <w:b/>
          <w:sz w:val="22"/>
          <w:szCs w:val="22"/>
        </w:rPr>
        <w:t>1</w:t>
      </w:r>
      <w:r w:rsidR="00AA2E09">
        <w:rPr>
          <w:sz w:val="22"/>
          <w:szCs w:val="22"/>
        </w:rPr>
        <w:t xml:space="preserve"> an</w:t>
      </w:r>
      <w:r w:rsidR="002119F8">
        <w:rPr>
          <w:sz w:val="22"/>
          <w:szCs w:val="22"/>
        </w:rPr>
        <w:t xml:space="preserve"> </w:t>
      </w:r>
      <w:r>
        <w:rPr>
          <w:sz w:val="22"/>
          <w:szCs w:val="22"/>
        </w:rPr>
        <w:t xml:space="preserve">oxidation catalyst is not even necessary to meet the target values </w:t>
      </w:r>
      <w:r w:rsidR="002119F8">
        <w:rPr>
          <w:sz w:val="22"/>
          <w:szCs w:val="22"/>
        </w:rPr>
        <w:t>of 2 and 4 ppmvd</w:t>
      </w:r>
      <w:r>
        <w:rPr>
          <w:sz w:val="22"/>
          <w:szCs w:val="22"/>
        </w:rPr>
        <w:t xml:space="preserve">.  </w:t>
      </w:r>
    </w:p>
    <w:p w:rsidR="00C527FD" w:rsidRDefault="00C527FD" w:rsidP="007E12A4">
      <w:pPr>
        <w:widowControl w:val="0"/>
        <w:spacing w:after="120"/>
        <w:rPr>
          <w:sz w:val="22"/>
          <w:szCs w:val="22"/>
        </w:rPr>
      </w:pPr>
      <w:r>
        <w:rPr>
          <w:sz w:val="22"/>
          <w:szCs w:val="22"/>
        </w:rPr>
        <w:t xml:space="preserve">In addition, to the cost considerations discussed above, another reason why an oxidation catalyst may not be desirable for this project is the possible affect that such </w:t>
      </w:r>
      <w:r w:rsidR="001B4F6B">
        <w:rPr>
          <w:sz w:val="22"/>
          <w:szCs w:val="22"/>
        </w:rPr>
        <w:t xml:space="preserve">a </w:t>
      </w:r>
      <w:r>
        <w:rPr>
          <w:sz w:val="22"/>
          <w:szCs w:val="22"/>
        </w:rPr>
        <w:t>pollution control device may have on the emissions of NO</w:t>
      </w:r>
      <w:r w:rsidRPr="001B4F6B">
        <w:rPr>
          <w:sz w:val="22"/>
          <w:szCs w:val="22"/>
          <w:vertAlign w:val="subscript"/>
        </w:rPr>
        <w:t>2</w:t>
      </w:r>
      <w:r>
        <w:rPr>
          <w:sz w:val="22"/>
          <w:szCs w:val="22"/>
        </w:rPr>
        <w:t xml:space="preserve"> from a CT equipment.  Per an email from Mike Bilelow of </w:t>
      </w:r>
      <w:r w:rsidR="001B4F6B">
        <w:rPr>
          <w:sz w:val="22"/>
          <w:szCs w:val="22"/>
        </w:rPr>
        <w:t xml:space="preserve">the </w:t>
      </w:r>
      <w:r w:rsidRPr="00C527FD">
        <w:rPr>
          <w:sz w:val="22"/>
          <w:szCs w:val="22"/>
        </w:rPr>
        <w:t>Oglethorpe Power Corporation</w:t>
      </w:r>
      <w:r>
        <w:rPr>
          <w:sz w:val="22"/>
          <w:szCs w:val="22"/>
        </w:rPr>
        <w:t xml:space="preserve"> of Georgia, an oxidation catalyst may under certain circumstances oxidize NO to NO</w:t>
      </w:r>
      <w:r w:rsidRPr="00C22A32">
        <w:rPr>
          <w:sz w:val="22"/>
          <w:szCs w:val="22"/>
          <w:vertAlign w:val="subscript"/>
        </w:rPr>
        <w:t xml:space="preserve">2 </w:t>
      </w:r>
      <w:r>
        <w:rPr>
          <w:sz w:val="22"/>
          <w:szCs w:val="22"/>
        </w:rPr>
        <w:t xml:space="preserve">which could have repercussions with regard to </w:t>
      </w:r>
      <w:r w:rsidR="00C22A32">
        <w:rPr>
          <w:sz w:val="22"/>
          <w:szCs w:val="22"/>
        </w:rPr>
        <w:t>meeting the</w:t>
      </w:r>
      <w:r>
        <w:rPr>
          <w:sz w:val="22"/>
          <w:szCs w:val="22"/>
        </w:rPr>
        <w:t xml:space="preserve"> 1-hour NO</w:t>
      </w:r>
      <w:r w:rsidRPr="00203E3B">
        <w:rPr>
          <w:sz w:val="22"/>
          <w:szCs w:val="22"/>
          <w:vertAlign w:val="subscript"/>
        </w:rPr>
        <w:t>2</w:t>
      </w:r>
      <w:r>
        <w:rPr>
          <w:sz w:val="22"/>
          <w:szCs w:val="22"/>
        </w:rPr>
        <w:t xml:space="preserve"> NAAQS</w:t>
      </w:r>
      <w:r>
        <w:rPr>
          <w:rStyle w:val="FootnoteReference"/>
          <w:sz w:val="22"/>
          <w:szCs w:val="22"/>
        </w:rPr>
        <w:footnoteReference w:id="8"/>
      </w:r>
      <w:r>
        <w:rPr>
          <w:sz w:val="22"/>
          <w:szCs w:val="22"/>
        </w:rPr>
        <w:t>.  In particular, Mr. Bilelow stated:</w:t>
      </w:r>
    </w:p>
    <w:p w:rsidR="00C527FD" w:rsidRPr="00C527FD" w:rsidRDefault="00C527FD" w:rsidP="00C527FD">
      <w:pPr>
        <w:spacing w:after="120"/>
        <w:rPr>
          <w:i/>
          <w:sz w:val="22"/>
          <w:szCs w:val="22"/>
        </w:rPr>
      </w:pPr>
      <w:r>
        <w:rPr>
          <w:i/>
          <w:sz w:val="22"/>
          <w:szCs w:val="22"/>
        </w:rPr>
        <w:lastRenderedPageBreak/>
        <w:t>“</w:t>
      </w:r>
      <w:r w:rsidRPr="00C527FD">
        <w:rPr>
          <w:i/>
          <w:sz w:val="22"/>
          <w:szCs w:val="22"/>
        </w:rPr>
        <w:t>At our simple cycle CT plants the NO</w:t>
      </w:r>
      <w:r w:rsidRPr="00C527FD">
        <w:rPr>
          <w:i/>
          <w:sz w:val="22"/>
          <w:szCs w:val="22"/>
          <w:vertAlign w:val="subscript"/>
        </w:rPr>
        <w:t xml:space="preserve">2 </w:t>
      </w:r>
      <w:r w:rsidRPr="00C527FD">
        <w:rPr>
          <w:i/>
          <w:sz w:val="22"/>
          <w:szCs w:val="22"/>
        </w:rPr>
        <w:t>is about 10% of the total NO</w:t>
      </w:r>
      <w:r w:rsidRPr="00C527FD">
        <w:rPr>
          <w:i/>
          <w:sz w:val="22"/>
          <w:szCs w:val="22"/>
          <w:vertAlign w:val="subscript"/>
        </w:rPr>
        <w:t>X</w:t>
      </w:r>
      <w:r w:rsidRPr="00C527FD">
        <w:rPr>
          <w:i/>
          <w:sz w:val="22"/>
          <w:szCs w:val="22"/>
        </w:rPr>
        <w:t xml:space="preserve">, but our combined cycle Chattahoochee Energy Facility has both an Oxidation Catalyst and an SCR. </w:t>
      </w:r>
      <w:r>
        <w:rPr>
          <w:i/>
          <w:sz w:val="22"/>
          <w:szCs w:val="22"/>
        </w:rPr>
        <w:t xml:space="preserve"> </w:t>
      </w:r>
      <w:r w:rsidRPr="00C527FD">
        <w:rPr>
          <w:i/>
          <w:sz w:val="22"/>
          <w:szCs w:val="22"/>
        </w:rPr>
        <w:t xml:space="preserve">The Oxidation Catalyst is </w:t>
      </w:r>
      <w:r>
        <w:rPr>
          <w:i/>
          <w:sz w:val="22"/>
          <w:szCs w:val="22"/>
        </w:rPr>
        <w:t xml:space="preserve">responsible for converting the </w:t>
      </w:r>
      <w:r w:rsidRPr="00C527FD">
        <w:rPr>
          <w:i/>
          <w:sz w:val="22"/>
          <w:szCs w:val="22"/>
        </w:rPr>
        <w:t>NO to NO</w:t>
      </w:r>
      <w:r w:rsidRPr="00C527FD">
        <w:rPr>
          <w:i/>
          <w:sz w:val="22"/>
          <w:szCs w:val="22"/>
          <w:vertAlign w:val="subscript"/>
        </w:rPr>
        <w:t>2</w:t>
      </w:r>
      <w:r w:rsidRPr="00C527FD">
        <w:rPr>
          <w:i/>
          <w:sz w:val="22"/>
          <w:szCs w:val="22"/>
        </w:rPr>
        <w:t>.</w:t>
      </w:r>
      <w:r>
        <w:rPr>
          <w:i/>
          <w:sz w:val="22"/>
          <w:szCs w:val="22"/>
        </w:rPr>
        <w:t>”</w:t>
      </w:r>
      <w:r w:rsidRPr="00C527FD">
        <w:rPr>
          <w:i/>
          <w:sz w:val="22"/>
          <w:szCs w:val="22"/>
        </w:rPr>
        <w:t xml:space="preserve"> </w:t>
      </w:r>
    </w:p>
    <w:p w:rsidR="00C527FD" w:rsidRDefault="00C22A32" w:rsidP="007E12A4">
      <w:pPr>
        <w:widowControl w:val="0"/>
        <w:spacing w:after="120"/>
        <w:rPr>
          <w:sz w:val="22"/>
          <w:szCs w:val="22"/>
        </w:rPr>
      </w:pPr>
      <w:r>
        <w:rPr>
          <w:sz w:val="22"/>
          <w:szCs w:val="22"/>
        </w:rPr>
        <w:t>T</w:t>
      </w:r>
      <w:r w:rsidR="00C527FD">
        <w:rPr>
          <w:sz w:val="22"/>
          <w:szCs w:val="22"/>
        </w:rPr>
        <w:t xml:space="preserve">he primary justification of FPL for this project is to </w:t>
      </w:r>
      <w:r>
        <w:rPr>
          <w:sz w:val="22"/>
          <w:szCs w:val="22"/>
        </w:rPr>
        <w:t>reduce</w:t>
      </w:r>
      <w:r w:rsidR="00C527FD">
        <w:rPr>
          <w:sz w:val="22"/>
          <w:szCs w:val="22"/>
        </w:rPr>
        <w:t xml:space="preserve"> the likelihood of non-</w:t>
      </w:r>
      <w:r>
        <w:rPr>
          <w:sz w:val="22"/>
          <w:szCs w:val="22"/>
        </w:rPr>
        <w:t>attainment with regard to the 1-hour NO</w:t>
      </w:r>
      <w:r w:rsidRPr="00C22A32">
        <w:rPr>
          <w:sz w:val="22"/>
          <w:szCs w:val="22"/>
          <w:vertAlign w:val="subscript"/>
        </w:rPr>
        <w:t>2</w:t>
      </w:r>
      <w:r>
        <w:rPr>
          <w:sz w:val="22"/>
          <w:szCs w:val="22"/>
        </w:rPr>
        <w:t xml:space="preserve"> NAAQS</w:t>
      </w:r>
      <w:r w:rsidR="00C527FD">
        <w:rPr>
          <w:sz w:val="22"/>
          <w:szCs w:val="22"/>
        </w:rPr>
        <w:t xml:space="preserve"> near the Lauderdale Plant </w:t>
      </w:r>
      <w:r>
        <w:rPr>
          <w:sz w:val="22"/>
          <w:szCs w:val="22"/>
        </w:rPr>
        <w:t>due</w:t>
      </w:r>
      <w:r w:rsidR="00C527FD">
        <w:rPr>
          <w:sz w:val="22"/>
          <w:szCs w:val="22"/>
        </w:rPr>
        <w:t xml:space="preserve"> to the high NO</w:t>
      </w:r>
      <w:r w:rsidR="00C527FD" w:rsidRPr="00C22A32">
        <w:rPr>
          <w:sz w:val="22"/>
          <w:szCs w:val="22"/>
          <w:vertAlign w:val="subscript"/>
        </w:rPr>
        <w:t>X</w:t>
      </w:r>
      <w:r w:rsidR="00C527FD">
        <w:rPr>
          <w:sz w:val="22"/>
          <w:szCs w:val="22"/>
        </w:rPr>
        <w:t xml:space="preserve"> emission rates of the </w:t>
      </w:r>
      <w:r>
        <w:rPr>
          <w:sz w:val="22"/>
          <w:szCs w:val="22"/>
        </w:rPr>
        <w:t>existing</w:t>
      </w:r>
      <w:r w:rsidR="00C527FD">
        <w:rPr>
          <w:sz w:val="22"/>
          <w:szCs w:val="22"/>
        </w:rPr>
        <w:t xml:space="preserve"> GT peaker units</w:t>
      </w:r>
      <w:r>
        <w:rPr>
          <w:sz w:val="22"/>
          <w:szCs w:val="22"/>
        </w:rPr>
        <w:t>.  Consequently, increasing</w:t>
      </w:r>
      <w:r w:rsidR="00C527FD">
        <w:rPr>
          <w:sz w:val="22"/>
          <w:szCs w:val="22"/>
        </w:rPr>
        <w:t xml:space="preserve"> the ratio of NO to NO</w:t>
      </w:r>
      <w:r w:rsidR="00C527FD" w:rsidRPr="00C22A32">
        <w:rPr>
          <w:sz w:val="22"/>
          <w:szCs w:val="22"/>
          <w:vertAlign w:val="subscript"/>
        </w:rPr>
        <w:t>2</w:t>
      </w:r>
      <w:r w:rsidR="00C527FD">
        <w:rPr>
          <w:sz w:val="22"/>
          <w:szCs w:val="22"/>
        </w:rPr>
        <w:t xml:space="preserve"> </w:t>
      </w:r>
      <w:r>
        <w:rPr>
          <w:sz w:val="22"/>
          <w:szCs w:val="22"/>
        </w:rPr>
        <w:t>via installation of an</w:t>
      </w:r>
      <w:r w:rsidRPr="00C22A32">
        <w:rPr>
          <w:i/>
          <w:sz w:val="22"/>
          <w:szCs w:val="22"/>
        </w:rPr>
        <w:t xml:space="preserve"> </w:t>
      </w:r>
      <w:r w:rsidR="001B4F6B">
        <w:rPr>
          <w:sz w:val="22"/>
          <w:szCs w:val="22"/>
        </w:rPr>
        <w:t>o</w:t>
      </w:r>
      <w:r w:rsidRPr="00C22A32">
        <w:rPr>
          <w:sz w:val="22"/>
          <w:szCs w:val="22"/>
        </w:rPr>
        <w:t xml:space="preserve">xidation </w:t>
      </w:r>
      <w:r w:rsidR="001B4F6B">
        <w:rPr>
          <w:sz w:val="22"/>
          <w:szCs w:val="22"/>
        </w:rPr>
        <w:t>c</w:t>
      </w:r>
      <w:r w:rsidRPr="00C22A32">
        <w:rPr>
          <w:sz w:val="22"/>
          <w:szCs w:val="22"/>
        </w:rPr>
        <w:t xml:space="preserve">atalyst </w:t>
      </w:r>
      <w:r w:rsidR="001B4F6B">
        <w:rPr>
          <w:sz w:val="22"/>
          <w:szCs w:val="22"/>
        </w:rPr>
        <w:t xml:space="preserve">on the new CT peaker units </w:t>
      </w:r>
      <w:r w:rsidR="00C527FD" w:rsidRPr="00C22A32">
        <w:rPr>
          <w:sz w:val="22"/>
          <w:szCs w:val="22"/>
        </w:rPr>
        <w:t>i</w:t>
      </w:r>
      <w:r w:rsidR="00C527FD">
        <w:rPr>
          <w:sz w:val="22"/>
          <w:szCs w:val="22"/>
        </w:rPr>
        <w:t>s problematic.</w:t>
      </w:r>
    </w:p>
    <w:p w:rsidR="00AA2E09" w:rsidRPr="007255E8" w:rsidRDefault="00AA2E09" w:rsidP="00AA2E09">
      <w:pPr>
        <w:widowControl w:val="0"/>
        <w:spacing w:after="120"/>
        <w:rPr>
          <w:sz w:val="22"/>
          <w:szCs w:val="22"/>
        </w:rPr>
      </w:pPr>
      <w:r>
        <w:rPr>
          <w:sz w:val="22"/>
          <w:szCs w:val="22"/>
        </w:rPr>
        <w:t>It should be noted that according to</w:t>
      </w:r>
      <w:r w:rsidRPr="007255E8">
        <w:rPr>
          <w:sz w:val="22"/>
          <w:szCs w:val="22"/>
        </w:rPr>
        <w:t xml:space="preserve"> Table 2-1a of the </w:t>
      </w:r>
      <w:r>
        <w:rPr>
          <w:sz w:val="22"/>
          <w:szCs w:val="22"/>
        </w:rPr>
        <w:t xml:space="preserve">FPL </w:t>
      </w:r>
      <w:r w:rsidR="007944FF">
        <w:rPr>
          <w:sz w:val="22"/>
          <w:szCs w:val="22"/>
        </w:rPr>
        <w:t>Lauderdale</w:t>
      </w:r>
      <w:r>
        <w:rPr>
          <w:sz w:val="22"/>
          <w:szCs w:val="22"/>
        </w:rPr>
        <w:t xml:space="preserve"> project </w:t>
      </w:r>
      <w:r w:rsidRPr="007255E8">
        <w:rPr>
          <w:sz w:val="22"/>
          <w:szCs w:val="22"/>
        </w:rPr>
        <w:t xml:space="preserve">application </w:t>
      </w:r>
      <w:r w:rsidR="00464ACC">
        <w:rPr>
          <w:sz w:val="22"/>
          <w:szCs w:val="22"/>
        </w:rPr>
        <w:t>pertaining to</w:t>
      </w:r>
      <w:r w:rsidRPr="007255E8">
        <w:rPr>
          <w:sz w:val="22"/>
          <w:szCs w:val="22"/>
        </w:rPr>
        <w:t xml:space="preserve"> the GE 7FA, CO emission rates while firing natural gas are all below 8 ppmvd @</w:t>
      </w:r>
      <w:r w:rsidR="004F4E8F">
        <w:rPr>
          <w:sz w:val="22"/>
          <w:szCs w:val="22"/>
        </w:rPr>
        <w:t xml:space="preserve"> </w:t>
      </w:r>
      <w:r w:rsidRPr="007255E8">
        <w:rPr>
          <w:sz w:val="22"/>
          <w:szCs w:val="22"/>
        </w:rPr>
        <w:t>15% O</w:t>
      </w:r>
      <w:r w:rsidRPr="007255E8">
        <w:rPr>
          <w:sz w:val="22"/>
          <w:szCs w:val="22"/>
          <w:vertAlign w:val="subscript"/>
        </w:rPr>
        <w:t>2</w:t>
      </w:r>
      <w:r w:rsidRPr="007255E8">
        <w:rPr>
          <w:sz w:val="22"/>
          <w:szCs w:val="22"/>
        </w:rPr>
        <w:t xml:space="preserve"> under all operating scenarios, while in Table 2-2a CO emission rates when firing ULSD fuel oil are all below 15 ppmvd @ 15% O</w:t>
      </w:r>
      <w:r w:rsidRPr="007255E8">
        <w:rPr>
          <w:sz w:val="22"/>
          <w:szCs w:val="22"/>
          <w:vertAlign w:val="subscript"/>
        </w:rPr>
        <w:t>2</w:t>
      </w:r>
      <w:r w:rsidR="00DC7ACD">
        <w:rPr>
          <w:sz w:val="22"/>
          <w:szCs w:val="22"/>
          <w:vertAlign w:val="subscript"/>
        </w:rPr>
        <w:t xml:space="preserve"> </w:t>
      </w:r>
      <w:r w:rsidR="00DC7ACD" w:rsidRPr="00DC7ACD">
        <w:rPr>
          <w:sz w:val="22"/>
          <w:szCs w:val="22"/>
        </w:rPr>
        <w:t>(</w:t>
      </w:r>
      <w:r w:rsidR="004F4E8F">
        <w:rPr>
          <w:sz w:val="22"/>
          <w:szCs w:val="22"/>
        </w:rPr>
        <w:t>below</w:t>
      </w:r>
      <w:r w:rsidR="00DC7ACD" w:rsidRPr="00DC7ACD">
        <w:rPr>
          <w:sz w:val="22"/>
          <w:szCs w:val="22"/>
        </w:rPr>
        <w:t xml:space="preserve"> 18 ppmvd uncorrected)</w:t>
      </w:r>
      <w:r w:rsidRPr="007255E8">
        <w:rPr>
          <w:sz w:val="22"/>
          <w:szCs w:val="22"/>
        </w:rPr>
        <w:t xml:space="preserve"> under all operating scenarios.  In Table 2-1b</w:t>
      </w:r>
      <w:r>
        <w:rPr>
          <w:sz w:val="22"/>
          <w:szCs w:val="22"/>
        </w:rPr>
        <w:t xml:space="preserve"> of the application</w:t>
      </w:r>
      <w:r w:rsidR="00464ACC">
        <w:rPr>
          <w:sz w:val="22"/>
          <w:szCs w:val="22"/>
        </w:rPr>
        <w:t xml:space="preserve"> which pertains to</w:t>
      </w:r>
      <w:r w:rsidRPr="007255E8">
        <w:rPr>
          <w:sz w:val="22"/>
          <w:szCs w:val="22"/>
        </w:rPr>
        <w:t xml:space="preserve"> the Siemens F5, CO emission rates while firing natural gas are 4 ppmvd @15% O</w:t>
      </w:r>
      <w:r w:rsidRPr="007255E8">
        <w:rPr>
          <w:sz w:val="22"/>
          <w:szCs w:val="22"/>
          <w:vertAlign w:val="subscript"/>
        </w:rPr>
        <w:t>2</w:t>
      </w:r>
      <w:r w:rsidRPr="007255E8">
        <w:rPr>
          <w:sz w:val="22"/>
          <w:szCs w:val="22"/>
        </w:rPr>
        <w:t xml:space="preserve"> under all operating scenarios while in Table 2-2b CO emission rates when firing ULSD fuel oil are 9 ppmvd @ 15% O</w:t>
      </w:r>
      <w:r w:rsidRPr="007255E8">
        <w:rPr>
          <w:sz w:val="22"/>
          <w:szCs w:val="22"/>
          <w:vertAlign w:val="subscript"/>
        </w:rPr>
        <w:t>2</w:t>
      </w:r>
      <w:r w:rsidRPr="007255E8">
        <w:rPr>
          <w:sz w:val="22"/>
          <w:szCs w:val="22"/>
        </w:rPr>
        <w:t xml:space="preserve"> </w:t>
      </w:r>
      <w:r w:rsidR="004F4E8F">
        <w:rPr>
          <w:sz w:val="22"/>
          <w:szCs w:val="22"/>
        </w:rPr>
        <w:t xml:space="preserve">(below 11 ppmvd uncorrected) </w:t>
      </w:r>
      <w:r w:rsidRPr="007255E8">
        <w:rPr>
          <w:sz w:val="22"/>
          <w:szCs w:val="22"/>
        </w:rPr>
        <w:t>under all operating scenarios.</w:t>
      </w:r>
    </w:p>
    <w:p w:rsidR="00AA2E09" w:rsidRDefault="00AA2E09" w:rsidP="00AA2E09">
      <w:pPr>
        <w:widowControl w:val="0"/>
        <w:spacing w:after="120"/>
        <w:rPr>
          <w:sz w:val="22"/>
          <w:szCs w:val="22"/>
        </w:rPr>
      </w:pPr>
      <w:r w:rsidRPr="007255E8">
        <w:rPr>
          <w:sz w:val="22"/>
          <w:szCs w:val="22"/>
        </w:rPr>
        <w:t xml:space="preserve">Based on this </w:t>
      </w:r>
      <w:r>
        <w:rPr>
          <w:sz w:val="22"/>
          <w:szCs w:val="22"/>
        </w:rPr>
        <w:t>information</w:t>
      </w:r>
      <w:r w:rsidR="00464ACC">
        <w:rPr>
          <w:sz w:val="22"/>
          <w:szCs w:val="22"/>
        </w:rPr>
        <w:t xml:space="preserve"> and the historic CO emissions data presented in </w:t>
      </w:r>
      <w:r w:rsidR="00464ACC" w:rsidRPr="00AA2E09">
        <w:rPr>
          <w:b/>
          <w:sz w:val="22"/>
          <w:szCs w:val="22"/>
        </w:rPr>
        <w:t>subsection 3.2.3.</w:t>
      </w:r>
      <w:r w:rsidR="003702BA">
        <w:rPr>
          <w:b/>
          <w:sz w:val="22"/>
          <w:szCs w:val="22"/>
        </w:rPr>
        <w:t>1</w:t>
      </w:r>
      <w:r>
        <w:rPr>
          <w:sz w:val="22"/>
          <w:szCs w:val="22"/>
        </w:rPr>
        <w:t xml:space="preserve">, the requested CO </w:t>
      </w:r>
      <w:r w:rsidRPr="007255E8">
        <w:rPr>
          <w:sz w:val="22"/>
          <w:szCs w:val="22"/>
        </w:rPr>
        <w:t>BACT</w:t>
      </w:r>
      <w:r>
        <w:rPr>
          <w:sz w:val="22"/>
          <w:szCs w:val="22"/>
        </w:rPr>
        <w:t xml:space="preserve"> of 9</w:t>
      </w:r>
      <w:r w:rsidR="002A44ED">
        <w:rPr>
          <w:sz w:val="22"/>
          <w:szCs w:val="22"/>
        </w:rPr>
        <w:t xml:space="preserve"> ppmvd</w:t>
      </w:r>
      <w:r>
        <w:rPr>
          <w:sz w:val="22"/>
          <w:szCs w:val="22"/>
        </w:rPr>
        <w:t xml:space="preserve"> </w:t>
      </w:r>
      <w:r w:rsidR="005352E5">
        <w:rPr>
          <w:sz w:val="22"/>
          <w:szCs w:val="22"/>
        </w:rPr>
        <w:t>@ 15% O</w:t>
      </w:r>
      <w:r w:rsidR="005352E5" w:rsidRPr="00F42DD6">
        <w:rPr>
          <w:sz w:val="22"/>
          <w:szCs w:val="22"/>
          <w:vertAlign w:val="subscript"/>
        </w:rPr>
        <w:t>2</w:t>
      </w:r>
      <w:r w:rsidR="005352E5">
        <w:rPr>
          <w:sz w:val="22"/>
          <w:szCs w:val="22"/>
        </w:rPr>
        <w:t xml:space="preserve"> </w:t>
      </w:r>
      <w:r>
        <w:rPr>
          <w:sz w:val="22"/>
          <w:szCs w:val="22"/>
        </w:rPr>
        <w:t xml:space="preserve">and 20 ppmvd </w:t>
      </w:r>
      <w:r w:rsidR="004F4E8F">
        <w:rPr>
          <w:sz w:val="22"/>
          <w:szCs w:val="22"/>
        </w:rPr>
        <w:t xml:space="preserve">uncorrected </w:t>
      </w:r>
      <w:r>
        <w:rPr>
          <w:sz w:val="22"/>
          <w:szCs w:val="22"/>
        </w:rPr>
        <w:t xml:space="preserve">for natural gas and </w:t>
      </w:r>
      <w:r w:rsidR="006A225B">
        <w:rPr>
          <w:sz w:val="22"/>
          <w:szCs w:val="22"/>
        </w:rPr>
        <w:t>ULSD</w:t>
      </w:r>
      <w:r>
        <w:rPr>
          <w:sz w:val="22"/>
          <w:szCs w:val="22"/>
        </w:rPr>
        <w:t xml:space="preserve"> fuel oil, respectively appears high</w:t>
      </w:r>
      <w:r w:rsidR="00B80DF9">
        <w:rPr>
          <w:sz w:val="22"/>
          <w:szCs w:val="22"/>
        </w:rPr>
        <w:t>,</w:t>
      </w:r>
      <w:r>
        <w:rPr>
          <w:sz w:val="22"/>
          <w:szCs w:val="22"/>
        </w:rPr>
        <w:t xml:space="preserve"> </w:t>
      </w:r>
      <w:r w:rsidR="00464ACC">
        <w:rPr>
          <w:sz w:val="22"/>
          <w:szCs w:val="22"/>
        </w:rPr>
        <w:t>especially with regard to</w:t>
      </w:r>
      <w:r w:rsidRPr="007255E8">
        <w:rPr>
          <w:sz w:val="22"/>
          <w:szCs w:val="22"/>
        </w:rPr>
        <w:t xml:space="preserve"> the Siemens F5 CT </w:t>
      </w:r>
      <w:r w:rsidR="00464ACC">
        <w:rPr>
          <w:sz w:val="22"/>
          <w:szCs w:val="22"/>
        </w:rPr>
        <w:t xml:space="preserve">which </w:t>
      </w:r>
      <w:r w:rsidR="006A225B">
        <w:rPr>
          <w:sz w:val="22"/>
          <w:szCs w:val="22"/>
        </w:rPr>
        <w:t>is</w:t>
      </w:r>
      <w:r w:rsidR="00464ACC">
        <w:rPr>
          <w:sz w:val="22"/>
          <w:szCs w:val="22"/>
        </w:rPr>
        <w:t xml:space="preserve"> </w:t>
      </w:r>
      <w:r>
        <w:rPr>
          <w:sz w:val="22"/>
          <w:szCs w:val="22"/>
        </w:rPr>
        <w:t>able to</w:t>
      </w:r>
      <w:r w:rsidRPr="007255E8">
        <w:rPr>
          <w:sz w:val="22"/>
          <w:szCs w:val="22"/>
        </w:rPr>
        <w:t xml:space="preserve"> achieve CO emission </w:t>
      </w:r>
      <w:r>
        <w:rPr>
          <w:sz w:val="22"/>
          <w:szCs w:val="22"/>
        </w:rPr>
        <w:t>rate</w:t>
      </w:r>
      <w:r w:rsidR="006A225B">
        <w:rPr>
          <w:sz w:val="22"/>
          <w:szCs w:val="22"/>
        </w:rPr>
        <w:t>s</w:t>
      </w:r>
      <w:r>
        <w:rPr>
          <w:sz w:val="22"/>
          <w:szCs w:val="22"/>
        </w:rPr>
        <w:t xml:space="preserve"> approximately 55% less</w:t>
      </w:r>
      <w:r w:rsidRPr="007255E8">
        <w:rPr>
          <w:sz w:val="22"/>
          <w:szCs w:val="22"/>
        </w:rPr>
        <w:t xml:space="preserve"> </w:t>
      </w:r>
      <w:r w:rsidR="00464ACC">
        <w:rPr>
          <w:sz w:val="22"/>
          <w:szCs w:val="22"/>
        </w:rPr>
        <w:t xml:space="preserve">than the requested values </w:t>
      </w:r>
      <w:r w:rsidRPr="007255E8">
        <w:rPr>
          <w:sz w:val="22"/>
          <w:szCs w:val="22"/>
        </w:rPr>
        <w:t xml:space="preserve">when firing natural gas and ULSD fuel oil.  </w:t>
      </w:r>
      <w:r w:rsidR="00B80DF9">
        <w:rPr>
          <w:sz w:val="22"/>
          <w:szCs w:val="22"/>
        </w:rPr>
        <w:t>In other words</w:t>
      </w:r>
      <w:r w:rsidRPr="007255E8">
        <w:rPr>
          <w:sz w:val="22"/>
          <w:szCs w:val="22"/>
        </w:rPr>
        <w:t>, both the GE 7FA</w:t>
      </w:r>
      <w:r w:rsidR="006A225B">
        <w:rPr>
          <w:sz w:val="22"/>
          <w:szCs w:val="22"/>
        </w:rPr>
        <w:t>.05</w:t>
      </w:r>
      <w:r w:rsidRPr="007255E8">
        <w:rPr>
          <w:sz w:val="22"/>
          <w:szCs w:val="22"/>
        </w:rPr>
        <w:t xml:space="preserve"> and Siemens F5 CT provide better CO emission rate performance then the 9 ppmvd </w:t>
      </w:r>
      <w:r w:rsidR="002A44ED" w:rsidRPr="002A44ED">
        <w:rPr>
          <w:sz w:val="22"/>
          <w:szCs w:val="22"/>
        </w:rPr>
        <w:t>@ 15% O</w:t>
      </w:r>
      <w:r w:rsidR="002A44ED" w:rsidRPr="002A44ED">
        <w:rPr>
          <w:sz w:val="22"/>
          <w:szCs w:val="22"/>
          <w:vertAlign w:val="subscript"/>
        </w:rPr>
        <w:t>2</w:t>
      </w:r>
      <w:r w:rsidR="002A44ED" w:rsidRPr="002A44ED">
        <w:rPr>
          <w:sz w:val="22"/>
          <w:szCs w:val="22"/>
        </w:rPr>
        <w:t xml:space="preserve"> </w:t>
      </w:r>
      <w:r w:rsidRPr="007255E8">
        <w:rPr>
          <w:sz w:val="22"/>
          <w:szCs w:val="22"/>
        </w:rPr>
        <w:t>(natural gas) and 20 ppmvd (fuel oil) which FPL has proposed as BACT.</w:t>
      </w:r>
    </w:p>
    <w:p w:rsidR="00773402" w:rsidRDefault="00773402" w:rsidP="00773402">
      <w:pPr>
        <w:pStyle w:val="BodyText2"/>
        <w:widowControl w:val="0"/>
        <w:numPr>
          <w:ilvl w:val="0"/>
          <w:numId w:val="0"/>
        </w:numPr>
        <w:jc w:val="left"/>
        <w:rPr>
          <w:szCs w:val="22"/>
        </w:rPr>
      </w:pPr>
      <w:r>
        <w:rPr>
          <w:szCs w:val="22"/>
        </w:rPr>
        <w:t>The Department accessed product development information</w:t>
      </w:r>
      <w:r w:rsidR="002E7545">
        <w:rPr>
          <w:szCs w:val="22"/>
        </w:rPr>
        <w:t xml:space="preserve"> for the GE7FA.05 combustion turbine</w:t>
      </w:r>
      <w:r w:rsidR="00B80DF9">
        <w:rPr>
          <w:szCs w:val="22"/>
        </w:rPr>
        <w:t xml:space="preserve"> at </w:t>
      </w:r>
      <w:hyperlink r:id="rId47" w:history="1">
        <w:r w:rsidR="00B80DF9" w:rsidRPr="00355CE3">
          <w:rPr>
            <w:rStyle w:val="Hyperlink"/>
            <w:szCs w:val="22"/>
          </w:rPr>
          <w:t>http://www.scribd.com/doc/44554552/7FA-GT-Classic-Re-Imagined-GEA17911</w:t>
        </w:r>
      </w:hyperlink>
      <w:r w:rsidR="00B80DF9">
        <w:rPr>
          <w:szCs w:val="22"/>
        </w:rPr>
        <w:t xml:space="preserve"> </w:t>
      </w:r>
      <w:r>
        <w:rPr>
          <w:szCs w:val="22"/>
        </w:rPr>
        <w:t xml:space="preserve">.  According to </w:t>
      </w:r>
      <w:r w:rsidR="00B80DF9" w:rsidRPr="007D1B9F">
        <w:rPr>
          <w:b/>
          <w:szCs w:val="22"/>
        </w:rPr>
        <w:fldChar w:fldCharType="begin"/>
      </w:r>
      <w:r w:rsidR="00B80DF9" w:rsidRPr="007D1B9F">
        <w:rPr>
          <w:b/>
          <w:szCs w:val="22"/>
        </w:rPr>
        <w:instrText xml:space="preserve"> REF _Ref365554154 \h </w:instrText>
      </w:r>
      <w:r w:rsidR="007D1B9F">
        <w:rPr>
          <w:b/>
          <w:szCs w:val="22"/>
        </w:rPr>
        <w:instrText xml:space="preserve"> \* MERGEFORMAT </w:instrText>
      </w:r>
      <w:r w:rsidR="00B80DF9" w:rsidRPr="007D1B9F">
        <w:rPr>
          <w:b/>
          <w:szCs w:val="22"/>
        </w:rPr>
      </w:r>
      <w:r w:rsidR="00B80DF9" w:rsidRPr="007D1B9F">
        <w:rPr>
          <w:b/>
          <w:szCs w:val="22"/>
        </w:rPr>
        <w:fldChar w:fldCharType="separate"/>
      </w:r>
      <w:r w:rsidR="007F3589" w:rsidRPr="007F3589">
        <w:rPr>
          <w:b/>
        </w:rPr>
        <w:t xml:space="preserve">Table </w:t>
      </w:r>
      <w:r w:rsidR="007F3589" w:rsidRPr="007F3589">
        <w:rPr>
          <w:b/>
          <w:noProof/>
        </w:rPr>
        <w:t>12</w:t>
      </w:r>
      <w:r w:rsidR="00B80DF9" w:rsidRPr="007D1B9F">
        <w:rPr>
          <w:b/>
          <w:szCs w:val="22"/>
        </w:rPr>
        <w:fldChar w:fldCharType="end"/>
      </w:r>
      <w:r w:rsidR="00B80DF9">
        <w:rPr>
          <w:szCs w:val="22"/>
        </w:rPr>
        <w:t xml:space="preserve"> </w:t>
      </w:r>
      <w:r>
        <w:rPr>
          <w:szCs w:val="22"/>
        </w:rPr>
        <w:t xml:space="preserve">below reproduced from their product information, it appears that they do not (yet) offer the 5 ppmvd guarantee for the GE 7FA.05 product.  </w:t>
      </w:r>
      <w:r w:rsidR="002A0686">
        <w:rPr>
          <w:szCs w:val="22"/>
        </w:rPr>
        <w:t>I</w:t>
      </w:r>
      <w:r>
        <w:rPr>
          <w:szCs w:val="22"/>
        </w:rPr>
        <w:t>f they do offer such a guarantee on a case-by-case basis, they do not yet publicize it.</w:t>
      </w:r>
    </w:p>
    <w:p w:rsidR="00773402" w:rsidRPr="00B80DF9" w:rsidRDefault="00B80DF9" w:rsidP="00B80DF9">
      <w:pPr>
        <w:pStyle w:val="Caption"/>
        <w:spacing w:before="0"/>
        <w:jc w:val="center"/>
        <w:rPr>
          <w:szCs w:val="22"/>
        </w:rPr>
      </w:pPr>
      <w:bookmarkStart w:id="35" w:name="_Ref365554154"/>
      <w:r w:rsidRPr="00B80DF9">
        <w:t xml:space="preserve">Table </w:t>
      </w:r>
      <w:fldSimple w:instr=" SEQ Table \* ARABIC ">
        <w:r w:rsidR="007F3589">
          <w:rPr>
            <w:noProof/>
          </w:rPr>
          <w:t>12</w:t>
        </w:r>
      </w:fldSimple>
      <w:bookmarkEnd w:id="35"/>
      <w:r w:rsidRPr="00B80DF9">
        <w:t xml:space="preserve"> </w:t>
      </w:r>
      <w:r w:rsidR="00773402" w:rsidRPr="00B80DF9">
        <w:rPr>
          <w:szCs w:val="22"/>
        </w:rPr>
        <w:t>– Performance of GE 7FA.05 Combustion Turbine-Generator (source GE)</w:t>
      </w:r>
      <w:r>
        <w:rPr>
          <w:szCs w:val="22"/>
        </w:rPr>
        <w:t>.</w:t>
      </w:r>
    </w:p>
    <w:tbl>
      <w:tblPr>
        <w:tblW w:w="92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40"/>
        <w:gridCol w:w="2677"/>
        <w:gridCol w:w="2430"/>
      </w:tblGrid>
      <w:tr w:rsidR="00773402" w:rsidRPr="00D71E09" w:rsidTr="002E7738">
        <w:trPr>
          <w:trHeight w:val="144"/>
        </w:trPr>
        <w:tc>
          <w:tcPr>
            <w:tcW w:w="4140" w:type="dxa"/>
            <w:shd w:val="clear" w:color="auto" w:fill="C6D9F1"/>
          </w:tcPr>
          <w:p w:rsidR="00773402" w:rsidRPr="00B80DF9" w:rsidRDefault="007740F8" w:rsidP="00B80DF9">
            <w:pPr>
              <w:spacing w:before="20" w:after="20"/>
              <w:ind w:left="162" w:hanging="162"/>
              <w:rPr>
                <w:b/>
                <w:bCs/>
              </w:rPr>
            </w:pPr>
            <w:r w:rsidRPr="00B80DF9">
              <w:rPr>
                <w:b/>
                <w:bCs/>
              </w:rPr>
              <w:t>Parameter</w:t>
            </w:r>
          </w:p>
        </w:tc>
        <w:tc>
          <w:tcPr>
            <w:tcW w:w="2677" w:type="dxa"/>
            <w:shd w:val="clear" w:color="auto" w:fill="C6D9F1"/>
          </w:tcPr>
          <w:p w:rsidR="00773402" w:rsidRPr="00B80DF9" w:rsidRDefault="00773402" w:rsidP="00B80DF9">
            <w:pPr>
              <w:spacing w:before="20" w:after="20"/>
              <w:ind w:left="162" w:hanging="162"/>
              <w:jc w:val="center"/>
              <w:rPr>
                <w:b/>
                <w:bCs/>
              </w:rPr>
            </w:pPr>
            <w:r w:rsidRPr="00B80DF9">
              <w:rPr>
                <w:b/>
                <w:bCs/>
              </w:rPr>
              <w:t>Simple Cycle</w:t>
            </w:r>
          </w:p>
        </w:tc>
        <w:tc>
          <w:tcPr>
            <w:tcW w:w="2430" w:type="dxa"/>
            <w:shd w:val="clear" w:color="auto" w:fill="C6D9F1"/>
          </w:tcPr>
          <w:p w:rsidR="00773402" w:rsidRPr="00B80DF9" w:rsidRDefault="00773402" w:rsidP="00B80DF9">
            <w:pPr>
              <w:spacing w:before="20" w:after="20"/>
              <w:ind w:left="162" w:hanging="162"/>
              <w:jc w:val="center"/>
              <w:rPr>
                <w:b/>
                <w:bCs/>
              </w:rPr>
            </w:pPr>
            <w:r w:rsidRPr="00B80DF9">
              <w:rPr>
                <w:b/>
                <w:bCs/>
              </w:rPr>
              <w:t>Combined Cycle*</w:t>
            </w:r>
          </w:p>
        </w:tc>
      </w:tr>
      <w:tr w:rsidR="00773402" w:rsidRPr="00D71E09" w:rsidTr="002E7738">
        <w:trPr>
          <w:trHeight w:val="144"/>
        </w:trPr>
        <w:tc>
          <w:tcPr>
            <w:tcW w:w="4140" w:type="dxa"/>
          </w:tcPr>
          <w:p w:rsidR="00773402" w:rsidRPr="00B80DF9" w:rsidRDefault="00773402" w:rsidP="00B80DF9">
            <w:pPr>
              <w:pStyle w:val="Default"/>
              <w:spacing w:before="20" w:after="20"/>
              <w:rPr>
                <w:sz w:val="20"/>
                <w:szCs w:val="20"/>
              </w:rPr>
            </w:pPr>
            <w:r w:rsidRPr="00B80DF9">
              <w:rPr>
                <w:sz w:val="20"/>
                <w:szCs w:val="20"/>
              </w:rPr>
              <w:t>Output (MW)</w:t>
            </w:r>
          </w:p>
        </w:tc>
        <w:tc>
          <w:tcPr>
            <w:tcW w:w="2677" w:type="dxa"/>
          </w:tcPr>
          <w:p w:rsidR="00773402" w:rsidRPr="00B80DF9" w:rsidRDefault="00773402" w:rsidP="00B80DF9">
            <w:pPr>
              <w:pStyle w:val="Default"/>
              <w:spacing w:before="20" w:after="20"/>
              <w:jc w:val="center"/>
              <w:rPr>
                <w:sz w:val="20"/>
                <w:szCs w:val="20"/>
              </w:rPr>
            </w:pPr>
            <w:r w:rsidRPr="00B80DF9">
              <w:rPr>
                <w:sz w:val="20"/>
                <w:szCs w:val="20"/>
              </w:rPr>
              <w:t xml:space="preserve">211 </w:t>
            </w:r>
          </w:p>
        </w:tc>
        <w:tc>
          <w:tcPr>
            <w:tcW w:w="2430" w:type="dxa"/>
          </w:tcPr>
          <w:p w:rsidR="00773402" w:rsidRPr="00B80DF9" w:rsidRDefault="00773402" w:rsidP="00B80DF9">
            <w:pPr>
              <w:pStyle w:val="Default"/>
              <w:spacing w:before="20" w:after="20"/>
              <w:jc w:val="center"/>
              <w:rPr>
                <w:sz w:val="20"/>
                <w:szCs w:val="20"/>
              </w:rPr>
            </w:pPr>
            <w:r w:rsidRPr="00B80DF9">
              <w:rPr>
                <w:sz w:val="20"/>
                <w:szCs w:val="20"/>
              </w:rPr>
              <w:t>627</w:t>
            </w:r>
          </w:p>
        </w:tc>
      </w:tr>
      <w:tr w:rsidR="00773402" w:rsidRPr="00D71E09" w:rsidTr="002E7738">
        <w:trPr>
          <w:trHeight w:val="144"/>
        </w:trPr>
        <w:tc>
          <w:tcPr>
            <w:tcW w:w="4140" w:type="dxa"/>
          </w:tcPr>
          <w:p w:rsidR="00773402" w:rsidRPr="00B80DF9" w:rsidRDefault="00773402" w:rsidP="00B80DF9">
            <w:pPr>
              <w:pStyle w:val="Default"/>
              <w:spacing w:before="20" w:after="20"/>
              <w:rPr>
                <w:sz w:val="20"/>
                <w:szCs w:val="20"/>
              </w:rPr>
            </w:pPr>
            <w:r w:rsidRPr="00B80DF9">
              <w:rPr>
                <w:sz w:val="20"/>
                <w:szCs w:val="20"/>
              </w:rPr>
              <w:t>Efficiency (%, Lower heating Value - LHV)</w:t>
            </w:r>
          </w:p>
        </w:tc>
        <w:tc>
          <w:tcPr>
            <w:tcW w:w="2677" w:type="dxa"/>
          </w:tcPr>
          <w:p w:rsidR="00773402" w:rsidRPr="00B80DF9" w:rsidRDefault="00773402" w:rsidP="00B80DF9">
            <w:pPr>
              <w:pStyle w:val="Default"/>
              <w:spacing w:before="20" w:after="20"/>
              <w:jc w:val="center"/>
              <w:rPr>
                <w:sz w:val="20"/>
                <w:szCs w:val="20"/>
              </w:rPr>
            </w:pPr>
            <w:r w:rsidRPr="00B80DF9">
              <w:rPr>
                <w:sz w:val="20"/>
                <w:szCs w:val="20"/>
              </w:rPr>
              <w:t>38.5</w:t>
            </w:r>
          </w:p>
        </w:tc>
        <w:tc>
          <w:tcPr>
            <w:tcW w:w="2430" w:type="dxa"/>
          </w:tcPr>
          <w:p w:rsidR="00773402" w:rsidRPr="00B80DF9" w:rsidRDefault="00773402" w:rsidP="00B80DF9">
            <w:pPr>
              <w:pStyle w:val="Default"/>
              <w:spacing w:before="20" w:after="20"/>
              <w:jc w:val="center"/>
              <w:rPr>
                <w:sz w:val="20"/>
                <w:szCs w:val="20"/>
              </w:rPr>
            </w:pPr>
            <w:r w:rsidRPr="00B80DF9">
              <w:rPr>
                <w:sz w:val="20"/>
                <w:szCs w:val="20"/>
              </w:rPr>
              <w:t>57.5</w:t>
            </w:r>
          </w:p>
        </w:tc>
      </w:tr>
      <w:tr w:rsidR="00773402" w:rsidRPr="00D71E09" w:rsidTr="002E7738">
        <w:trPr>
          <w:trHeight w:val="144"/>
        </w:trPr>
        <w:tc>
          <w:tcPr>
            <w:tcW w:w="4140" w:type="dxa"/>
          </w:tcPr>
          <w:p w:rsidR="00773402" w:rsidRPr="00B80DF9" w:rsidRDefault="00773402" w:rsidP="00B80DF9">
            <w:pPr>
              <w:pStyle w:val="Default"/>
              <w:spacing w:before="20" w:after="20"/>
              <w:rPr>
                <w:sz w:val="20"/>
                <w:szCs w:val="20"/>
              </w:rPr>
            </w:pPr>
            <w:r w:rsidRPr="00B80DF9">
              <w:rPr>
                <w:sz w:val="20"/>
                <w:szCs w:val="20"/>
              </w:rPr>
              <w:t>Heat Rate (Btu/kW-hour, LHV)</w:t>
            </w:r>
          </w:p>
        </w:tc>
        <w:tc>
          <w:tcPr>
            <w:tcW w:w="2677" w:type="dxa"/>
          </w:tcPr>
          <w:p w:rsidR="00773402" w:rsidRPr="00B80DF9" w:rsidRDefault="00773402" w:rsidP="00B80DF9">
            <w:pPr>
              <w:pStyle w:val="Default"/>
              <w:spacing w:before="20" w:after="20"/>
              <w:jc w:val="center"/>
              <w:rPr>
                <w:sz w:val="20"/>
                <w:szCs w:val="20"/>
              </w:rPr>
            </w:pPr>
            <w:r w:rsidRPr="00B80DF9">
              <w:rPr>
                <w:sz w:val="20"/>
                <w:szCs w:val="20"/>
              </w:rPr>
              <w:t>8,872</w:t>
            </w:r>
          </w:p>
        </w:tc>
        <w:tc>
          <w:tcPr>
            <w:tcW w:w="2430" w:type="dxa"/>
          </w:tcPr>
          <w:p w:rsidR="00773402" w:rsidRPr="00B80DF9" w:rsidRDefault="00773402" w:rsidP="00B80DF9">
            <w:pPr>
              <w:pStyle w:val="Default"/>
              <w:spacing w:before="20" w:after="20"/>
              <w:jc w:val="center"/>
              <w:rPr>
                <w:color w:val="auto"/>
                <w:sz w:val="20"/>
                <w:szCs w:val="20"/>
              </w:rPr>
            </w:pPr>
            <w:r w:rsidRPr="00B80DF9">
              <w:rPr>
                <w:color w:val="auto"/>
                <w:sz w:val="20"/>
                <w:szCs w:val="20"/>
              </w:rPr>
              <w:t>5,934</w:t>
            </w:r>
          </w:p>
        </w:tc>
      </w:tr>
      <w:tr w:rsidR="00773402" w:rsidRPr="00D71E09" w:rsidTr="002E7738">
        <w:trPr>
          <w:trHeight w:val="144"/>
        </w:trPr>
        <w:tc>
          <w:tcPr>
            <w:tcW w:w="4140" w:type="dxa"/>
          </w:tcPr>
          <w:p w:rsidR="00773402" w:rsidRPr="00B80DF9" w:rsidRDefault="00773402" w:rsidP="00B80DF9">
            <w:pPr>
              <w:pStyle w:val="Default"/>
              <w:spacing w:before="20" w:after="20"/>
              <w:rPr>
                <w:sz w:val="20"/>
                <w:szCs w:val="20"/>
              </w:rPr>
            </w:pPr>
            <w:r w:rsidRPr="00B80DF9">
              <w:rPr>
                <w:sz w:val="20"/>
                <w:szCs w:val="20"/>
              </w:rPr>
              <w:t>NO</w:t>
            </w:r>
            <w:r w:rsidRPr="00B80DF9">
              <w:rPr>
                <w:sz w:val="20"/>
                <w:szCs w:val="20"/>
                <w:vertAlign w:val="subscript"/>
              </w:rPr>
              <w:t>X</w:t>
            </w:r>
            <w:r w:rsidRPr="00B80DF9">
              <w:rPr>
                <w:sz w:val="20"/>
                <w:szCs w:val="20"/>
              </w:rPr>
              <w:t xml:space="preserve"> (ppmvd@15% O</w:t>
            </w:r>
            <w:r w:rsidRPr="00B80DF9">
              <w:rPr>
                <w:sz w:val="20"/>
                <w:szCs w:val="20"/>
                <w:vertAlign w:val="subscript"/>
              </w:rPr>
              <w:t>2</w:t>
            </w:r>
            <w:r w:rsidRPr="00B80DF9">
              <w:rPr>
                <w:sz w:val="20"/>
                <w:szCs w:val="20"/>
              </w:rPr>
              <w:t>)</w:t>
            </w:r>
          </w:p>
        </w:tc>
        <w:tc>
          <w:tcPr>
            <w:tcW w:w="2677" w:type="dxa"/>
          </w:tcPr>
          <w:p w:rsidR="00773402" w:rsidRPr="00B80DF9" w:rsidRDefault="00773402" w:rsidP="00B80DF9">
            <w:pPr>
              <w:pStyle w:val="Default"/>
              <w:spacing w:before="20" w:after="20"/>
              <w:jc w:val="center"/>
              <w:rPr>
                <w:sz w:val="20"/>
                <w:szCs w:val="20"/>
              </w:rPr>
            </w:pPr>
            <w:r w:rsidRPr="00B80DF9">
              <w:rPr>
                <w:sz w:val="20"/>
                <w:szCs w:val="20"/>
              </w:rPr>
              <w:t>9</w:t>
            </w:r>
          </w:p>
        </w:tc>
        <w:tc>
          <w:tcPr>
            <w:tcW w:w="2430" w:type="dxa"/>
          </w:tcPr>
          <w:p w:rsidR="00773402" w:rsidRPr="00B80DF9" w:rsidRDefault="00773402" w:rsidP="00B80DF9">
            <w:pPr>
              <w:pStyle w:val="Default"/>
              <w:spacing w:before="20" w:after="20"/>
              <w:jc w:val="center"/>
              <w:rPr>
                <w:color w:val="auto"/>
                <w:sz w:val="20"/>
                <w:szCs w:val="20"/>
              </w:rPr>
            </w:pPr>
            <w:r w:rsidRPr="00B80DF9">
              <w:rPr>
                <w:color w:val="auto"/>
                <w:sz w:val="20"/>
                <w:szCs w:val="20"/>
              </w:rPr>
              <w:t>2</w:t>
            </w:r>
          </w:p>
        </w:tc>
      </w:tr>
      <w:tr w:rsidR="00773402" w:rsidRPr="00D71E09" w:rsidTr="002E7738">
        <w:trPr>
          <w:trHeight w:val="144"/>
        </w:trPr>
        <w:tc>
          <w:tcPr>
            <w:tcW w:w="4140" w:type="dxa"/>
          </w:tcPr>
          <w:p w:rsidR="00773402" w:rsidRPr="00B80DF9" w:rsidRDefault="00773402" w:rsidP="00B80DF9">
            <w:pPr>
              <w:pStyle w:val="Default"/>
              <w:spacing w:before="20" w:after="20"/>
              <w:rPr>
                <w:sz w:val="20"/>
                <w:szCs w:val="20"/>
              </w:rPr>
            </w:pPr>
            <w:r w:rsidRPr="00B80DF9">
              <w:rPr>
                <w:sz w:val="20"/>
                <w:szCs w:val="20"/>
              </w:rPr>
              <w:t>CO (ppmvd)</w:t>
            </w:r>
          </w:p>
        </w:tc>
        <w:tc>
          <w:tcPr>
            <w:tcW w:w="2677" w:type="dxa"/>
          </w:tcPr>
          <w:p w:rsidR="00773402" w:rsidRPr="00B80DF9" w:rsidRDefault="00773402" w:rsidP="00B80DF9">
            <w:pPr>
              <w:pStyle w:val="Default"/>
              <w:spacing w:before="20" w:after="20"/>
              <w:jc w:val="center"/>
              <w:rPr>
                <w:sz w:val="20"/>
                <w:szCs w:val="20"/>
              </w:rPr>
            </w:pPr>
            <w:r w:rsidRPr="00B80DF9">
              <w:rPr>
                <w:sz w:val="20"/>
                <w:szCs w:val="20"/>
              </w:rPr>
              <w:t>9</w:t>
            </w:r>
          </w:p>
        </w:tc>
        <w:tc>
          <w:tcPr>
            <w:tcW w:w="2430" w:type="dxa"/>
          </w:tcPr>
          <w:p w:rsidR="00773402" w:rsidRPr="00B80DF9" w:rsidRDefault="00773402" w:rsidP="00B80DF9">
            <w:pPr>
              <w:pStyle w:val="Default"/>
              <w:spacing w:before="20" w:after="20"/>
              <w:jc w:val="center"/>
              <w:rPr>
                <w:sz w:val="20"/>
                <w:szCs w:val="20"/>
              </w:rPr>
            </w:pPr>
            <w:r w:rsidRPr="00B80DF9">
              <w:rPr>
                <w:sz w:val="20"/>
                <w:szCs w:val="20"/>
              </w:rPr>
              <w:t>9</w:t>
            </w:r>
          </w:p>
        </w:tc>
      </w:tr>
      <w:tr w:rsidR="00773402" w:rsidRPr="00D71E09" w:rsidTr="002E7738">
        <w:trPr>
          <w:trHeight w:val="185"/>
        </w:trPr>
        <w:tc>
          <w:tcPr>
            <w:tcW w:w="9247" w:type="dxa"/>
            <w:gridSpan w:val="3"/>
          </w:tcPr>
          <w:p w:rsidR="00773402" w:rsidRPr="00B80DF9" w:rsidRDefault="00773402" w:rsidP="00D31E26">
            <w:pPr>
              <w:pStyle w:val="Default"/>
              <w:spacing w:before="20" w:after="20"/>
              <w:ind w:left="162" w:hanging="162"/>
              <w:rPr>
                <w:sz w:val="18"/>
                <w:szCs w:val="18"/>
              </w:rPr>
            </w:pPr>
            <w:r w:rsidRPr="00B80DF9">
              <w:rPr>
                <w:sz w:val="18"/>
                <w:szCs w:val="18"/>
              </w:rPr>
              <w:t>* Combined cycle values assume gas fuel, ISO base load condition, 1.5</w:t>
            </w:r>
            <w:r w:rsidR="00D31E26" w:rsidRPr="00B80DF9">
              <w:rPr>
                <w:sz w:val="18"/>
                <w:szCs w:val="18"/>
              </w:rPr>
              <w:t xml:space="preserve"> inches</w:t>
            </w:r>
            <w:r w:rsidRPr="00B80DF9">
              <w:rPr>
                <w:sz w:val="18"/>
                <w:szCs w:val="18"/>
              </w:rPr>
              <w:t xml:space="preserve"> </w:t>
            </w:r>
            <w:r w:rsidR="00D31E26" w:rsidRPr="00B80DF9">
              <w:rPr>
                <w:sz w:val="18"/>
                <w:szCs w:val="18"/>
              </w:rPr>
              <w:t xml:space="preserve">mercury </w:t>
            </w:r>
            <w:r w:rsidRPr="00B80DF9">
              <w:rPr>
                <w:sz w:val="18"/>
                <w:szCs w:val="18"/>
              </w:rPr>
              <w:t>steam turbine back pressure</w:t>
            </w:r>
            <w:r w:rsidR="00D31E26" w:rsidRPr="00B80DF9">
              <w:rPr>
                <w:sz w:val="18"/>
                <w:szCs w:val="18"/>
              </w:rPr>
              <w:t>,</w:t>
            </w:r>
            <w:r w:rsidRPr="00B80DF9">
              <w:rPr>
                <w:sz w:val="18"/>
                <w:szCs w:val="18"/>
              </w:rPr>
              <w:t xml:space="preserve"> </w:t>
            </w:r>
            <w:r w:rsidRPr="00B80DF9">
              <w:rPr>
                <w:sz w:val="18"/>
                <w:szCs w:val="18"/>
              </w:rPr>
              <w:br/>
            </w:r>
            <w:r w:rsidR="00D31E26" w:rsidRPr="00B80DF9">
              <w:rPr>
                <w:sz w:val="18"/>
                <w:szCs w:val="18"/>
              </w:rPr>
              <w:t>two-on-one</w:t>
            </w:r>
            <w:r w:rsidRPr="00B80DF9">
              <w:rPr>
                <w:sz w:val="18"/>
                <w:szCs w:val="18"/>
              </w:rPr>
              <w:t xml:space="preserve"> combined cycle utilizing GE 207D-11 </w:t>
            </w:r>
            <w:r w:rsidR="00D31E26" w:rsidRPr="00B80DF9">
              <w:rPr>
                <w:sz w:val="18"/>
                <w:szCs w:val="18"/>
              </w:rPr>
              <w:t>steam turbine</w:t>
            </w:r>
            <w:r w:rsidRPr="00B80DF9">
              <w:rPr>
                <w:sz w:val="18"/>
                <w:szCs w:val="18"/>
              </w:rPr>
              <w:t>, SCR, no duct firing and no CO catalyst</w:t>
            </w:r>
          </w:p>
        </w:tc>
      </w:tr>
    </w:tbl>
    <w:p w:rsidR="00AF135C" w:rsidRDefault="00AF135C" w:rsidP="00AF135C">
      <w:pPr>
        <w:widowControl w:val="0"/>
        <w:spacing w:before="120" w:after="120"/>
        <w:rPr>
          <w:sz w:val="22"/>
          <w:szCs w:val="22"/>
        </w:rPr>
      </w:pPr>
      <w:r>
        <w:rPr>
          <w:sz w:val="22"/>
          <w:szCs w:val="22"/>
        </w:rPr>
        <w:t>However, t</w:t>
      </w:r>
      <w:r w:rsidRPr="002119F8">
        <w:rPr>
          <w:sz w:val="22"/>
          <w:szCs w:val="22"/>
        </w:rPr>
        <w:t xml:space="preserve">he arguments </w:t>
      </w:r>
      <w:r>
        <w:rPr>
          <w:sz w:val="22"/>
          <w:szCs w:val="22"/>
        </w:rPr>
        <w:t xml:space="preserve">presented by the applicant </w:t>
      </w:r>
      <w:r w:rsidR="007D1B9F">
        <w:rPr>
          <w:sz w:val="22"/>
          <w:szCs w:val="22"/>
        </w:rPr>
        <w:t xml:space="preserve">are </w:t>
      </w:r>
      <w:r w:rsidR="007D1B9F" w:rsidRPr="001B3258">
        <w:rPr>
          <w:sz w:val="22"/>
          <w:szCs w:val="22"/>
        </w:rPr>
        <w:t xml:space="preserve">difficult to understand </w:t>
      </w:r>
      <w:r w:rsidR="007D1B9F">
        <w:rPr>
          <w:sz w:val="22"/>
          <w:szCs w:val="22"/>
        </w:rPr>
        <w:t>from a technical point-of-view</w:t>
      </w:r>
      <w:r>
        <w:rPr>
          <w:sz w:val="22"/>
          <w:szCs w:val="22"/>
        </w:rPr>
        <w:t xml:space="preserve">.  </w:t>
      </w:r>
      <w:r w:rsidR="008471C7">
        <w:rPr>
          <w:sz w:val="22"/>
          <w:szCs w:val="22"/>
        </w:rPr>
        <w:t>For example, t</w:t>
      </w:r>
      <w:r>
        <w:rPr>
          <w:sz w:val="22"/>
          <w:szCs w:val="22"/>
        </w:rPr>
        <w:t>he GE 7FA.05 incorporates the same DLN-2.6 technology used by the 7FA.03 and 7FA.04.  Clearly, GE had enough confidence to provide the same low NO</w:t>
      </w:r>
      <w:r w:rsidRPr="002119F8">
        <w:rPr>
          <w:sz w:val="22"/>
          <w:szCs w:val="22"/>
          <w:vertAlign w:val="subscript"/>
        </w:rPr>
        <w:t>X</w:t>
      </w:r>
      <w:r>
        <w:rPr>
          <w:sz w:val="22"/>
          <w:szCs w:val="22"/>
        </w:rPr>
        <w:t xml:space="preserve"> guarantee of 9 ppmvd @15% O</w:t>
      </w:r>
      <w:r w:rsidRPr="00DF2A6B">
        <w:rPr>
          <w:sz w:val="22"/>
          <w:szCs w:val="22"/>
          <w:vertAlign w:val="subscript"/>
        </w:rPr>
        <w:t>2</w:t>
      </w:r>
      <w:r>
        <w:rPr>
          <w:sz w:val="22"/>
          <w:szCs w:val="22"/>
        </w:rPr>
        <w:t xml:space="preserve"> for the newer and larger unit that was provided for the earlier ones.  Generally, the entire GE 7FA line of turbines performs close to the guaranteed value for </w:t>
      </w:r>
      <w:r w:rsidRPr="002A44ED">
        <w:rPr>
          <w:sz w:val="22"/>
          <w:szCs w:val="22"/>
        </w:rPr>
        <w:t>NO</w:t>
      </w:r>
      <w:r w:rsidRPr="002A44ED">
        <w:rPr>
          <w:sz w:val="22"/>
          <w:szCs w:val="22"/>
          <w:vertAlign w:val="subscript"/>
        </w:rPr>
        <w:t>X</w:t>
      </w:r>
      <w:r w:rsidRPr="002A44ED">
        <w:rPr>
          <w:sz w:val="22"/>
          <w:szCs w:val="22"/>
        </w:rPr>
        <w:t xml:space="preserve"> (refer to </w:t>
      </w:r>
      <w:r w:rsidR="002A44ED" w:rsidRPr="002A44ED">
        <w:rPr>
          <w:b/>
          <w:sz w:val="22"/>
          <w:szCs w:val="22"/>
        </w:rPr>
        <w:fldChar w:fldCharType="begin"/>
      </w:r>
      <w:r w:rsidR="002A44ED" w:rsidRPr="002A44ED">
        <w:rPr>
          <w:b/>
          <w:sz w:val="22"/>
          <w:szCs w:val="22"/>
        </w:rPr>
        <w:instrText xml:space="preserve"> REF _Ref365550544 \h  \* MERGEFORMAT </w:instrText>
      </w:r>
      <w:r w:rsidR="002A44ED" w:rsidRPr="002A44ED">
        <w:rPr>
          <w:b/>
          <w:sz w:val="22"/>
          <w:szCs w:val="22"/>
        </w:rPr>
      </w:r>
      <w:r w:rsidR="002A44ED" w:rsidRPr="002A44ED">
        <w:rPr>
          <w:b/>
          <w:sz w:val="22"/>
          <w:szCs w:val="22"/>
        </w:rPr>
        <w:fldChar w:fldCharType="separate"/>
      </w:r>
      <w:r w:rsidR="002A44ED" w:rsidRPr="002A44ED">
        <w:rPr>
          <w:b/>
          <w:sz w:val="22"/>
          <w:szCs w:val="22"/>
        </w:rPr>
        <w:t xml:space="preserve">Table </w:t>
      </w:r>
      <w:r w:rsidR="002A44ED" w:rsidRPr="002A44ED">
        <w:rPr>
          <w:b/>
          <w:noProof/>
          <w:sz w:val="22"/>
          <w:szCs w:val="22"/>
        </w:rPr>
        <w:t>8</w:t>
      </w:r>
      <w:r w:rsidR="002A44ED" w:rsidRPr="002A44ED">
        <w:rPr>
          <w:b/>
          <w:sz w:val="22"/>
          <w:szCs w:val="22"/>
        </w:rPr>
        <w:fldChar w:fldCharType="end"/>
      </w:r>
      <w:r w:rsidR="002A44ED" w:rsidRPr="002A44ED">
        <w:rPr>
          <w:b/>
          <w:sz w:val="22"/>
          <w:szCs w:val="22"/>
        </w:rPr>
        <w:t xml:space="preserve"> to </w:t>
      </w:r>
      <w:r w:rsidR="002A44ED" w:rsidRPr="002A44ED">
        <w:rPr>
          <w:b/>
          <w:sz w:val="22"/>
          <w:szCs w:val="22"/>
        </w:rPr>
        <w:fldChar w:fldCharType="begin"/>
      </w:r>
      <w:r w:rsidR="002A44ED" w:rsidRPr="002A44ED">
        <w:rPr>
          <w:b/>
          <w:sz w:val="22"/>
          <w:szCs w:val="22"/>
        </w:rPr>
        <w:instrText xml:space="preserve"> REF _Ref365554154 \h  \* MERGEFORMAT </w:instrText>
      </w:r>
      <w:r w:rsidR="002A44ED" w:rsidRPr="002A44ED">
        <w:rPr>
          <w:b/>
          <w:sz w:val="22"/>
          <w:szCs w:val="22"/>
        </w:rPr>
      </w:r>
      <w:r w:rsidR="002A44ED" w:rsidRPr="002A44ED">
        <w:rPr>
          <w:b/>
          <w:sz w:val="22"/>
          <w:szCs w:val="22"/>
        </w:rPr>
        <w:fldChar w:fldCharType="separate"/>
      </w:r>
      <w:r w:rsidR="002A44ED" w:rsidRPr="002A44ED">
        <w:rPr>
          <w:b/>
          <w:sz w:val="22"/>
          <w:szCs w:val="22"/>
        </w:rPr>
        <w:t xml:space="preserve">Table </w:t>
      </w:r>
      <w:r w:rsidR="002A44ED" w:rsidRPr="002A44ED">
        <w:rPr>
          <w:b/>
          <w:noProof/>
          <w:sz w:val="22"/>
          <w:szCs w:val="22"/>
        </w:rPr>
        <w:t>12</w:t>
      </w:r>
      <w:r w:rsidR="002A44ED" w:rsidRPr="002A44ED">
        <w:rPr>
          <w:b/>
          <w:sz w:val="22"/>
          <w:szCs w:val="22"/>
        </w:rPr>
        <w:fldChar w:fldCharType="end"/>
      </w:r>
      <w:r w:rsidRPr="002A44ED">
        <w:rPr>
          <w:sz w:val="22"/>
          <w:szCs w:val="22"/>
        </w:rPr>
        <w:t>)</w:t>
      </w:r>
      <w:r>
        <w:rPr>
          <w:sz w:val="22"/>
          <w:szCs w:val="22"/>
        </w:rPr>
        <w:t xml:space="preserve"> but emits much less CO than the guaranteed values.  </w:t>
      </w:r>
    </w:p>
    <w:p w:rsidR="0020224D" w:rsidRDefault="0020224D" w:rsidP="00AF135C">
      <w:pPr>
        <w:widowControl w:val="0"/>
        <w:spacing w:after="120"/>
        <w:rPr>
          <w:sz w:val="22"/>
          <w:szCs w:val="22"/>
        </w:rPr>
      </w:pPr>
      <w:r>
        <w:rPr>
          <w:sz w:val="22"/>
          <w:szCs w:val="22"/>
        </w:rPr>
        <w:t>The following statements are from one of GE’s technical documents for the GE 7FA.05</w:t>
      </w:r>
      <w:r w:rsidR="00453DB5">
        <w:rPr>
          <w:sz w:val="22"/>
          <w:szCs w:val="22"/>
        </w:rPr>
        <w:t xml:space="preserve"> available at its web site:</w:t>
      </w:r>
      <w:r>
        <w:rPr>
          <w:sz w:val="22"/>
          <w:szCs w:val="22"/>
        </w:rPr>
        <w:t xml:space="preserve">  </w:t>
      </w:r>
    </w:p>
    <w:p w:rsidR="001C085B" w:rsidRPr="0020224D" w:rsidRDefault="0020224D" w:rsidP="0000112C">
      <w:pPr>
        <w:widowControl w:val="0"/>
        <w:spacing w:after="120"/>
        <w:rPr>
          <w:i/>
          <w:sz w:val="22"/>
          <w:szCs w:val="22"/>
        </w:rPr>
      </w:pPr>
      <w:r>
        <w:rPr>
          <w:i/>
          <w:sz w:val="22"/>
          <w:szCs w:val="22"/>
        </w:rPr>
        <w:t>“</w:t>
      </w:r>
      <w:r w:rsidRPr="0020224D">
        <w:rPr>
          <w:i/>
          <w:sz w:val="22"/>
          <w:szCs w:val="22"/>
        </w:rPr>
        <w:t>The 7FA.05 gas turbine will employ the proven DLN</w:t>
      </w:r>
      <w:r w:rsidR="0000112C">
        <w:rPr>
          <w:i/>
          <w:sz w:val="22"/>
          <w:szCs w:val="22"/>
        </w:rPr>
        <w:t>-</w:t>
      </w:r>
      <w:r w:rsidRPr="0020224D">
        <w:rPr>
          <w:i/>
          <w:sz w:val="22"/>
          <w:szCs w:val="22"/>
        </w:rPr>
        <w:t>2.6 combustor.  The combustor has more than 15 million hours and 400,000 starts of operational experience.  Minor modifications to the DLN2.6 combustion system will be required for the improved output and efficiency</w:t>
      </w:r>
      <w:r w:rsidR="0000112C">
        <w:rPr>
          <w:i/>
          <w:sz w:val="22"/>
          <w:szCs w:val="22"/>
        </w:rPr>
        <w:t>” …….</w:t>
      </w:r>
      <w:r>
        <w:rPr>
          <w:i/>
          <w:sz w:val="22"/>
          <w:szCs w:val="22"/>
        </w:rPr>
        <w:t>“</w:t>
      </w:r>
      <w:r w:rsidRPr="0020224D">
        <w:rPr>
          <w:i/>
          <w:sz w:val="22"/>
          <w:szCs w:val="22"/>
        </w:rPr>
        <w:t xml:space="preserve">The higher </w:t>
      </w:r>
      <w:r w:rsidRPr="0020224D">
        <w:rPr>
          <w:i/>
          <w:sz w:val="22"/>
          <w:szCs w:val="22"/>
        </w:rPr>
        <w:lastRenderedPageBreak/>
        <w:t>temperature-capable materials still operating in FA firing temperatures will further improve the successful experience of the 7FA wear modes for low cycle fatigue, oxidation and creep, thus supporting longer life and reduced repair costs.</w:t>
      </w:r>
      <w:r>
        <w:rPr>
          <w:i/>
          <w:sz w:val="22"/>
          <w:szCs w:val="22"/>
        </w:rPr>
        <w:t>”</w:t>
      </w:r>
      <w:r w:rsidR="00453DB5" w:rsidRPr="00453DB5">
        <w:rPr>
          <w:sz w:val="22"/>
          <w:szCs w:val="22"/>
        </w:rPr>
        <w:t xml:space="preserve">  </w:t>
      </w:r>
      <w:hyperlink r:id="rId48" w:history="1">
        <w:r w:rsidR="00453DB5">
          <w:rPr>
            <w:rStyle w:val="Hyperlink"/>
            <w:sz w:val="22"/>
            <w:szCs w:val="22"/>
          </w:rPr>
          <w:t>Link to GE 7FA.05 Test and Validation</w:t>
        </w:r>
      </w:hyperlink>
      <w:r w:rsidR="00453DB5" w:rsidRPr="0020224D">
        <w:rPr>
          <w:sz w:val="22"/>
          <w:szCs w:val="22"/>
        </w:rPr>
        <w:t xml:space="preserve"> </w:t>
      </w:r>
      <w:r w:rsidR="00453DB5">
        <w:rPr>
          <w:sz w:val="22"/>
          <w:szCs w:val="22"/>
        </w:rPr>
        <w:t>.</w:t>
      </w:r>
    </w:p>
    <w:p w:rsidR="001C085B" w:rsidRPr="00F462A4" w:rsidRDefault="0020224D" w:rsidP="0020224D">
      <w:pPr>
        <w:widowControl w:val="0"/>
        <w:spacing w:after="120"/>
        <w:rPr>
          <w:sz w:val="22"/>
          <w:szCs w:val="22"/>
        </w:rPr>
      </w:pPr>
      <w:r>
        <w:rPr>
          <w:sz w:val="22"/>
          <w:szCs w:val="22"/>
        </w:rPr>
        <w:t xml:space="preserve">The inference from the statements is that the GE 7FA.05 will operate at the same firing temperature (and could at least theoretically operate at greater temperatures) than the rest of the 7FA line.  </w:t>
      </w:r>
      <w:r w:rsidR="0000112C">
        <w:rPr>
          <w:sz w:val="22"/>
          <w:szCs w:val="22"/>
        </w:rPr>
        <w:t>It is difficult to attain greater output (such as characteristic of the GE 7FA.05) without increases in firing temperature.  Increased firing temperatures simultaneously tend to lower CO emissions (other factors being equal).  With only minimal modifications in the DLN-2.6 as stated, it is reasonable to conclude that the 7FA.05 will emit about the same and possibly a little less CO than the other units in the 7FA</w:t>
      </w:r>
      <w:r w:rsidR="00773402">
        <w:rPr>
          <w:sz w:val="22"/>
          <w:szCs w:val="22"/>
        </w:rPr>
        <w:t xml:space="preserve"> line</w:t>
      </w:r>
      <w:r w:rsidR="0000112C">
        <w:rPr>
          <w:sz w:val="22"/>
          <w:szCs w:val="22"/>
        </w:rPr>
        <w:t xml:space="preserve">.  </w:t>
      </w:r>
    </w:p>
    <w:p w:rsidR="000A1909" w:rsidRDefault="00153301" w:rsidP="0066459A">
      <w:pPr>
        <w:pStyle w:val="BodyText2"/>
        <w:widowControl w:val="0"/>
        <w:numPr>
          <w:ilvl w:val="0"/>
          <w:numId w:val="0"/>
        </w:numPr>
        <w:jc w:val="left"/>
        <w:rPr>
          <w:szCs w:val="22"/>
        </w:rPr>
      </w:pPr>
      <w:r>
        <w:rPr>
          <w:szCs w:val="22"/>
        </w:rPr>
        <w:t xml:space="preserve">FPL obtained the 5 ppmvd CO guarantee for GE 7FA.03 units installed at the Turkey Point Power Plant in Florida.  FPL subsequently selected larger Mitsubishi 501G and Siemens </w:t>
      </w:r>
      <w:r w:rsidRPr="00153301">
        <w:rPr>
          <w:szCs w:val="22"/>
        </w:rPr>
        <w:t xml:space="preserve">SGT6-8000H </w:t>
      </w:r>
      <w:r>
        <w:rPr>
          <w:szCs w:val="22"/>
        </w:rPr>
        <w:t>for the West County and Riviera Power Plants, respectively.  Both Mitsubishi and Sieme</w:t>
      </w:r>
      <w:r w:rsidR="00453DB5">
        <w:rPr>
          <w:szCs w:val="22"/>
        </w:rPr>
        <w:t xml:space="preserve">ns agreed to match the 5 ppmvd </w:t>
      </w:r>
      <w:r>
        <w:rPr>
          <w:szCs w:val="22"/>
        </w:rPr>
        <w:t xml:space="preserve">requirement based on the Department’s BACT determination for the Turkey Point project.  The </w:t>
      </w:r>
      <w:r w:rsidR="00EF7883">
        <w:rPr>
          <w:szCs w:val="22"/>
        </w:rPr>
        <w:t xml:space="preserve">technical </w:t>
      </w:r>
      <w:r>
        <w:rPr>
          <w:szCs w:val="22"/>
        </w:rPr>
        <w:t xml:space="preserve">differences between the GE 7FA.03 and the Mitsubishi and Siemens products are at least as great as the differences between the GE 7FA.03 and the GE 7FA.05.  </w:t>
      </w:r>
    </w:p>
    <w:p w:rsidR="006A225B" w:rsidRDefault="000A1909" w:rsidP="0066459A">
      <w:pPr>
        <w:pStyle w:val="BodyText2"/>
        <w:widowControl w:val="0"/>
        <w:numPr>
          <w:ilvl w:val="0"/>
          <w:numId w:val="0"/>
        </w:numPr>
        <w:jc w:val="left"/>
        <w:rPr>
          <w:szCs w:val="22"/>
        </w:rPr>
      </w:pPr>
      <w:r>
        <w:rPr>
          <w:szCs w:val="22"/>
        </w:rPr>
        <w:t xml:space="preserve">The Department </w:t>
      </w:r>
      <w:r w:rsidR="00453DB5">
        <w:rPr>
          <w:szCs w:val="22"/>
        </w:rPr>
        <w:t xml:space="preserve">does not adopt </w:t>
      </w:r>
      <w:r>
        <w:rPr>
          <w:szCs w:val="22"/>
        </w:rPr>
        <w:t xml:space="preserve">the arguments presented by the applicant.  However, it is understandable that commercial terms may require that the owner actually obtain a guarantee consistent with the issued construction permit.  </w:t>
      </w:r>
    </w:p>
    <w:p w:rsidR="00AC13C9" w:rsidRPr="00064288" w:rsidRDefault="00AC13C9" w:rsidP="00C070A4">
      <w:pPr>
        <w:widowControl w:val="0"/>
        <w:numPr>
          <w:ilvl w:val="3"/>
          <w:numId w:val="2"/>
        </w:numPr>
        <w:tabs>
          <w:tab w:val="left" w:pos="720"/>
        </w:tabs>
        <w:spacing w:after="120"/>
        <w:ind w:left="720" w:hanging="720"/>
        <w:rPr>
          <w:i/>
          <w:sz w:val="22"/>
          <w:szCs w:val="22"/>
        </w:rPr>
      </w:pPr>
      <w:r w:rsidRPr="00064288">
        <w:rPr>
          <w:i/>
          <w:sz w:val="22"/>
          <w:szCs w:val="22"/>
        </w:rPr>
        <w:t xml:space="preserve">Department’s </w:t>
      </w:r>
      <w:r w:rsidR="00365FA3" w:rsidRPr="00064288">
        <w:rPr>
          <w:i/>
          <w:sz w:val="22"/>
          <w:szCs w:val="22"/>
        </w:rPr>
        <w:t xml:space="preserve">Draft </w:t>
      </w:r>
      <w:r w:rsidRPr="00064288">
        <w:rPr>
          <w:i/>
          <w:sz w:val="22"/>
          <w:szCs w:val="22"/>
        </w:rPr>
        <w:t xml:space="preserve">CO BACT Determination </w:t>
      </w:r>
    </w:p>
    <w:p w:rsidR="00F6497C" w:rsidRDefault="007D1B9F" w:rsidP="003B15E4">
      <w:pPr>
        <w:pStyle w:val="BodyText2"/>
        <w:widowControl w:val="0"/>
        <w:numPr>
          <w:ilvl w:val="0"/>
          <w:numId w:val="0"/>
        </w:numPr>
        <w:jc w:val="left"/>
        <w:rPr>
          <w:szCs w:val="22"/>
        </w:rPr>
      </w:pPr>
      <w:r w:rsidRPr="00064288">
        <w:rPr>
          <w:szCs w:val="22"/>
        </w:rPr>
        <w:t xml:space="preserve">The Department </w:t>
      </w:r>
      <w:r w:rsidRPr="00064288">
        <w:rPr>
          <w:b/>
          <w:szCs w:val="22"/>
          <w:u w:val="single"/>
        </w:rPr>
        <w:t>does not</w:t>
      </w:r>
      <w:r w:rsidRPr="00064288">
        <w:rPr>
          <w:szCs w:val="22"/>
        </w:rPr>
        <w:t xml:space="preserve"> concur with the applicant’s CO BACT proposal due to the reasons described in </w:t>
      </w:r>
      <w:r w:rsidRPr="00064288">
        <w:rPr>
          <w:b/>
          <w:szCs w:val="22"/>
        </w:rPr>
        <w:t>subsection 3.2.3.</w:t>
      </w:r>
      <w:r w:rsidR="004B3F5A" w:rsidRPr="00064288">
        <w:rPr>
          <w:b/>
          <w:szCs w:val="22"/>
        </w:rPr>
        <w:t>4</w:t>
      </w:r>
      <w:r w:rsidRPr="00064288">
        <w:rPr>
          <w:szCs w:val="22"/>
        </w:rPr>
        <w:t xml:space="preserve"> above.  The Department feels that </w:t>
      </w:r>
      <w:r w:rsidR="00365FA3" w:rsidRPr="00064288">
        <w:rPr>
          <w:szCs w:val="22"/>
        </w:rPr>
        <w:t xml:space="preserve">the </w:t>
      </w:r>
      <w:r w:rsidRPr="00064288">
        <w:rPr>
          <w:szCs w:val="22"/>
        </w:rPr>
        <w:t>CO emission rates of 4 ppmvd @15% O</w:t>
      </w:r>
      <w:r w:rsidRPr="00064288">
        <w:rPr>
          <w:szCs w:val="22"/>
          <w:vertAlign w:val="subscript"/>
        </w:rPr>
        <w:t>2</w:t>
      </w:r>
      <w:r w:rsidRPr="00064288">
        <w:rPr>
          <w:szCs w:val="22"/>
        </w:rPr>
        <w:t xml:space="preserve"> while firing natural gas and 9</w:t>
      </w:r>
      <w:r w:rsidR="00064288" w:rsidRPr="00064288">
        <w:rPr>
          <w:szCs w:val="22"/>
        </w:rPr>
        <w:t xml:space="preserve"> ppmvd @15% O</w:t>
      </w:r>
      <w:r w:rsidR="00064288" w:rsidRPr="00064288">
        <w:rPr>
          <w:szCs w:val="22"/>
          <w:vertAlign w:val="subscript"/>
        </w:rPr>
        <w:t>2</w:t>
      </w:r>
      <w:r w:rsidRPr="00064288">
        <w:rPr>
          <w:szCs w:val="22"/>
        </w:rPr>
        <w:t xml:space="preserve"> while firing fuel oil are readily achievable with all CT under consideration.  </w:t>
      </w:r>
      <w:r w:rsidR="00F6497C">
        <w:rPr>
          <w:szCs w:val="22"/>
        </w:rPr>
        <w:t>After consultation with the Department, FPL has agreed to these BACT CO emission limits.</w:t>
      </w:r>
    </w:p>
    <w:p w:rsidR="00D3151C" w:rsidRPr="00064288" w:rsidRDefault="007D1B9F" w:rsidP="003B15E4">
      <w:pPr>
        <w:pStyle w:val="BodyText2"/>
        <w:widowControl w:val="0"/>
        <w:numPr>
          <w:ilvl w:val="0"/>
          <w:numId w:val="0"/>
        </w:numPr>
        <w:jc w:val="left"/>
        <w:rPr>
          <w:szCs w:val="22"/>
        </w:rPr>
      </w:pPr>
      <w:r w:rsidRPr="00064288">
        <w:rPr>
          <w:szCs w:val="22"/>
        </w:rPr>
        <w:t>In summary, the Department’s draft CO BACT is:</w:t>
      </w:r>
    </w:p>
    <w:p w:rsidR="007D1B9F" w:rsidRDefault="007D1B9F" w:rsidP="007D1B9F">
      <w:pPr>
        <w:widowControl w:val="0"/>
        <w:numPr>
          <w:ilvl w:val="0"/>
          <w:numId w:val="14"/>
        </w:numPr>
        <w:spacing w:after="60"/>
        <w:ind w:left="360"/>
        <w:rPr>
          <w:sz w:val="22"/>
          <w:szCs w:val="22"/>
        </w:rPr>
      </w:pPr>
      <w:r w:rsidRPr="00064288">
        <w:rPr>
          <w:i/>
          <w:sz w:val="22"/>
          <w:szCs w:val="22"/>
        </w:rPr>
        <w:t>Natural Gas</w:t>
      </w:r>
      <w:r w:rsidRPr="00064288">
        <w:rPr>
          <w:sz w:val="22"/>
          <w:szCs w:val="22"/>
        </w:rPr>
        <w:t>:  CO emissions while firing natural gas shall be limited to 4.0 ppmvd @ 15% O</w:t>
      </w:r>
      <w:r w:rsidRPr="00064288">
        <w:rPr>
          <w:sz w:val="22"/>
          <w:szCs w:val="22"/>
          <w:vertAlign w:val="subscript"/>
        </w:rPr>
        <w:t>2</w:t>
      </w:r>
      <w:r w:rsidRPr="00064288">
        <w:rPr>
          <w:sz w:val="22"/>
          <w:szCs w:val="22"/>
        </w:rPr>
        <w:t xml:space="preserve"> as demonstrated by initial and annual stack tests.  CO when firing natural gas shall also be controlled by DLN technology or equivalent technology (that limits CO as well as NO</w:t>
      </w:r>
      <w:r w:rsidRPr="00064288">
        <w:rPr>
          <w:sz w:val="22"/>
          <w:szCs w:val="22"/>
          <w:vertAlign w:val="subscript"/>
        </w:rPr>
        <w:t>X</w:t>
      </w:r>
      <w:r w:rsidRPr="00064288">
        <w:rPr>
          <w:sz w:val="22"/>
          <w:szCs w:val="22"/>
        </w:rPr>
        <w:t>) and a high firing temperature</w:t>
      </w:r>
      <w:r w:rsidR="000A04EA">
        <w:rPr>
          <w:sz w:val="22"/>
          <w:szCs w:val="22"/>
        </w:rPr>
        <w:t>.</w:t>
      </w:r>
    </w:p>
    <w:p w:rsidR="00AF42EC" w:rsidRDefault="00AF42EC" w:rsidP="00AF42EC">
      <w:pPr>
        <w:numPr>
          <w:ilvl w:val="0"/>
          <w:numId w:val="19"/>
        </w:numPr>
        <w:spacing w:after="60"/>
        <w:ind w:left="360"/>
        <w:rPr>
          <w:sz w:val="22"/>
          <w:szCs w:val="22"/>
        </w:rPr>
      </w:pPr>
      <w:r w:rsidRPr="00AF42EC">
        <w:rPr>
          <w:i/>
          <w:sz w:val="22"/>
          <w:szCs w:val="22"/>
        </w:rPr>
        <w:t>Natural Gas</w:t>
      </w:r>
      <w:r>
        <w:rPr>
          <w:sz w:val="22"/>
          <w:szCs w:val="22"/>
        </w:rPr>
        <w:t>:  21.0 lb/hr, stack test.  This is a o</w:t>
      </w:r>
      <w:r w:rsidRPr="008278AE">
        <w:rPr>
          <w:sz w:val="22"/>
          <w:szCs w:val="22"/>
        </w:rPr>
        <w:t>netime initial compliance demonstration.</w:t>
      </w:r>
    </w:p>
    <w:p w:rsidR="007D1B9F" w:rsidRPr="00064288" w:rsidRDefault="007D1B9F" w:rsidP="007D1B9F">
      <w:pPr>
        <w:pStyle w:val="BodyText2"/>
        <w:widowControl w:val="0"/>
        <w:numPr>
          <w:ilvl w:val="0"/>
          <w:numId w:val="11"/>
        </w:numPr>
        <w:tabs>
          <w:tab w:val="clear" w:pos="1440"/>
          <w:tab w:val="num" w:pos="360"/>
        </w:tabs>
        <w:spacing w:after="60"/>
        <w:ind w:left="360"/>
        <w:jc w:val="left"/>
        <w:rPr>
          <w:szCs w:val="22"/>
        </w:rPr>
      </w:pPr>
      <w:r w:rsidRPr="00064288">
        <w:rPr>
          <w:i/>
          <w:szCs w:val="22"/>
        </w:rPr>
        <w:t>Startup</w:t>
      </w:r>
      <w:r w:rsidRPr="00064288">
        <w:rPr>
          <w:szCs w:val="22"/>
        </w:rPr>
        <w:t>:  Startup and low load CO emissions shall also be further controlled by the GE OpFlex</w:t>
      </w:r>
      <w:r w:rsidRPr="00064288">
        <w:rPr>
          <w:szCs w:val="22"/>
          <w:vertAlign w:val="superscript"/>
        </w:rPr>
        <w:t>TM</w:t>
      </w:r>
      <w:r w:rsidRPr="00064288">
        <w:rPr>
          <w:szCs w:val="22"/>
        </w:rPr>
        <w:t xml:space="preserve"> system or its Siemens equivalent and start-up CO work practices.</w:t>
      </w:r>
    </w:p>
    <w:p w:rsidR="007D1B9F" w:rsidRDefault="007D1B9F" w:rsidP="00AF42EC">
      <w:pPr>
        <w:pStyle w:val="BodyText2"/>
        <w:widowControl w:val="0"/>
        <w:numPr>
          <w:ilvl w:val="0"/>
          <w:numId w:val="11"/>
        </w:numPr>
        <w:tabs>
          <w:tab w:val="clear" w:pos="1440"/>
          <w:tab w:val="num" w:pos="360"/>
        </w:tabs>
        <w:spacing w:after="60"/>
        <w:ind w:left="360"/>
        <w:jc w:val="left"/>
        <w:rPr>
          <w:szCs w:val="22"/>
        </w:rPr>
      </w:pPr>
      <w:r w:rsidRPr="00064288">
        <w:rPr>
          <w:i/>
          <w:szCs w:val="22"/>
        </w:rPr>
        <w:t>Fuel Oil</w:t>
      </w:r>
      <w:r w:rsidRPr="00064288">
        <w:rPr>
          <w:szCs w:val="22"/>
        </w:rPr>
        <w:t xml:space="preserve">:  CO for limited ULSD fuel oil shall be limited to 9.0 ppmvd </w:t>
      </w:r>
      <w:r w:rsidR="00F6497C" w:rsidRPr="00F6497C">
        <w:rPr>
          <w:szCs w:val="22"/>
        </w:rPr>
        <w:t>@ 15% O</w:t>
      </w:r>
      <w:r w:rsidR="00F6497C" w:rsidRPr="00F6497C">
        <w:rPr>
          <w:szCs w:val="22"/>
          <w:vertAlign w:val="subscript"/>
        </w:rPr>
        <w:t>2</w:t>
      </w:r>
      <w:r w:rsidR="00F6497C" w:rsidRPr="00F6497C">
        <w:rPr>
          <w:szCs w:val="22"/>
        </w:rPr>
        <w:t xml:space="preserve"> </w:t>
      </w:r>
      <w:r w:rsidRPr="00064288">
        <w:rPr>
          <w:szCs w:val="22"/>
        </w:rPr>
        <w:t xml:space="preserve">as demonstrated by initial and annual stack tests.  </w:t>
      </w:r>
      <w:r w:rsidR="00F6497C">
        <w:rPr>
          <w:szCs w:val="22"/>
        </w:rPr>
        <w:t>This correct CO BACT emission limit equals approximately 12.5 ppmvd uncorrected.  CO emissions</w:t>
      </w:r>
      <w:r w:rsidRPr="00064288">
        <w:rPr>
          <w:szCs w:val="22"/>
        </w:rPr>
        <w:t xml:space="preserve"> for limited ULSD fuel oil shall also be controlled by a high firing temperature.</w:t>
      </w:r>
      <w:r w:rsidR="000A04EA">
        <w:rPr>
          <w:szCs w:val="22"/>
        </w:rPr>
        <w:t xml:space="preserve">  </w:t>
      </w:r>
    </w:p>
    <w:p w:rsidR="00AF42EC" w:rsidRDefault="00AF42EC" w:rsidP="00AF42EC">
      <w:pPr>
        <w:numPr>
          <w:ilvl w:val="0"/>
          <w:numId w:val="19"/>
        </w:numPr>
        <w:spacing w:after="120"/>
        <w:ind w:left="360"/>
        <w:rPr>
          <w:sz w:val="22"/>
          <w:szCs w:val="22"/>
        </w:rPr>
      </w:pPr>
      <w:r>
        <w:rPr>
          <w:i/>
          <w:sz w:val="22"/>
          <w:szCs w:val="22"/>
        </w:rPr>
        <w:t>Fuel Oil</w:t>
      </w:r>
      <w:r>
        <w:rPr>
          <w:sz w:val="22"/>
          <w:szCs w:val="22"/>
        </w:rPr>
        <w:t>:  49.0 lb/hr, stack test.  This is a o</w:t>
      </w:r>
      <w:r w:rsidRPr="008278AE">
        <w:rPr>
          <w:sz w:val="22"/>
          <w:szCs w:val="22"/>
        </w:rPr>
        <w:t>netime initial compliance demonstration.</w:t>
      </w:r>
    </w:p>
    <w:p w:rsidR="006E6D60" w:rsidRPr="006E6D60" w:rsidRDefault="006E6D60" w:rsidP="006E6D60">
      <w:pPr>
        <w:widowControl w:val="0"/>
        <w:numPr>
          <w:ilvl w:val="2"/>
          <w:numId w:val="2"/>
        </w:numPr>
        <w:tabs>
          <w:tab w:val="left" w:pos="720"/>
        </w:tabs>
        <w:spacing w:after="120"/>
        <w:ind w:left="720" w:hanging="720"/>
        <w:rPr>
          <w:sz w:val="22"/>
          <w:szCs w:val="22"/>
          <w:u w:val="single"/>
        </w:rPr>
      </w:pPr>
      <w:r w:rsidRPr="00DA76DB">
        <w:rPr>
          <w:sz w:val="22"/>
          <w:szCs w:val="22"/>
          <w:u w:val="single"/>
        </w:rPr>
        <w:t xml:space="preserve">BACT for </w:t>
      </w:r>
      <w:r>
        <w:rPr>
          <w:sz w:val="22"/>
          <w:szCs w:val="22"/>
          <w:u w:val="single"/>
        </w:rPr>
        <w:t xml:space="preserve">Volatile Organic Compounds </w:t>
      </w:r>
      <w:r w:rsidRPr="00DA76DB">
        <w:rPr>
          <w:sz w:val="22"/>
          <w:szCs w:val="22"/>
          <w:u w:val="single"/>
        </w:rPr>
        <w:t>(</w:t>
      </w:r>
      <w:r>
        <w:rPr>
          <w:sz w:val="22"/>
          <w:szCs w:val="22"/>
          <w:u w:val="single"/>
        </w:rPr>
        <w:t>VOC</w:t>
      </w:r>
      <w:r w:rsidRPr="00DA76DB">
        <w:rPr>
          <w:sz w:val="22"/>
          <w:szCs w:val="22"/>
          <w:u w:val="single"/>
        </w:rPr>
        <w:t>)</w:t>
      </w:r>
    </w:p>
    <w:p w:rsidR="006E6D60" w:rsidRDefault="006E6D60" w:rsidP="006E6D60">
      <w:pPr>
        <w:pStyle w:val="BodyText2"/>
        <w:widowControl w:val="0"/>
        <w:numPr>
          <w:ilvl w:val="0"/>
          <w:numId w:val="0"/>
        </w:numPr>
        <w:jc w:val="left"/>
        <w:rPr>
          <w:szCs w:val="22"/>
        </w:rPr>
      </w:pPr>
      <w:r>
        <w:rPr>
          <w:szCs w:val="22"/>
        </w:rPr>
        <w:t>VOC</w:t>
      </w:r>
      <w:r w:rsidRPr="004A39C8">
        <w:rPr>
          <w:szCs w:val="22"/>
        </w:rPr>
        <w:t xml:space="preserve"> </w:t>
      </w:r>
      <w:r>
        <w:rPr>
          <w:szCs w:val="22"/>
        </w:rPr>
        <w:t>is</w:t>
      </w:r>
      <w:r w:rsidRPr="004A39C8">
        <w:rPr>
          <w:szCs w:val="22"/>
        </w:rPr>
        <w:t xml:space="preserve"> </w:t>
      </w:r>
      <w:r>
        <w:rPr>
          <w:szCs w:val="22"/>
        </w:rPr>
        <w:t xml:space="preserve">directly </w:t>
      </w:r>
      <w:r w:rsidRPr="004A39C8">
        <w:rPr>
          <w:szCs w:val="22"/>
        </w:rPr>
        <w:t>emitted from combustion turbines due to incomplete combustion</w:t>
      </w:r>
      <w:r>
        <w:rPr>
          <w:szCs w:val="22"/>
        </w:rPr>
        <w:t>.</w:t>
      </w:r>
      <w:r w:rsidRPr="004A39C8">
        <w:rPr>
          <w:szCs w:val="22"/>
        </w:rPr>
        <w:t xml:space="preserve">  </w:t>
      </w:r>
      <w:r>
        <w:rPr>
          <w:szCs w:val="22"/>
        </w:rPr>
        <w:t xml:space="preserve">Such emissions </w:t>
      </w:r>
      <w:r w:rsidRPr="004A39C8">
        <w:rPr>
          <w:szCs w:val="22"/>
        </w:rPr>
        <w:t>are minimized by use of good combustion</w:t>
      </w:r>
      <w:r>
        <w:rPr>
          <w:szCs w:val="22"/>
        </w:rPr>
        <w:t xml:space="preserve"> practices</w:t>
      </w:r>
      <w:r w:rsidR="003A403D">
        <w:rPr>
          <w:szCs w:val="22"/>
        </w:rPr>
        <w:t xml:space="preserve"> and high combustion temperatures</w:t>
      </w:r>
      <w:r w:rsidR="001B0AB0">
        <w:rPr>
          <w:szCs w:val="22"/>
        </w:rPr>
        <w:t xml:space="preserve"> with excess air</w:t>
      </w:r>
      <w:r w:rsidRPr="004A39C8">
        <w:rPr>
          <w:szCs w:val="22"/>
        </w:rPr>
        <w:t>.</w:t>
      </w:r>
      <w:r>
        <w:rPr>
          <w:szCs w:val="22"/>
        </w:rPr>
        <w:t xml:space="preserve">  </w:t>
      </w:r>
    </w:p>
    <w:p w:rsidR="006E6D60" w:rsidRPr="009F1F46" w:rsidRDefault="009F1F46" w:rsidP="009F1F46">
      <w:pPr>
        <w:widowControl w:val="0"/>
        <w:numPr>
          <w:ilvl w:val="3"/>
          <w:numId w:val="2"/>
        </w:numPr>
        <w:tabs>
          <w:tab w:val="left" w:pos="720"/>
        </w:tabs>
        <w:spacing w:after="120"/>
        <w:ind w:left="720" w:hanging="720"/>
        <w:rPr>
          <w:sz w:val="22"/>
          <w:szCs w:val="22"/>
          <w:u w:val="single"/>
        </w:rPr>
      </w:pPr>
      <w:r w:rsidRPr="009C4E4C">
        <w:rPr>
          <w:i/>
          <w:sz w:val="22"/>
          <w:szCs w:val="22"/>
        </w:rPr>
        <w:t xml:space="preserve">Applicant’s </w:t>
      </w:r>
      <w:r>
        <w:rPr>
          <w:i/>
          <w:sz w:val="22"/>
          <w:szCs w:val="22"/>
        </w:rPr>
        <w:t>VOC</w:t>
      </w:r>
      <w:r w:rsidRPr="009C4E4C">
        <w:rPr>
          <w:i/>
          <w:sz w:val="22"/>
          <w:szCs w:val="22"/>
        </w:rPr>
        <w:t xml:space="preserve"> BACT Proposal</w:t>
      </w:r>
    </w:p>
    <w:p w:rsidR="003702BA" w:rsidRDefault="009F1F46" w:rsidP="009F1F46">
      <w:pPr>
        <w:spacing w:after="120"/>
        <w:rPr>
          <w:color w:val="000000"/>
          <w:sz w:val="22"/>
          <w:szCs w:val="22"/>
        </w:rPr>
      </w:pPr>
      <w:r w:rsidRPr="00941ADB">
        <w:rPr>
          <w:color w:val="000000"/>
          <w:sz w:val="22"/>
          <w:szCs w:val="22"/>
        </w:rPr>
        <w:t xml:space="preserve">The applicant </w:t>
      </w:r>
      <w:r>
        <w:rPr>
          <w:color w:val="000000"/>
          <w:sz w:val="22"/>
          <w:szCs w:val="22"/>
        </w:rPr>
        <w:t>proposes to use good combustion practices in combination with the high firing temperature of F frame type CT which is greater than 2,400</w:t>
      </w:r>
      <w:r w:rsidR="008C6A64">
        <w:rPr>
          <w:color w:val="000000"/>
          <w:sz w:val="22"/>
          <w:szCs w:val="22"/>
        </w:rPr>
        <w:t xml:space="preserve"> </w:t>
      </w:r>
      <w:r w:rsidRPr="00283834">
        <w:rPr>
          <w:color w:val="000000"/>
          <w:sz w:val="22"/>
          <w:szCs w:val="22"/>
          <w:vertAlign w:val="superscript"/>
        </w:rPr>
        <w:t>o</w:t>
      </w:r>
      <w:r w:rsidRPr="00283834">
        <w:rPr>
          <w:color w:val="000000"/>
          <w:sz w:val="22"/>
          <w:szCs w:val="22"/>
        </w:rPr>
        <w:t>F</w:t>
      </w:r>
      <w:r>
        <w:rPr>
          <w:color w:val="000000"/>
          <w:sz w:val="22"/>
          <w:szCs w:val="22"/>
        </w:rPr>
        <w:t xml:space="preserve"> </w:t>
      </w:r>
      <w:r w:rsidR="00DE6052">
        <w:rPr>
          <w:color w:val="000000"/>
          <w:sz w:val="22"/>
          <w:szCs w:val="22"/>
        </w:rPr>
        <w:t>in combination with</w:t>
      </w:r>
      <w:r>
        <w:rPr>
          <w:color w:val="000000"/>
          <w:sz w:val="22"/>
          <w:szCs w:val="22"/>
        </w:rPr>
        <w:t xml:space="preserve"> a great deal of excess air (greater than 10% O</w:t>
      </w:r>
      <w:r w:rsidRPr="00022FA3">
        <w:rPr>
          <w:color w:val="000000"/>
          <w:sz w:val="22"/>
          <w:szCs w:val="22"/>
          <w:vertAlign w:val="subscript"/>
        </w:rPr>
        <w:t>2</w:t>
      </w:r>
      <w:r>
        <w:rPr>
          <w:color w:val="000000"/>
          <w:sz w:val="22"/>
          <w:szCs w:val="22"/>
        </w:rPr>
        <w:t xml:space="preserve"> in the exhaust gas) to control emission</w:t>
      </w:r>
      <w:r w:rsidR="00DE6052">
        <w:rPr>
          <w:color w:val="000000"/>
          <w:sz w:val="22"/>
          <w:szCs w:val="22"/>
        </w:rPr>
        <w:t>s</w:t>
      </w:r>
      <w:r>
        <w:rPr>
          <w:color w:val="000000"/>
          <w:sz w:val="22"/>
          <w:szCs w:val="22"/>
        </w:rPr>
        <w:t xml:space="preserve"> of VOC.</w:t>
      </w:r>
    </w:p>
    <w:p w:rsidR="003702BA" w:rsidRDefault="003702BA">
      <w:pPr>
        <w:rPr>
          <w:color w:val="000000"/>
          <w:sz w:val="22"/>
          <w:szCs w:val="22"/>
        </w:rPr>
      </w:pPr>
      <w:r>
        <w:rPr>
          <w:color w:val="000000"/>
          <w:sz w:val="22"/>
          <w:szCs w:val="22"/>
        </w:rPr>
        <w:br w:type="page"/>
      </w:r>
    </w:p>
    <w:p w:rsidR="009F1F46" w:rsidRPr="009F1F46" w:rsidRDefault="009F1F46" w:rsidP="009F1F46">
      <w:pPr>
        <w:widowControl w:val="0"/>
        <w:numPr>
          <w:ilvl w:val="3"/>
          <w:numId w:val="2"/>
        </w:numPr>
        <w:tabs>
          <w:tab w:val="left" w:pos="720"/>
        </w:tabs>
        <w:spacing w:after="120"/>
        <w:ind w:left="720" w:hanging="720"/>
        <w:rPr>
          <w:sz w:val="22"/>
          <w:szCs w:val="22"/>
          <w:u w:val="single"/>
        </w:rPr>
      </w:pPr>
      <w:r w:rsidRPr="009C4E4C">
        <w:rPr>
          <w:i/>
          <w:sz w:val="22"/>
          <w:szCs w:val="22"/>
        </w:rPr>
        <w:lastRenderedPageBreak/>
        <w:t xml:space="preserve">Department’s </w:t>
      </w:r>
      <w:r w:rsidR="009C6E01">
        <w:rPr>
          <w:i/>
          <w:sz w:val="22"/>
          <w:szCs w:val="22"/>
        </w:rPr>
        <w:t>VOC</w:t>
      </w:r>
      <w:r w:rsidRPr="009C4E4C">
        <w:rPr>
          <w:i/>
          <w:sz w:val="22"/>
          <w:szCs w:val="22"/>
        </w:rPr>
        <w:t xml:space="preserve"> BACT Determination</w:t>
      </w:r>
    </w:p>
    <w:p w:rsidR="009F1F46" w:rsidRPr="00867323" w:rsidRDefault="009F1F46" w:rsidP="006E6D60">
      <w:pPr>
        <w:pStyle w:val="BodyText2"/>
        <w:widowControl w:val="0"/>
        <w:numPr>
          <w:ilvl w:val="0"/>
          <w:numId w:val="0"/>
        </w:numPr>
        <w:jc w:val="left"/>
        <w:rPr>
          <w:szCs w:val="22"/>
        </w:rPr>
      </w:pPr>
      <w:r>
        <w:rPr>
          <w:color w:val="000000"/>
          <w:szCs w:val="22"/>
        </w:rPr>
        <w:t>The Department concurs with the applicant’s proposal</w:t>
      </w:r>
      <w:r w:rsidR="00DE6052">
        <w:rPr>
          <w:color w:val="000000"/>
          <w:szCs w:val="22"/>
        </w:rPr>
        <w:t xml:space="preserve"> and will set</w:t>
      </w:r>
      <w:r w:rsidR="00232337">
        <w:rPr>
          <w:color w:val="000000"/>
          <w:szCs w:val="22"/>
        </w:rPr>
        <w:t xml:space="preserve"> e</w:t>
      </w:r>
      <w:r w:rsidR="00350416">
        <w:rPr>
          <w:color w:val="000000"/>
          <w:szCs w:val="22"/>
        </w:rPr>
        <w:t xml:space="preserve">mission limits </w:t>
      </w:r>
      <w:r w:rsidR="00232337">
        <w:rPr>
          <w:color w:val="000000"/>
          <w:szCs w:val="22"/>
        </w:rPr>
        <w:t>at</w:t>
      </w:r>
      <w:r w:rsidR="00350416">
        <w:rPr>
          <w:color w:val="000000"/>
          <w:szCs w:val="22"/>
        </w:rPr>
        <w:t xml:space="preserve"> 8</w:t>
      </w:r>
      <w:r w:rsidR="00232337">
        <w:rPr>
          <w:color w:val="000000"/>
          <w:szCs w:val="22"/>
        </w:rPr>
        <w:t>.0</w:t>
      </w:r>
      <w:r w:rsidR="00350416">
        <w:rPr>
          <w:color w:val="000000"/>
          <w:szCs w:val="22"/>
        </w:rPr>
        <w:t xml:space="preserve"> lb/</w:t>
      </w:r>
      <w:r w:rsidR="00232337">
        <w:rPr>
          <w:color w:val="000000"/>
          <w:szCs w:val="22"/>
        </w:rPr>
        <w:t>h</w:t>
      </w:r>
      <w:r w:rsidR="00350416">
        <w:rPr>
          <w:color w:val="000000"/>
          <w:szCs w:val="22"/>
        </w:rPr>
        <w:t xml:space="preserve">r </w:t>
      </w:r>
      <w:r w:rsidR="00232337">
        <w:rPr>
          <w:color w:val="000000"/>
          <w:szCs w:val="22"/>
        </w:rPr>
        <w:t>while</w:t>
      </w:r>
      <w:r w:rsidR="00350416">
        <w:rPr>
          <w:color w:val="000000"/>
          <w:szCs w:val="22"/>
        </w:rPr>
        <w:t xml:space="preserve"> firing fuel oil and 3.77 lb/hr while firing</w:t>
      </w:r>
      <w:r w:rsidR="00232337">
        <w:rPr>
          <w:color w:val="000000"/>
          <w:szCs w:val="22"/>
        </w:rPr>
        <w:t xml:space="preserve"> natural gas</w:t>
      </w:r>
      <w:r>
        <w:rPr>
          <w:color w:val="000000"/>
          <w:szCs w:val="22"/>
        </w:rPr>
        <w:t>.  Compliance will be shown by annual stack testing.</w:t>
      </w:r>
    </w:p>
    <w:p w:rsidR="00941ADB" w:rsidRPr="00DA76DB" w:rsidRDefault="00941ADB" w:rsidP="00C070A4">
      <w:pPr>
        <w:widowControl w:val="0"/>
        <w:numPr>
          <w:ilvl w:val="2"/>
          <w:numId w:val="2"/>
        </w:numPr>
        <w:tabs>
          <w:tab w:val="left" w:pos="720"/>
        </w:tabs>
        <w:spacing w:after="120"/>
        <w:ind w:left="720" w:hanging="720"/>
        <w:rPr>
          <w:sz w:val="22"/>
          <w:szCs w:val="22"/>
          <w:u w:val="single"/>
        </w:rPr>
      </w:pPr>
      <w:r w:rsidRPr="00DA76DB">
        <w:rPr>
          <w:sz w:val="22"/>
          <w:szCs w:val="22"/>
          <w:u w:val="single"/>
        </w:rPr>
        <w:t>BACT for Particulate Matter (PM</w:t>
      </w:r>
      <w:r w:rsidR="00517989" w:rsidRPr="00DA76DB">
        <w:rPr>
          <w:sz w:val="22"/>
          <w:szCs w:val="22"/>
          <w:u w:val="single"/>
        </w:rPr>
        <w:t xml:space="preserve">, </w:t>
      </w:r>
      <w:r w:rsidRPr="00DA76DB">
        <w:rPr>
          <w:sz w:val="22"/>
          <w:szCs w:val="22"/>
          <w:u w:val="single"/>
        </w:rPr>
        <w:t>PM</w:t>
      </w:r>
      <w:r w:rsidRPr="00DA76DB">
        <w:rPr>
          <w:sz w:val="22"/>
          <w:szCs w:val="22"/>
          <w:u w:val="single"/>
          <w:vertAlign w:val="subscript"/>
        </w:rPr>
        <w:t>10</w:t>
      </w:r>
      <w:r w:rsidR="00517989" w:rsidRPr="00DA76DB">
        <w:rPr>
          <w:sz w:val="22"/>
          <w:szCs w:val="22"/>
          <w:u w:val="single"/>
        </w:rPr>
        <w:t xml:space="preserve"> and PM</w:t>
      </w:r>
      <w:r w:rsidR="00517989" w:rsidRPr="00DA76DB">
        <w:rPr>
          <w:sz w:val="22"/>
          <w:szCs w:val="22"/>
          <w:u w:val="single"/>
          <w:vertAlign w:val="subscript"/>
        </w:rPr>
        <w:t>2.5</w:t>
      </w:r>
      <w:r w:rsidRPr="00DA76DB">
        <w:rPr>
          <w:sz w:val="22"/>
          <w:szCs w:val="22"/>
          <w:u w:val="single"/>
        </w:rPr>
        <w:t>)</w:t>
      </w:r>
    </w:p>
    <w:p w:rsidR="009F1F46" w:rsidRDefault="00941ADB" w:rsidP="00941ADB">
      <w:pPr>
        <w:pStyle w:val="BodyText"/>
        <w:rPr>
          <w:color w:val="000000"/>
          <w:sz w:val="22"/>
          <w:szCs w:val="22"/>
        </w:rPr>
      </w:pPr>
      <w:r>
        <w:rPr>
          <w:sz w:val="22"/>
          <w:szCs w:val="22"/>
        </w:rPr>
        <w:t>Particulate matter (</w:t>
      </w:r>
      <w:r w:rsidRPr="004A39C8">
        <w:rPr>
          <w:sz w:val="22"/>
          <w:szCs w:val="22"/>
        </w:rPr>
        <w:t>PM</w:t>
      </w:r>
      <w:r>
        <w:rPr>
          <w:sz w:val="22"/>
          <w:szCs w:val="22"/>
        </w:rPr>
        <w:t>/</w:t>
      </w:r>
      <w:r w:rsidRPr="004A39C8">
        <w:rPr>
          <w:sz w:val="22"/>
          <w:szCs w:val="22"/>
        </w:rPr>
        <w:t>PM</w:t>
      </w:r>
      <w:r w:rsidRPr="004A39C8">
        <w:rPr>
          <w:sz w:val="22"/>
          <w:szCs w:val="22"/>
          <w:vertAlign w:val="subscript"/>
        </w:rPr>
        <w:t>10</w:t>
      </w:r>
      <w:r w:rsidR="00517989">
        <w:rPr>
          <w:sz w:val="22"/>
          <w:szCs w:val="22"/>
        </w:rPr>
        <w:t>/PM</w:t>
      </w:r>
      <w:r w:rsidR="00517989" w:rsidRPr="00517989">
        <w:rPr>
          <w:sz w:val="22"/>
          <w:szCs w:val="22"/>
          <w:vertAlign w:val="subscript"/>
        </w:rPr>
        <w:t>2.5</w:t>
      </w:r>
      <w:r>
        <w:rPr>
          <w:sz w:val="22"/>
          <w:szCs w:val="22"/>
        </w:rPr>
        <w:t>)</w:t>
      </w:r>
      <w:r w:rsidRPr="004A39C8">
        <w:rPr>
          <w:sz w:val="22"/>
          <w:szCs w:val="22"/>
        </w:rPr>
        <w:t xml:space="preserve"> </w:t>
      </w:r>
      <w:r>
        <w:rPr>
          <w:sz w:val="22"/>
          <w:szCs w:val="22"/>
        </w:rPr>
        <w:t>is</w:t>
      </w:r>
      <w:r w:rsidRPr="004A39C8">
        <w:rPr>
          <w:sz w:val="22"/>
          <w:szCs w:val="22"/>
        </w:rPr>
        <w:t xml:space="preserve"> </w:t>
      </w:r>
      <w:r w:rsidR="00517989">
        <w:rPr>
          <w:sz w:val="22"/>
          <w:szCs w:val="22"/>
        </w:rPr>
        <w:t xml:space="preserve">directly </w:t>
      </w:r>
      <w:r w:rsidRPr="004A39C8">
        <w:rPr>
          <w:sz w:val="22"/>
          <w:szCs w:val="22"/>
        </w:rPr>
        <w:t>emitted from combustion turbines due to incomplete combustion</w:t>
      </w:r>
      <w:r w:rsidR="00177413">
        <w:rPr>
          <w:sz w:val="22"/>
          <w:szCs w:val="22"/>
        </w:rPr>
        <w:t xml:space="preserve">, </w:t>
      </w:r>
      <w:r>
        <w:rPr>
          <w:sz w:val="22"/>
          <w:szCs w:val="22"/>
        </w:rPr>
        <w:t>ash and sulfur present in the fuels.</w:t>
      </w:r>
      <w:r w:rsidRPr="004A39C8">
        <w:rPr>
          <w:sz w:val="22"/>
          <w:szCs w:val="22"/>
        </w:rPr>
        <w:t xml:space="preserve">  </w:t>
      </w:r>
      <w:r w:rsidR="00517989">
        <w:rPr>
          <w:sz w:val="22"/>
          <w:szCs w:val="22"/>
        </w:rPr>
        <w:t xml:space="preserve">Such emissions </w:t>
      </w:r>
      <w:r w:rsidRPr="004A39C8">
        <w:rPr>
          <w:sz w:val="22"/>
          <w:szCs w:val="22"/>
        </w:rPr>
        <w:t>are minimized by use of clean fuels</w:t>
      </w:r>
      <w:r>
        <w:rPr>
          <w:sz w:val="22"/>
          <w:szCs w:val="22"/>
        </w:rPr>
        <w:t>, with low ash and sulfur content,</w:t>
      </w:r>
      <w:r w:rsidRPr="004A39C8">
        <w:rPr>
          <w:sz w:val="22"/>
          <w:szCs w:val="22"/>
        </w:rPr>
        <w:t xml:space="preserve"> and good combustion</w:t>
      </w:r>
      <w:r>
        <w:rPr>
          <w:sz w:val="22"/>
          <w:szCs w:val="22"/>
        </w:rPr>
        <w:t xml:space="preserve"> practices</w:t>
      </w:r>
      <w:r w:rsidRPr="004A39C8">
        <w:rPr>
          <w:sz w:val="22"/>
          <w:szCs w:val="22"/>
        </w:rPr>
        <w:t>.</w:t>
      </w:r>
      <w:r>
        <w:rPr>
          <w:sz w:val="22"/>
          <w:szCs w:val="22"/>
        </w:rPr>
        <w:t xml:space="preserve">  </w:t>
      </w:r>
      <w:r w:rsidRPr="004A39C8">
        <w:rPr>
          <w:color w:val="000000"/>
          <w:sz w:val="22"/>
          <w:szCs w:val="22"/>
        </w:rPr>
        <w:t xml:space="preserve">Clean fuels are </w:t>
      </w:r>
      <w:r>
        <w:rPr>
          <w:color w:val="000000"/>
          <w:sz w:val="22"/>
          <w:szCs w:val="22"/>
        </w:rPr>
        <w:t xml:space="preserve">a necessity in combustion turbines in order to </w:t>
      </w:r>
      <w:r w:rsidRPr="004A39C8">
        <w:rPr>
          <w:color w:val="000000"/>
          <w:sz w:val="22"/>
          <w:szCs w:val="22"/>
        </w:rPr>
        <w:t xml:space="preserve">avoid </w:t>
      </w:r>
      <w:r>
        <w:rPr>
          <w:color w:val="000000"/>
          <w:sz w:val="22"/>
          <w:szCs w:val="22"/>
        </w:rPr>
        <w:t xml:space="preserve">excessive maintenance due to </w:t>
      </w:r>
      <w:r w:rsidRPr="004A39C8">
        <w:rPr>
          <w:color w:val="000000"/>
          <w:sz w:val="22"/>
          <w:szCs w:val="22"/>
        </w:rPr>
        <w:t>damag</w:t>
      </w:r>
      <w:r>
        <w:rPr>
          <w:color w:val="000000"/>
          <w:sz w:val="22"/>
          <w:szCs w:val="22"/>
        </w:rPr>
        <w:t>ed</w:t>
      </w:r>
      <w:r w:rsidRPr="004A39C8">
        <w:rPr>
          <w:color w:val="000000"/>
          <w:sz w:val="22"/>
          <w:szCs w:val="22"/>
        </w:rPr>
        <w:t xml:space="preserve"> turbine blades and other components already exposed to very high temperature</w:t>
      </w:r>
      <w:r>
        <w:rPr>
          <w:color w:val="000000"/>
          <w:sz w:val="22"/>
          <w:szCs w:val="22"/>
        </w:rPr>
        <w:t>s</w:t>
      </w:r>
      <w:r w:rsidRPr="004A39C8">
        <w:rPr>
          <w:color w:val="000000"/>
          <w:sz w:val="22"/>
          <w:szCs w:val="22"/>
        </w:rPr>
        <w:t xml:space="preserve"> and pressure</w:t>
      </w:r>
      <w:r>
        <w:rPr>
          <w:color w:val="000000"/>
          <w:sz w:val="22"/>
          <w:szCs w:val="22"/>
        </w:rPr>
        <w:t>s</w:t>
      </w:r>
      <w:r w:rsidRPr="004A39C8">
        <w:rPr>
          <w:color w:val="000000"/>
          <w:sz w:val="22"/>
          <w:szCs w:val="22"/>
        </w:rPr>
        <w:t>.</w:t>
      </w:r>
    </w:p>
    <w:p w:rsidR="00941ADB" w:rsidRPr="009F1F46" w:rsidRDefault="00941ADB" w:rsidP="009F1F46">
      <w:pPr>
        <w:widowControl w:val="0"/>
        <w:numPr>
          <w:ilvl w:val="3"/>
          <w:numId w:val="2"/>
        </w:numPr>
        <w:tabs>
          <w:tab w:val="left" w:pos="720"/>
        </w:tabs>
        <w:spacing w:after="120"/>
        <w:ind w:left="720" w:hanging="720"/>
        <w:rPr>
          <w:sz w:val="22"/>
          <w:szCs w:val="22"/>
          <w:u w:val="single"/>
        </w:rPr>
      </w:pPr>
      <w:r w:rsidRPr="009C4E4C">
        <w:rPr>
          <w:i/>
          <w:sz w:val="22"/>
          <w:szCs w:val="22"/>
        </w:rPr>
        <w:t>Applicant’s PM/PM</w:t>
      </w:r>
      <w:r w:rsidRPr="009C4E4C">
        <w:rPr>
          <w:i/>
          <w:sz w:val="22"/>
          <w:szCs w:val="22"/>
          <w:vertAlign w:val="subscript"/>
        </w:rPr>
        <w:t>10</w:t>
      </w:r>
      <w:r w:rsidR="00177413" w:rsidRPr="009C4E4C">
        <w:rPr>
          <w:i/>
          <w:sz w:val="22"/>
          <w:szCs w:val="22"/>
        </w:rPr>
        <w:t>/PM</w:t>
      </w:r>
      <w:r w:rsidR="00177413" w:rsidRPr="009C4E4C">
        <w:rPr>
          <w:i/>
          <w:sz w:val="22"/>
          <w:szCs w:val="22"/>
          <w:vertAlign w:val="subscript"/>
        </w:rPr>
        <w:t>2.5</w:t>
      </w:r>
      <w:r w:rsidRPr="009C4E4C">
        <w:rPr>
          <w:i/>
          <w:sz w:val="22"/>
          <w:szCs w:val="22"/>
        </w:rPr>
        <w:t xml:space="preserve"> BACT Proposal</w:t>
      </w:r>
    </w:p>
    <w:p w:rsidR="00941ADB" w:rsidRDefault="00941ADB" w:rsidP="00941ADB">
      <w:pPr>
        <w:spacing w:after="120"/>
        <w:rPr>
          <w:color w:val="000000"/>
          <w:sz w:val="22"/>
          <w:szCs w:val="22"/>
        </w:rPr>
      </w:pPr>
      <w:r w:rsidRPr="00941ADB">
        <w:rPr>
          <w:color w:val="000000"/>
          <w:sz w:val="22"/>
          <w:szCs w:val="22"/>
        </w:rPr>
        <w:t xml:space="preserve">The applicant </w:t>
      </w:r>
      <w:r>
        <w:rPr>
          <w:color w:val="000000"/>
          <w:sz w:val="22"/>
          <w:szCs w:val="22"/>
        </w:rPr>
        <w:t xml:space="preserve">will use </w:t>
      </w:r>
      <w:r w:rsidR="00022FA3">
        <w:rPr>
          <w:color w:val="000000"/>
          <w:sz w:val="22"/>
          <w:szCs w:val="22"/>
        </w:rPr>
        <w:t>natural gas and ULSD fuel oil that are characterized by very low particulate formatio</w:t>
      </w:r>
      <w:r w:rsidR="00BD634C">
        <w:rPr>
          <w:color w:val="000000"/>
          <w:sz w:val="22"/>
          <w:szCs w:val="22"/>
        </w:rPr>
        <w:t>n potential.  Furthermore</w:t>
      </w:r>
      <w:r w:rsidR="00927CE6">
        <w:rPr>
          <w:color w:val="000000"/>
          <w:sz w:val="22"/>
          <w:szCs w:val="22"/>
        </w:rPr>
        <w:t>, as previously indicated,</w:t>
      </w:r>
      <w:r w:rsidR="00BD634C">
        <w:rPr>
          <w:color w:val="000000"/>
          <w:sz w:val="22"/>
          <w:szCs w:val="22"/>
        </w:rPr>
        <w:t xml:space="preserve"> F frame type CT</w:t>
      </w:r>
      <w:r w:rsidR="00DA76DB">
        <w:rPr>
          <w:color w:val="000000"/>
          <w:sz w:val="22"/>
          <w:szCs w:val="22"/>
        </w:rPr>
        <w:t xml:space="preserve"> </w:t>
      </w:r>
      <w:r w:rsidR="00022FA3">
        <w:rPr>
          <w:color w:val="000000"/>
          <w:sz w:val="22"/>
          <w:szCs w:val="22"/>
        </w:rPr>
        <w:t>have a firing temperature greater than 2,400</w:t>
      </w:r>
      <w:r w:rsidR="008C6A64">
        <w:rPr>
          <w:color w:val="000000"/>
          <w:sz w:val="22"/>
          <w:szCs w:val="22"/>
        </w:rPr>
        <w:t xml:space="preserve"> </w:t>
      </w:r>
      <w:r w:rsidR="00022FA3" w:rsidRPr="00283834">
        <w:rPr>
          <w:color w:val="000000"/>
          <w:sz w:val="22"/>
          <w:szCs w:val="22"/>
          <w:vertAlign w:val="superscript"/>
        </w:rPr>
        <w:t>o</w:t>
      </w:r>
      <w:r w:rsidR="00022FA3" w:rsidRPr="00283834">
        <w:rPr>
          <w:color w:val="000000"/>
          <w:sz w:val="22"/>
          <w:szCs w:val="22"/>
        </w:rPr>
        <w:t>F</w:t>
      </w:r>
      <w:r w:rsidR="00022FA3">
        <w:rPr>
          <w:color w:val="000000"/>
          <w:sz w:val="22"/>
          <w:szCs w:val="22"/>
        </w:rPr>
        <w:t xml:space="preserve"> and the fuels will be burned with a great deal of excess air.  Finally the low sulfur specifications, low NO</w:t>
      </w:r>
      <w:r w:rsidR="00022FA3" w:rsidRPr="00022FA3">
        <w:rPr>
          <w:color w:val="000000"/>
          <w:sz w:val="22"/>
          <w:szCs w:val="22"/>
          <w:vertAlign w:val="subscript"/>
        </w:rPr>
        <w:t>X</w:t>
      </w:r>
      <w:r w:rsidR="00022FA3">
        <w:rPr>
          <w:color w:val="000000"/>
          <w:sz w:val="22"/>
          <w:szCs w:val="22"/>
        </w:rPr>
        <w:t xml:space="preserve"> and CO emissions and </w:t>
      </w:r>
      <w:r w:rsidR="00022FA3" w:rsidRPr="00177413">
        <w:rPr>
          <w:color w:val="000000"/>
          <w:sz w:val="22"/>
          <w:szCs w:val="22"/>
          <w:u w:val="single"/>
        </w:rPr>
        <w:t>no usage</w:t>
      </w:r>
      <w:r w:rsidR="00022FA3">
        <w:rPr>
          <w:color w:val="000000"/>
          <w:sz w:val="22"/>
          <w:szCs w:val="22"/>
        </w:rPr>
        <w:t xml:space="preserve"> of ammonia will minimize the potential to directly emit or subsequently form PM</w:t>
      </w:r>
      <w:r w:rsidR="00022FA3" w:rsidRPr="00022FA3">
        <w:rPr>
          <w:color w:val="000000"/>
          <w:sz w:val="22"/>
          <w:szCs w:val="22"/>
          <w:vertAlign w:val="subscript"/>
        </w:rPr>
        <w:t>2.5</w:t>
      </w:r>
      <w:r w:rsidR="00022FA3">
        <w:rPr>
          <w:color w:val="000000"/>
          <w:sz w:val="22"/>
          <w:szCs w:val="22"/>
        </w:rPr>
        <w:t xml:space="preserve"> and condensable PM.</w:t>
      </w:r>
    </w:p>
    <w:p w:rsidR="00B52501" w:rsidRDefault="00022FA3" w:rsidP="00941ADB">
      <w:pPr>
        <w:spacing w:after="120"/>
        <w:rPr>
          <w:color w:val="000000"/>
          <w:sz w:val="22"/>
          <w:szCs w:val="22"/>
        </w:rPr>
      </w:pPr>
      <w:r>
        <w:rPr>
          <w:color w:val="000000"/>
          <w:sz w:val="22"/>
          <w:szCs w:val="22"/>
        </w:rPr>
        <w:t xml:space="preserve">The fuel specifications of </w:t>
      </w:r>
      <w:r w:rsidR="00DA76DB">
        <w:rPr>
          <w:color w:val="000000"/>
          <w:sz w:val="22"/>
          <w:szCs w:val="22"/>
        </w:rPr>
        <w:t>2.0</w:t>
      </w:r>
      <w:r>
        <w:rPr>
          <w:color w:val="000000"/>
          <w:sz w:val="22"/>
          <w:szCs w:val="22"/>
        </w:rPr>
        <w:t xml:space="preserve"> grains/100 standard cubic feet of natural gas and 0.0015% sulfur in the ULSD fuel together with a 10% opacity limits for visible emissions</w:t>
      </w:r>
      <w:r w:rsidR="009C6E01">
        <w:rPr>
          <w:color w:val="000000"/>
          <w:sz w:val="22"/>
          <w:szCs w:val="22"/>
        </w:rPr>
        <w:t xml:space="preserve"> (VE)</w:t>
      </w:r>
      <w:r>
        <w:rPr>
          <w:color w:val="000000"/>
          <w:sz w:val="22"/>
          <w:szCs w:val="22"/>
        </w:rPr>
        <w:t xml:space="preserve"> are proposed as BACT.</w:t>
      </w:r>
    </w:p>
    <w:p w:rsidR="00291612" w:rsidRPr="009C4E4C" w:rsidRDefault="00291612" w:rsidP="00C070A4">
      <w:pPr>
        <w:widowControl w:val="0"/>
        <w:numPr>
          <w:ilvl w:val="3"/>
          <w:numId w:val="2"/>
        </w:numPr>
        <w:tabs>
          <w:tab w:val="left" w:pos="720"/>
        </w:tabs>
        <w:spacing w:after="120"/>
        <w:ind w:left="720" w:hanging="720"/>
        <w:rPr>
          <w:i/>
          <w:sz w:val="22"/>
          <w:szCs w:val="22"/>
        </w:rPr>
      </w:pPr>
      <w:r w:rsidRPr="009C4E4C">
        <w:rPr>
          <w:i/>
          <w:sz w:val="22"/>
          <w:szCs w:val="22"/>
        </w:rPr>
        <w:t>Department’s PM/PM</w:t>
      </w:r>
      <w:r w:rsidRPr="009C4E4C">
        <w:rPr>
          <w:i/>
          <w:sz w:val="22"/>
          <w:szCs w:val="22"/>
          <w:vertAlign w:val="subscript"/>
        </w:rPr>
        <w:t>10</w:t>
      </w:r>
      <w:r w:rsidR="002C4F06" w:rsidRPr="009C4E4C">
        <w:rPr>
          <w:i/>
          <w:sz w:val="22"/>
          <w:szCs w:val="22"/>
        </w:rPr>
        <w:t>/PM</w:t>
      </w:r>
      <w:r w:rsidR="002C4F06" w:rsidRPr="009C4E4C">
        <w:rPr>
          <w:i/>
          <w:sz w:val="22"/>
          <w:szCs w:val="22"/>
          <w:vertAlign w:val="subscript"/>
        </w:rPr>
        <w:t>2.5</w:t>
      </w:r>
      <w:r w:rsidR="002C4F06" w:rsidRPr="009C4E4C">
        <w:rPr>
          <w:i/>
          <w:sz w:val="22"/>
          <w:szCs w:val="22"/>
        </w:rPr>
        <w:t xml:space="preserve"> </w:t>
      </w:r>
      <w:r w:rsidRPr="009C4E4C">
        <w:rPr>
          <w:i/>
          <w:sz w:val="22"/>
          <w:szCs w:val="22"/>
        </w:rPr>
        <w:t>BACT Determination</w:t>
      </w:r>
    </w:p>
    <w:p w:rsidR="007D1B9F" w:rsidRDefault="00022FA3" w:rsidP="00EF7883">
      <w:pPr>
        <w:spacing w:after="120"/>
        <w:rPr>
          <w:color w:val="000000"/>
          <w:sz w:val="22"/>
          <w:szCs w:val="22"/>
        </w:rPr>
      </w:pPr>
      <w:r>
        <w:rPr>
          <w:color w:val="000000"/>
          <w:sz w:val="22"/>
          <w:szCs w:val="22"/>
        </w:rPr>
        <w:t xml:space="preserve">The Department concurs with the </w:t>
      </w:r>
      <w:r w:rsidR="00291612">
        <w:rPr>
          <w:color w:val="000000"/>
          <w:sz w:val="22"/>
          <w:szCs w:val="22"/>
        </w:rPr>
        <w:t>applicant’s proposal.</w:t>
      </w:r>
      <w:r w:rsidR="009F1F46">
        <w:rPr>
          <w:color w:val="000000"/>
          <w:sz w:val="22"/>
          <w:szCs w:val="22"/>
        </w:rPr>
        <w:t xml:space="preserve">  Compliance will be shown by fuel sulfur monitoring or vendor certification</w:t>
      </w:r>
      <w:r w:rsidR="009C6E01">
        <w:rPr>
          <w:color w:val="000000"/>
          <w:sz w:val="22"/>
          <w:szCs w:val="22"/>
        </w:rPr>
        <w:t xml:space="preserve"> and annual opacity testing for VE</w:t>
      </w:r>
      <w:r w:rsidR="009F1F46">
        <w:rPr>
          <w:color w:val="000000"/>
          <w:sz w:val="22"/>
          <w:szCs w:val="22"/>
        </w:rPr>
        <w:t>.</w:t>
      </w:r>
    </w:p>
    <w:p w:rsidR="00D8357B" w:rsidRPr="007D1B9F" w:rsidRDefault="00291612" w:rsidP="007D1B9F">
      <w:pPr>
        <w:widowControl w:val="0"/>
        <w:numPr>
          <w:ilvl w:val="1"/>
          <w:numId w:val="2"/>
        </w:numPr>
        <w:tabs>
          <w:tab w:val="left" w:pos="720"/>
        </w:tabs>
        <w:spacing w:after="120"/>
        <w:ind w:left="720" w:hanging="720"/>
        <w:rPr>
          <w:b/>
          <w:sz w:val="22"/>
          <w:szCs w:val="22"/>
        </w:rPr>
      </w:pPr>
      <w:r>
        <w:rPr>
          <w:b/>
          <w:sz w:val="22"/>
          <w:szCs w:val="22"/>
        </w:rPr>
        <w:t xml:space="preserve">Draft BACT Determinations for </w:t>
      </w:r>
      <w:r w:rsidR="00B52501">
        <w:rPr>
          <w:b/>
          <w:sz w:val="22"/>
          <w:szCs w:val="22"/>
        </w:rPr>
        <w:t>Black Start Units</w:t>
      </w:r>
    </w:p>
    <w:p w:rsidR="00D64B73" w:rsidRPr="00D64B73" w:rsidRDefault="00D64B73" w:rsidP="00D64B73">
      <w:pPr>
        <w:widowControl w:val="0"/>
        <w:numPr>
          <w:ilvl w:val="2"/>
          <w:numId w:val="2"/>
        </w:numPr>
        <w:tabs>
          <w:tab w:val="left" w:pos="720"/>
        </w:tabs>
        <w:spacing w:after="120"/>
        <w:ind w:left="720" w:hanging="720"/>
        <w:rPr>
          <w:b/>
          <w:sz w:val="22"/>
          <w:szCs w:val="22"/>
        </w:rPr>
      </w:pPr>
      <w:r w:rsidRPr="00383FE7">
        <w:rPr>
          <w:sz w:val="22"/>
          <w:szCs w:val="22"/>
          <w:u w:val="single"/>
        </w:rPr>
        <w:t xml:space="preserve">Draft BACT Determinations for Four 3,100 kW Black Start </w:t>
      </w:r>
      <w:r>
        <w:rPr>
          <w:sz w:val="22"/>
          <w:szCs w:val="22"/>
          <w:u w:val="single"/>
        </w:rPr>
        <w:t xml:space="preserve">RICE </w:t>
      </w:r>
      <w:r w:rsidR="00B52501">
        <w:rPr>
          <w:sz w:val="22"/>
          <w:szCs w:val="22"/>
          <w:u w:val="single"/>
        </w:rPr>
        <w:t>Units</w:t>
      </w:r>
    </w:p>
    <w:p w:rsidR="00870C52" w:rsidRPr="00F5528E" w:rsidRDefault="00DA76DB" w:rsidP="00D57505">
      <w:pPr>
        <w:spacing w:after="60"/>
        <w:rPr>
          <w:sz w:val="22"/>
          <w:szCs w:val="22"/>
        </w:rPr>
      </w:pPr>
      <w:r>
        <w:rPr>
          <w:sz w:val="22"/>
          <w:szCs w:val="22"/>
        </w:rPr>
        <w:t>Four</w:t>
      </w:r>
      <w:r w:rsidR="00B256AC" w:rsidRPr="00F5528E">
        <w:rPr>
          <w:sz w:val="22"/>
          <w:szCs w:val="22"/>
        </w:rPr>
        <w:t xml:space="preserve"> emergency generator</w:t>
      </w:r>
      <w:r w:rsidR="00CF11B5">
        <w:rPr>
          <w:sz w:val="22"/>
          <w:szCs w:val="22"/>
        </w:rPr>
        <w:t>s</w:t>
      </w:r>
      <w:r w:rsidR="00B256AC" w:rsidRPr="00F5528E">
        <w:rPr>
          <w:sz w:val="22"/>
          <w:szCs w:val="22"/>
        </w:rPr>
        <w:t xml:space="preserve"> </w:t>
      </w:r>
      <w:r>
        <w:rPr>
          <w:sz w:val="22"/>
          <w:szCs w:val="22"/>
        </w:rPr>
        <w:t>are</w:t>
      </w:r>
      <w:r w:rsidR="00F97D1B" w:rsidRPr="00F5528E">
        <w:rPr>
          <w:sz w:val="22"/>
          <w:szCs w:val="22"/>
        </w:rPr>
        <w:t xml:space="preserve"> </w:t>
      </w:r>
      <w:r w:rsidR="00B256AC" w:rsidRPr="00F5528E">
        <w:rPr>
          <w:sz w:val="22"/>
          <w:szCs w:val="22"/>
        </w:rPr>
        <w:t xml:space="preserve">included </w:t>
      </w:r>
      <w:r w:rsidR="009C4E4C">
        <w:rPr>
          <w:sz w:val="22"/>
          <w:szCs w:val="22"/>
        </w:rPr>
        <w:t>in</w:t>
      </w:r>
      <w:r w:rsidR="00B256AC" w:rsidRPr="00F5528E">
        <w:rPr>
          <w:sz w:val="22"/>
          <w:szCs w:val="22"/>
        </w:rPr>
        <w:t xml:space="preserve"> </w:t>
      </w:r>
      <w:r w:rsidR="00F97D1B" w:rsidRPr="00F5528E">
        <w:rPr>
          <w:sz w:val="22"/>
          <w:szCs w:val="22"/>
        </w:rPr>
        <w:t>this project</w:t>
      </w:r>
      <w:r>
        <w:rPr>
          <w:sz w:val="22"/>
          <w:szCs w:val="22"/>
        </w:rPr>
        <w:t xml:space="preserve"> as an option for black start capability</w:t>
      </w:r>
      <w:r w:rsidR="00B256AC" w:rsidRPr="00F5528E">
        <w:rPr>
          <w:sz w:val="22"/>
          <w:szCs w:val="22"/>
        </w:rPr>
        <w:t xml:space="preserve">.  </w:t>
      </w:r>
      <w:r w:rsidR="00870C52" w:rsidRPr="00F5528E">
        <w:rPr>
          <w:sz w:val="22"/>
          <w:szCs w:val="22"/>
        </w:rPr>
        <w:t>Following are the specifications of the proposed emergency generator</w:t>
      </w:r>
      <w:r w:rsidR="008C6A64">
        <w:rPr>
          <w:sz w:val="22"/>
          <w:szCs w:val="22"/>
        </w:rPr>
        <w:t>s</w:t>
      </w:r>
      <w:r w:rsidR="00870C52" w:rsidRPr="00F5528E">
        <w:rPr>
          <w:sz w:val="22"/>
          <w:szCs w:val="22"/>
        </w:rPr>
        <w:t xml:space="preserve">: </w:t>
      </w:r>
    </w:p>
    <w:p w:rsidR="00870C52" w:rsidRPr="00F5528E" w:rsidRDefault="004320ED" w:rsidP="00C070A4">
      <w:pPr>
        <w:pStyle w:val="BodyTextIndent2"/>
        <w:widowControl w:val="0"/>
        <w:numPr>
          <w:ilvl w:val="0"/>
          <w:numId w:val="4"/>
        </w:numPr>
        <w:tabs>
          <w:tab w:val="clear" w:pos="630"/>
        </w:tabs>
        <w:spacing w:after="60"/>
        <w:ind w:left="360"/>
        <w:rPr>
          <w:bCs/>
          <w:sz w:val="22"/>
          <w:szCs w:val="22"/>
        </w:rPr>
      </w:pPr>
      <w:r w:rsidRPr="004320ED">
        <w:rPr>
          <w:bCs/>
          <w:sz w:val="22"/>
          <w:szCs w:val="22"/>
        </w:rPr>
        <w:t>Caterpillar Standby 3,100 kW 60 Hz 900 Diesel Generator</w:t>
      </w:r>
      <w:r>
        <w:rPr>
          <w:bCs/>
          <w:sz w:val="22"/>
          <w:szCs w:val="22"/>
        </w:rPr>
        <w:t xml:space="preserve"> or equivalent</w:t>
      </w:r>
      <w:r w:rsidR="00870C52" w:rsidRPr="00F5528E">
        <w:rPr>
          <w:bCs/>
          <w:sz w:val="22"/>
          <w:szCs w:val="22"/>
        </w:rPr>
        <w:t>;</w:t>
      </w:r>
    </w:p>
    <w:p w:rsidR="00870C52" w:rsidRPr="00F5528E" w:rsidRDefault="00870C52" w:rsidP="00C070A4">
      <w:pPr>
        <w:pStyle w:val="BodyTextIndent2"/>
        <w:widowControl w:val="0"/>
        <w:numPr>
          <w:ilvl w:val="0"/>
          <w:numId w:val="4"/>
        </w:numPr>
        <w:tabs>
          <w:tab w:val="clear" w:pos="630"/>
        </w:tabs>
        <w:spacing w:after="60"/>
        <w:ind w:left="360"/>
        <w:rPr>
          <w:bCs/>
          <w:sz w:val="22"/>
          <w:szCs w:val="22"/>
        </w:rPr>
      </w:pPr>
      <w:r w:rsidRPr="00F5528E">
        <w:rPr>
          <w:bCs/>
          <w:sz w:val="22"/>
          <w:szCs w:val="22"/>
        </w:rPr>
        <w:t xml:space="preserve">Usage of </w:t>
      </w:r>
      <w:r w:rsidR="00DA76DB">
        <w:rPr>
          <w:bCs/>
          <w:sz w:val="22"/>
          <w:szCs w:val="22"/>
        </w:rPr>
        <w:t>1</w:t>
      </w:r>
      <w:r w:rsidRPr="00F5528E">
        <w:rPr>
          <w:bCs/>
          <w:sz w:val="22"/>
          <w:szCs w:val="22"/>
        </w:rPr>
        <w:t>00 hours per year;</w:t>
      </w:r>
    </w:p>
    <w:p w:rsidR="00870C52" w:rsidRPr="00F5528E" w:rsidRDefault="00870C52" w:rsidP="00C070A4">
      <w:pPr>
        <w:pStyle w:val="BodyTextIndent2"/>
        <w:widowControl w:val="0"/>
        <w:numPr>
          <w:ilvl w:val="0"/>
          <w:numId w:val="4"/>
        </w:numPr>
        <w:tabs>
          <w:tab w:val="clear" w:pos="630"/>
        </w:tabs>
        <w:spacing w:after="60"/>
        <w:ind w:left="360"/>
        <w:rPr>
          <w:bCs/>
          <w:sz w:val="22"/>
          <w:szCs w:val="22"/>
        </w:rPr>
      </w:pPr>
      <w:r w:rsidRPr="00F5528E">
        <w:rPr>
          <w:bCs/>
          <w:sz w:val="22"/>
          <w:szCs w:val="22"/>
        </w:rPr>
        <w:t xml:space="preserve">Engine rated at </w:t>
      </w:r>
      <w:r w:rsidR="00CF11B5">
        <w:rPr>
          <w:bCs/>
          <w:sz w:val="22"/>
          <w:szCs w:val="22"/>
        </w:rPr>
        <w:t>4,155</w:t>
      </w:r>
      <w:r w:rsidRPr="00F5528E">
        <w:rPr>
          <w:bCs/>
          <w:sz w:val="22"/>
          <w:szCs w:val="22"/>
        </w:rPr>
        <w:t xml:space="preserve"> Brake Horse Power (BHP); </w:t>
      </w:r>
    </w:p>
    <w:p w:rsidR="00870C52" w:rsidRPr="00F5528E" w:rsidRDefault="00870C52" w:rsidP="00C070A4">
      <w:pPr>
        <w:pStyle w:val="BodyTextIndent2"/>
        <w:widowControl w:val="0"/>
        <w:numPr>
          <w:ilvl w:val="0"/>
          <w:numId w:val="3"/>
        </w:numPr>
        <w:tabs>
          <w:tab w:val="clear" w:pos="630"/>
          <w:tab w:val="clear" w:pos="2880"/>
          <w:tab w:val="num" w:pos="360"/>
        </w:tabs>
        <w:spacing w:after="60"/>
        <w:ind w:left="360"/>
        <w:rPr>
          <w:bCs/>
          <w:sz w:val="22"/>
          <w:szCs w:val="22"/>
        </w:rPr>
      </w:pPr>
      <w:r w:rsidRPr="00F5528E">
        <w:rPr>
          <w:bCs/>
          <w:sz w:val="22"/>
          <w:szCs w:val="22"/>
        </w:rPr>
        <w:t xml:space="preserve">Generator rated at </w:t>
      </w:r>
      <w:r w:rsidR="00CF11B5">
        <w:rPr>
          <w:bCs/>
          <w:sz w:val="22"/>
          <w:szCs w:val="22"/>
        </w:rPr>
        <w:t>3,1</w:t>
      </w:r>
      <w:r w:rsidRPr="00F5528E">
        <w:rPr>
          <w:bCs/>
          <w:sz w:val="22"/>
          <w:szCs w:val="22"/>
        </w:rPr>
        <w:t>00 k</w:t>
      </w:r>
      <w:r w:rsidR="00371199">
        <w:rPr>
          <w:bCs/>
          <w:sz w:val="22"/>
          <w:szCs w:val="22"/>
        </w:rPr>
        <w:t>ilowatts (kW)</w:t>
      </w:r>
      <w:r w:rsidR="008379D3">
        <w:rPr>
          <w:bCs/>
          <w:sz w:val="22"/>
          <w:szCs w:val="22"/>
        </w:rPr>
        <w:t>;</w:t>
      </w:r>
      <w:r w:rsidR="008379D3" w:rsidRPr="008379D3">
        <w:rPr>
          <w:bCs/>
          <w:sz w:val="22"/>
          <w:szCs w:val="22"/>
        </w:rPr>
        <w:t xml:space="preserve"> </w:t>
      </w:r>
      <w:r w:rsidR="008379D3" w:rsidRPr="00F5528E">
        <w:rPr>
          <w:bCs/>
          <w:sz w:val="22"/>
          <w:szCs w:val="22"/>
        </w:rPr>
        <w:t>and</w:t>
      </w:r>
    </w:p>
    <w:p w:rsidR="00870C52" w:rsidRPr="00F5528E" w:rsidRDefault="00870C52" w:rsidP="00C070A4">
      <w:pPr>
        <w:pStyle w:val="BodyTextIndent2"/>
        <w:widowControl w:val="0"/>
        <w:numPr>
          <w:ilvl w:val="0"/>
          <w:numId w:val="3"/>
        </w:numPr>
        <w:tabs>
          <w:tab w:val="clear" w:pos="630"/>
          <w:tab w:val="clear" w:pos="2880"/>
          <w:tab w:val="num" w:pos="360"/>
        </w:tabs>
        <w:ind w:left="360"/>
        <w:rPr>
          <w:bCs/>
          <w:sz w:val="22"/>
          <w:szCs w:val="22"/>
        </w:rPr>
      </w:pPr>
      <w:r w:rsidRPr="00F5528E">
        <w:rPr>
          <w:bCs/>
          <w:sz w:val="22"/>
          <w:szCs w:val="22"/>
        </w:rPr>
        <w:t xml:space="preserve">Heat Input is </w:t>
      </w:r>
      <w:r w:rsidR="008379D3">
        <w:rPr>
          <w:bCs/>
          <w:sz w:val="22"/>
          <w:szCs w:val="22"/>
        </w:rPr>
        <w:t>2.32</w:t>
      </w:r>
      <w:r w:rsidRPr="00F5528E">
        <w:rPr>
          <w:bCs/>
          <w:sz w:val="22"/>
          <w:szCs w:val="22"/>
        </w:rPr>
        <w:t xml:space="preserve"> MMBtu/h</w:t>
      </w:r>
      <w:r w:rsidR="007207A7">
        <w:rPr>
          <w:bCs/>
          <w:sz w:val="22"/>
          <w:szCs w:val="22"/>
        </w:rPr>
        <w:t>ou</w:t>
      </w:r>
      <w:r w:rsidRPr="00F5528E">
        <w:rPr>
          <w:bCs/>
          <w:sz w:val="22"/>
          <w:szCs w:val="22"/>
        </w:rPr>
        <w:t>r (</w:t>
      </w:r>
      <w:r w:rsidR="00371199">
        <w:rPr>
          <w:bCs/>
          <w:sz w:val="22"/>
          <w:szCs w:val="22"/>
        </w:rPr>
        <w:t>higher heating value</w:t>
      </w:r>
      <w:r w:rsidRPr="00F5528E">
        <w:rPr>
          <w:bCs/>
          <w:sz w:val="22"/>
          <w:szCs w:val="22"/>
        </w:rPr>
        <w:t>)</w:t>
      </w:r>
      <w:r w:rsidR="009C4E4C">
        <w:rPr>
          <w:bCs/>
          <w:sz w:val="22"/>
          <w:szCs w:val="22"/>
        </w:rPr>
        <w:t>.</w:t>
      </w:r>
    </w:p>
    <w:p w:rsidR="00EA43DC" w:rsidRDefault="00870C52" w:rsidP="00E5074C">
      <w:pPr>
        <w:pStyle w:val="NormalWeb"/>
        <w:spacing w:before="0" w:beforeAutospacing="0" w:after="120" w:afterAutospacing="0"/>
        <w:rPr>
          <w:sz w:val="22"/>
          <w:szCs w:val="22"/>
        </w:rPr>
      </w:pPr>
      <w:r>
        <w:rPr>
          <w:sz w:val="22"/>
          <w:szCs w:val="22"/>
        </w:rPr>
        <w:t>T</w:t>
      </w:r>
      <w:r w:rsidR="001D0328">
        <w:rPr>
          <w:sz w:val="22"/>
          <w:szCs w:val="22"/>
        </w:rPr>
        <w:t xml:space="preserve">he requirements of 40 CFR part 60, </w:t>
      </w:r>
      <w:r w:rsidR="009C4E4C">
        <w:rPr>
          <w:sz w:val="22"/>
          <w:szCs w:val="22"/>
        </w:rPr>
        <w:t>S</w:t>
      </w:r>
      <w:r w:rsidR="001D0328">
        <w:rPr>
          <w:sz w:val="22"/>
          <w:szCs w:val="22"/>
        </w:rPr>
        <w:t xml:space="preserve">ubpart IIII - </w:t>
      </w:r>
      <w:r w:rsidR="007B2E21" w:rsidRPr="00F5528E">
        <w:rPr>
          <w:sz w:val="22"/>
          <w:szCs w:val="22"/>
        </w:rPr>
        <w:t>Standards of Performance for Stationary Compression Ignition Internal Combustion Engines</w:t>
      </w:r>
      <w:r w:rsidR="001D0328">
        <w:rPr>
          <w:sz w:val="22"/>
          <w:szCs w:val="22"/>
        </w:rPr>
        <w:t xml:space="preserve"> (NSPS Subpart IIII)</w:t>
      </w:r>
      <w:r>
        <w:rPr>
          <w:sz w:val="22"/>
          <w:szCs w:val="22"/>
        </w:rPr>
        <w:t xml:space="preserve"> are given at:</w:t>
      </w:r>
      <w:r w:rsidR="001D0328">
        <w:rPr>
          <w:sz w:val="22"/>
          <w:szCs w:val="22"/>
        </w:rPr>
        <w:t xml:space="preserve">  </w:t>
      </w:r>
      <w:hyperlink r:id="rId49" w:history="1">
        <w:r w:rsidR="001D0328">
          <w:rPr>
            <w:rStyle w:val="Hyperlink"/>
            <w:sz w:val="22"/>
            <w:szCs w:val="22"/>
          </w:rPr>
          <w:t>Link to NSPS Subpart IIII</w:t>
        </w:r>
      </w:hyperlink>
      <w:r w:rsidR="001D0328">
        <w:rPr>
          <w:sz w:val="22"/>
          <w:szCs w:val="22"/>
        </w:rPr>
        <w:t xml:space="preserve"> .  </w:t>
      </w:r>
    </w:p>
    <w:p w:rsidR="00E5074C" w:rsidRPr="00E5074C" w:rsidRDefault="001D0328" w:rsidP="00E5074C">
      <w:pPr>
        <w:pStyle w:val="NormalWeb"/>
        <w:spacing w:before="0" w:beforeAutospacing="0" w:after="120" w:afterAutospacing="0"/>
        <w:rPr>
          <w:sz w:val="22"/>
          <w:szCs w:val="22"/>
        </w:rPr>
      </w:pPr>
      <w:r>
        <w:rPr>
          <w:sz w:val="22"/>
          <w:szCs w:val="22"/>
        </w:rPr>
        <w:t xml:space="preserve">The </w:t>
      </w:r>
      <w:r w:rsidR="004320ED">
        <w:rPr>
          <w:sz w:val="22"/>
          <w:szCs w:val="22"/>
        </w:rPr>
        <w:t>major</w:t>
      </w:r>
      <w:r w:rsidR="00CC00A1">
        <w:rPr>
          <w:sz w:val="22"/>
          <w:szCs w:val="22"/>
        </w:rPr>
        <w:t xml:space="preserve"> source </w:t>
      </w:r>
      <w:r w:rsidR="00870C52">
        <w:rPr>
          <w:sz w:val="22"/>
          <w:szCs w:val="22"/>
        </w:rPr>
        <w:t xml:space="preserve">requirements of </w:t>
      </w:r>
      <w:r>
        <w:rPr>
          <w:sz w:val="22"/>
          <w:szCs w:val="22"/>
        </w:rPr>
        <w:t xml:space="preserve">40 CFR 63, </w:t>
      </w:r>
      <w:r w:rsidR="009C4E4C">
        <w:rPr>
          <w:sz w:val="22"/>
          <w:szCs w:val="22"/>
        </w:rPr>
        <w:t>S</w:t>
      </w:r>
      <w:r>
        <w:rPr>
          <w:sz w:val="22"/>
          <w:szCs w:val="22"/>
        </w:rPr>
        <w:t xml:space="preserve">ubpart ZZZZ - </w:t>
      </w:r>
      <w:r w:rsidRPr="001D0328">
        <w:rPr>
          <w:sz w:val="22"/>
          <w:szCs w:val="22"/>
        </w:rPr>
        <w:t>National Emissions Standards for Hazardous Air Pollutants for Stationary Reciprocating Internal Combustion Engines</w:t>
      </w:r>
      <w:r>
        <w:rPr>
          <w:sz w:val="22"/>
          <w:szCs w:val="22"/>
        </w:rPr>
        <w:t xml:space="preserve"> (NESHAP Subpart ZZZZ)</w:t>
      </w:r>
      <w:r w:rsidR="008057A1">
        <w:rPr>
          <w:sz w:val="22"/>
          <w:szCs w:val="22"/>
        </w:rPr>
        <w:t xml:space="preserve"> are given at:  </w:t>
      </w:r>
      <w:hyperlink r:id="rId50" w:history="1">
        <w:r>
          <w:rPr>
            <w:rStyle w:val="Hyperlink"/>
            <w:sz w:val="22"/>
            <w:szCs w:val="22"/>
          </w:rPr>
          <w:t>Link to NESHAP ZZZZ</w:t>
        </w:r>
      </w:hyperlink>
      <w:r>
        <w:rPr>
          <w:sz w:val="22"/>
          <w:szCs w:val="22"/>
        </w:rPr>
        <w:t xml:space="preserve"> </w:t>
      </w:r>
      <w:r w:rsidR="00EA43DC">
        <w:rPr>
          <w:sz w:val="22"/>
          <w:szCs w:val="22"/>
        </w:rPr>
        <w:t>.  A</w:t>
      </w:r>
      <w:r w:rsidR="00E5074C">
        <w:rPr>
          <w:sz w:val="22"/>
          <w:szCs w:val="22"/>
        </w:rPr>
        <w:t xml:space="preserve"> stationary reciprocating internal combustion e</w:t>
      </w:r>
      <w:r w:rsidR="00E5074C" w:rsidRPr="001D0328">
        <w:rPr>
          <w:sz w:val="22"/>
          <w:szCs w:val="22"/>
        </w:rPr>
        <w:t>ngine</w:t>
      </w:r>
      <w:r w:rsidR="00E5074C">
        <w:rPr>
          <w:sz w:val="22"/>
          <w:szCs w:val="22"/>
        </w:rPr>
        <w:t xml:space="preserve"> </w:t>
      </w:r>
      <w:r w:rsidR="00E5074C" w:rsidRPr="00E5074C">
        <w:rPr>
          <w:sz w:val="22"/>
          <w:szCs w:val="22"/>
        </w:rPr>
        <w:t xml:space="preserve">subject to </w:t>
      </w:r>
      <w:r w:rsidR="00E5074C">
        <w:rPr>
          <w:sz w:val="22"/>
          <w:szCs w:val="22"/>
        </w:rPr>
        <w:t>r</w:t>
      </w:r>
      <w:r w:rsidR="00E5074C" w:rsidRPr="00E5074C">
        <w:rPr>
          <w:sz w:val="22"/>
          <w:szCs w:val="22"/>
        </w:rPr>
        <w:t>egulation under 40 CFR 60</w:t>
      </w:r>
      <w:r w:rsidR="00E5074C">
        <w:rPr>
          <w:sz w:val="22"/>
          <w:szCs w:val="22"/>
        </w:rPr>
        <w:t xml:space="preserve"> (</w:t>
      </w:r>
      <w:r w:rsidR="00233F46">
        <w:rPr>
          <w:sz w:val="22"/>
          <w:szCs w:val="22"/>
        </w:rPr>
        <w:t xml:space="preserve">i.e. </w:t>
      </w:r>
      <w:r w:rsidR="00EA43DC">
        <w:rPr>
          <w:sz w:val="22"/>
          <w:szCs w:val="22"/>
        </w:rPr>
        <w:t>NSPS</w:t>
      </w:r>
      <w:r w:rsidR="00233F46">
        <w:rPr>
          <w:sz w:val="22"/>
          <w:szCs w:val="22"/>
        </w:rPr>
        <w:t>)</w:t>
      </w:r>
      <w:r w:rsidR="00E5074C">
        <w:rPr>
          <w:sz w:val="22"/>
          <w:szCs w:val="22"/>
        </w:rPr>
        <w:t xml:space="preserve"> </w:t>
      </w:r>
      <w:r w:rsidR="00EA43DC">
        <w:rPr>
          <w:sz w:val="22"/>
          <w:szCs w:val="22"/>
        </w:rPr>
        <w:t xml:space="preserve">and </w:t>
      </w:r>
      <w:r w:rsidR="00E5074C">
        <w:rPr>
          <w:sz w:val="22"/>
          <w:szCs w:val="22"/>
        </w:rPr>
        <w:t xml:space="preserve">that </w:t>
      </w:r>
      <w:r w:rsidR="00E5074C" w:rsidRPr="00E5074C">
        <w:rPr>
          <w:sz w:val="22"/>
          <w:szCs w:val="22"/>
        </w:rPr>
        <w:t>meets any of the criteria in paragraphs</w:t>
      </w:r>
      <w:r w:rsidR="00233F46">
        <w:rPr>
          <w:sz w:val="22"/>
          <w:szCs w:val="22"/>
        </w:rPr>
        <w:t xml:space="preserve"> </w:t>
      </w:r>
      <w:r w:rsidR="00233F46" w:rsidRPr="00E5074C">
        <w:rPr>
          <w:sz w:val="22"/>
          <w:szCs w:val="22"/>
        </w:rPr>
        <w:t xml:space="preserve">63.6590(c) (1) through (7) </w:t>
      </w:r>
      <w:r w:rsidR="00233F46">
        <w:rPr>
          <w:sz w:val="22"/>
          <w:szCs w:val="22"/>
        </w:rPr>
        <w:t>of</w:t>
      </w:r>
      <w:r w:rsidR="00E5074C" w:rsidRPr="00E5074C">
        <w:rPr>
          <w:sz w:val="22"/>
          <w:szCs w:val="22"/>
        </w:rPr>
        <w:t xml:space="preserve"> </w:t>
      </w:r>
      <w:r w:rsidR="00233F46">
        <w:rPr>
          <w:sz w:val="22"/>
          <w:szCs w:val="22"/>
        </w:rPr>
        <w:t xml:space="preserve">the NESHAP Subpart ZZZZ, </w:t>
      </w:r>
      <w:r w:rsidR="00E5074C" w:rsidRPr="00E5074C">
        <w:rPr>
          <w:sz w:val="22"/>
          <w:szCs w:val="22"/>
        </w:rPr>
        <w:t xml:space="preserve">must meet the requirements of this </w:t>
      </w:r>
      <w:r w:rsidR="00371199">
        <w:rPr>
          <w:sz w:val="22"/>
          <w:szCs w:val="22"/>
        </w:rPr>
        <w:t>regulation</w:t>
      </w:r>
      <w:r w:rsidR="00E5074C" w:rsidRPr="00E5074C">
        <w:rPr>
          <w:sz w:val="22"/>
          <w:szCs w:val="22"/>
        </w:rPr>
        <w:t xml:space="preserve"> by meeting the requirements of 40 CFR 60</w:t>
      </w:r>
      <w:r w:rsidR="00233F46">
        <w:rPr>
          <w:sz w:val="22"/>
          <w:szCs w:val="22"/>
        </w:rPr>
        <w:t>,</w:t>
      </w:r>
      <w:r w:rsidR="00E5074C" w:rsidRPr="00E5074C">
        <w:rPr>
          <w:sz w:val="22"/>
          <w:szCs w:val="22"/>
        </w:rPr>
        <w:t xml:space="preserve"> </w:t>
      </w:r>
      <w:r w:rsidR="009C4E4C">
        <w:rPr>
          <w:sz w:val="22"/>
          <w:szCs w:val="22"/>
        </w:rPr>
        <w:t>S</w:t>
      </w:r>
      <w:r w:rsidR="00E5074C" w:rsidRPr="00E5074C">
        <w:rPr>
          <w:sz w:val="22"/>
          <w:szCs w:val="22"/>
        </w:rPr>
        <w:t xml:space="preserve">ubpart IIII. </w:t>
      </w:r>
      <w:r w:rsidR="00EA43DC">
        <w:rPr>
          <w:sz w:val="22"/>
          <w:szCs w:val="22"/>
        </w:rPr>
        <w:t xml:space="preserve"> </w:t>
      </w:r>
      <w:r w:rsidR="00E5074C" w:rsidRPr="00E5074C">
        <w:rPr>
          <w:sz w:val="22"/>
          <w:szCs w:val="22"/>
        </w:rPr>
        <w:t xml:space="preserve">No further requirements apply for such engines under </w:t>
      </w:r>
      <w:r w:rsidR="00371199">
        <w:rPr>
          <w:sz w:val="22"/>
          <w:szCs w:val="22"/>
        </w:rPr>
        <w:t>40 CFR 63</w:t>
      </w:r>
      <w:r w:rsidR="00E5074C" w:rsidRPr="00E5074C">
        <w:rPr>
          <w:sz w:val="22"/>
          <w:szCs w:val="22"/>
        </w:rPr>
        <w:t>.</w:t>
      </w:r>
    </w:p>
    <w:p w:rsidR="00870C52" w:rsidRDefault="00AC2F09" w:rsidP="007B2E21">
      <w:pPr>
        <w:spacing w:after="120"/>
        <w:rPr>
          <w:sz w:val="22"/>
          <w:szCs w:val="22"/>
        </w:rPr>
      </w:pPr>
      <w:r>
        <w:rPr>
          <w:sz w:val="22"/>
          <w:szCs w:val="22"/>
        </w:rPr>
        <w:t>For the type of engine proposed by the applicant, t</w:t>
      </w:r>
      <w:r w:rsidR="00B5725E">
        <w:rPr>
          <w:sz w:val="22"/>
          <w:szCs w:val="22"/>
        </w:rPr>
        <w:t xml:space="preserve">he requirements of these two regulations are summarized in a third regulation which is 40 CFR 60, </w:t>
      </w:r>
      <w:r w:rsidR="009C4E4C">
        <w:rPr>
          <w:sz w:val="22"/>
          <w:szCs w:val="22"/>
        </w:rPr>
        <w:t>S</w:t>
      </w:r>
      <w:r w:rsidR="00B5725E">
        <w:rPr>
          <w:sz w:val="22"/>
          <w:szCs w:val="22"/>
        </w:rPr>
        <w:t xml:space="preserve">ubpart 89 – </w:t>
      </w:r>
      <w:r w:rsidR="00B5725E" w:rsidRPr="00B5725E">
        <w:rPr>
          <w:sz w:val="22"/>
          <w:szCs w:val="22"/>
        </w:rPr>
        <w:t>C</w:t>
      </w:r>
      <w:r w:rsidR="00B5725E">
        <w:rPr>
          <w:sz w:val="22"/>
          <w:szCs w:val="22"/>
        </w:rPr>
        <w:t>ontrol of Emissions from New and In-use Nonroad Compression-Ignition Engines</w:t>
      </w:r>
      <w:r w:rsidR="00870C52">
        <w:rPr>
          <w:sz w:val="22"/>
          <w:szCs w:val="22"/>
        </w:rPr>
        <w:t xml:space="preserve">. </w:t>
      </w:r>
      <w:r w:rsidR="00B5725E">
        <w:rPr>
          <w:sz w:val="22"/>
          <w:szCs w:val="22"/>
        </w:rPr>
        <w:t xml:space="preserve"> </w:t>
      </w:r>
      <w:hyperlink r:id="rId51" w:history="1">
        <w:r w:rsidR="009C4E4C">
          <w:rPr>
            <w:rStyle w:val="Hyperlink"/>
            <w:sz w:val="22"/>
            <w:szCs w:val="22"/>
          </w:rPr>
          <w:t>Link to 40 CFR 60, Subpart 89</w:t>
        </w:r>
      </w:hyperlink>
      <w:r w:rsidR="00870C52">
        <w:rPr>
          <w:sz w:val="22"/>
          <w:szCs w:val="22"/>
        </w:rPr>
        <w:t xml:space="preserve"> .  The applicable requirements are summarized at the following link:  </w:t>
      </w:r>
      <w:hyperlink r:id="rId52" w:history="1">
        <w:r w:rsidR="00461BA9">
          <w:rPr>
            <w:rStyle w:val="Hyperlink"/>
            <w:sz w:val="22"/>
            <w:szCs w:val="22"/>
          </w:rPr>
          <w:t>Link to Non-Road Engine Emission Standards</w:t>
        </w:r>
      </w:hyperlink>
      <w:r w:rsidR="00870C52">
        <w:rPr>
          <w:sz w:val="22"/>
          <w:szCs w:val="22"/>
        </w:rPr>
        <w:t xml:space="preserve"> .  Those specifically applicable to the </w:t>
      </w:r>
      <w:r w:rsidR="002E2896">
        <w:rPr>
          <w:sz w:val="22"/>
          <w:szCs w:val="22"/>
        </w:rPr>
        <w:t xml:space="preserve">emergency generator </w:t>
      </w:r>
      <w:r w:rsidR="00870C52">
        <w:rPr>
          <w:sz w:val="22"/>
          <w:szCs w:val="22"/>
        </w:rPr>
        <w:t>engine</w:t>
      </w:r>
      <w:r w:rsidR="008651F1">
        <w:rPr>
          <w:sz w:val="22"/>
          <w:szCs w:val="22"/>
        </w:rPr>
        <w:t>s</w:t>
      </w:r>
      <w:r w:rsidR="00870C52">
        <w:rPr>
          <w:sz w:val="22"/>
          <w:szCs w:val="22"/>
        </w:rPr>
        <w:t xml:space="preserve"> specified by </w:t>
      </w:r>
      <w:r w:rsidR="002E2896">
        <w:rPr>
          <w:sz w:val="22"/>
          <w:szCs w:val="22"/>
        </w:rPr>
        <w:t>FPL</w:t>
      </w:r>
      <w:r w:rsidR="00870C52">
        <w:rPr>
          <w:sz w:val="22"/>
          <w:szCs w:val="22"/>
        </w:rPr>
        <w:t xml:space="preserve"> are summarized in</w:t>
      </w:r>
      <w:r w:rsidR="009C4E4C">
        <w:rPr>
          <w:sz w:val="22"/>
          <w:szCs w:val="22"/>
        </w:rPr>
        <w:t xml:space="preserve"> </w:t>
      </w:r>
      <w:r w:rsidR="009C4E4C" w:rsidRPr="00D64B73">
        <w:rPr>
          <w:b/>
          <w:sz w:val="22"/>
          <w:szCs w:val="22"/>
        </w:rPr>
        <w:fldChar w:fldCharType="begin"/>
      </w:r>
      <w:r w:rsidR="009C4E4C" w:rsidRPr="00D64B73">
        <w:rPr>
          <w:b/>
          <w:sz w:val="22"/>
          <w:szCs w:val="22"/>
        </w:rPr>
        <w:instrText xml:space="preserve"> REF _Ref365632819 \h  \* MERGEFORMAT </w:instrText>
      </w:r>
      <w:r w:rsidR="009C4E4C" w:rsidRPr="00D64B73">
        <w:rPr>
          <w:b/>
          <w:sz w:val="22"/>
          <w:szCs w:val="22"/>
        </w:rPr>
      </w:r>
      <w:r w:rsidR="009C4E4C" w:rsidRPr="00D64B73">
        <w:rPr>
          <w:b/>
          <w:sz w:val="22"/>
          <w:szCs w:val="22"/>
        </w:rPr>
        <w:fldChar w:fldCharType="separate"/>
      </w:r>
      <w:r w:rsidR="007F3589" w:rsidRPr="007F3589">
        <w:rPr>
          <w:b/>
          <w:sz w:val="22"/>
          <w:szCs w:val="22"/>
        </w:rPr>
        <w:t xml:space="preserve">Table </w:t>
      </w:r>
      <w:r w:rsidR="007F3589" w:rsidRPr="007F3589">
        <w:rPr>
          <w:b/>
          <w:noProof/>
          <w:sz w:val="22"/>
          <w:szCs w:val="22"/>
        </w:rPr>
        <w:t>13</w:t>
      </w:r>
      <w:r w:rsidR="009C4E4C" w:rsidRPr="00D64B73">
        <w:rPr>
          <w:b/>
          <w:sz w:val="22"/>
          <w:szCs w:val="22"/>
        </w:rPr>
        <w:fldChar w:fldCharType="end"/>
      </w:r>
      <w:r w:rsidR="00D57505">
        <w:rPr>
          <w:sz w:val="22"/>
          <w:szCs w:val="22"/>
        </w:rPr>
        <w:t>.</w:t>
      </w:r>
    </w:p>
    <w:p w:rsidR="00D57505" w:rsidRPr="009C4E4C" w:rsidRDefault="009C4E4C" w:rsidP="009C4E4C">
      <w:pPr>
        <w:pStyle w:val="Caption"/>
        <w:spacing w:before="0"/>
        <w:jc w:val="center"/>
        <w:rPr>
          <w:bCs/>
          <w:color w:val="000000"/>
          <w:szCs w:val="22"/>
        </w:rPr>
      </w:pPr>
      <w:bookmarkStart w:id="36" w:name="_Ref365632819"/>
      <w:r w:rsidRPr="009C4E4C">
        <w:lastRenderedPageBreak/>
        <w:t xml:space="preserve">Table </w:t>
      </w:r>
      <w:fldSimple w:instr=" SEQ Table \* ARABIC ">
        <w:r w:rsidR="007F3589">
          <w:rPr>
            <w:noProof/>
          </w:rPr>
          <w:t>13</w:t>
        </w:r>
      </w:fldSimple>
      <w:bookmarkEnd w:id="36"/>
      <w:r w:rsidRPr="009C4E4C">
        <w:t xml:space="preserve"> </w:t>
      </w:r>
      <w:r w:rsidR="00D57505" w:rsidRPr="009C4E4C">
        <w:rPr>
          <w:bCs/>
          <w:color w:val="000000"/>
          <w:szCs w:val="22"/>
        </w:rPr>
        <w:t xml:space="preserve">– </w:t>
      </w:r>
      <w:r w:rsidR="00AB52D5" w:rsidRPr="009C4E4C">
        <w:rPr>
          <w:bCs/>
          <w:color w:val="000000"/>
          <w:szCs w:val="22"/>
        </w:rPr>
        <w:t xml:space="preserve">NSPS Subpart IIII, </w:t>
      </w:r>
      <w:r w:rsidR="00D57505" w:rsidRPr="009C4E4C">
        <w:rPr>
          <w:bCs/>
          <w:color w:val="000000"/>
          <w:szCs w:val="22"/>
        </w:rPr>
        <w:t xml:space="preserve">Standards for </w:t>
      </w:r>
      <w:r w:rsidR="00AC2F09" w:rsidRPr="009C4E4C">
        <w:rPr>
          <w:bCs/>
          <w:color w:val="000000"/>
          <w:szCs w:val="22"/>
        </w:rPr>
        <w:t xml:space="preserve">Large </w:t>
      </w:r>
      <w:r w:rsidR="00D57505" w:rsidRPr="009C4E4C">
        <w:rPr>
          <w:bCs/>
          <w:color w:val="000000"/>
          <w:szCs w:val="22"/>
        </w:rPr>
        <w:t>Nonroad Engines</w:t>
      </w:r>
      <w:r w:rsidR="00AC2F09" w:rsidRPr="009C4E4C">
        <w:rPr>
          <w:bCs/>
          <w:color w:val="000000"/>
          <w:szCs w:val="22"/>
        </w:rPr>
        <w:t xml:space="preserve"> (Tier 2)</w:t>
      </w:r>
      <w:r>
        <w:rPr>
          <w:bCs/>
          <w:color w:val="000000"/>
          <w:szCs w:val="22"/>
        </w:rPr>
        <w:t>.</w:t>
      </w:r>
    </w:p>
    <w:tbl>
      <w:tblPr>
        <w:tblW w:w="9247"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880"/>
        <w:gridCol w:w="1507"/>
        <w:gridCol w:w="1440"/>
        <w:gridCol w:w="1620"/>
        <w:gridCol w:w="1800"/>
      </w:tblGrid>
      <w:tr w:rsidR="008057A1" w:rsidRPr="00F031A1" w:rsidTr="002E7738">
        <w:trPr>
          <w:trHeight w:val="144"/>
        </w:trPr>
        <w:tc>
          <w:tcPr>
            <w:tcW w:w="2880" w:type="dxa"/>
            <w:shd w:val="clear" w:color="auto" w:fill="C6D9F1"/>
            <w:vAlign w:val="center"/>
          </w:tcPr>
          <w:p w:rsidR="008057A1" w:rsidRPr="009C4E4C" w:rsidRDefault="008057A1" w:rsidP="009C4E4C">
            <w:pPr>
              <w:tabs>
                <w:tab w:val="left" w:pos="360"/>
                <w:tab w:val="left" w:pos="1440"/>
                <w:tab w:val="left" w:pos="1800"/>
                <w:tab w:val="left" w:pos="2160"/>
              </w:tabs>
              <w:spacing w:before="20" w:after="20"/>
              <w:ind w:left="360"/>
              <w:jc w:val="center"/>
              <w:rPr>
                <w:b/>
                <w:u w:val="single"/>
              </w:rPr>
            </w:pPr>
            <w:r w:rsidRPr="009C4E4C">
              <w:br w:type="page"/>
            </w:r>
            <w:r w:rsidRPr="009C4E4C">
              <w:rPr>
                <w:b/>
              </w:rPr>
              <w:t>Emergency Generator</w:t>
            </w:r>
            <w:r w:rsidRPr="009C4E4C">
              <w:rPr>
                <w:b/>
              </w:rPr>
              <w:br/>
            </w:r>
            <w:r w:rsidRPr="009C4E4C">
              <w:t xml:space="preserve">(kW&gt; </w:t>
            </w:r>
            <w:r w:rsidR="004320ED" w:rsidRPr="009C4E4C">
              <w:t>900</w:t>
            </w:r>
            <w:r w:rsidRPr="009C4E4C">
              <w:t>)</w:t>
            </w:r>
          </w:p>
        </w:tc>
        <w:tc>
          <w:tcPr>
            <w:tcW w:w="1507" w:type="dxa"/>
            <w:shd w:val="clear" w:color="auto" w:fill="C6D9F1"/>
            <w:vAlign w:val="center"/>
          </w:tcPr>
          <w:p w:rsidR="008057A1" w:rsidRPr="009C4E4C" w:rsidRDefault="008057A1" w:rsidP="009C4E4C">
            <w:pPr>
              <w:tabs>
                <w:tab w:val="left" w:pos="1440"/>
                <w:tab w:val="left" w:pos="1800"/>
                <w:tab w:val="left" w:pos="2160"/>
              </w:tabs>
              <w:spacing w:before="20" w:after="20"/>
              <w:jc w:val="center"/>
              <w:rPr>
                <w:b/>
                <w:vertAlign w:val="superscript"/>
              </w:rPr>
            </w:pPr>
            <w:r w:rsidRPr="009C4E4C">
              <w:rPr>
                <w:b/>
              </w:rPr>
              <w:t>CO</w:t>
            </w:r>
            <w:r w:rsidRPr="009C4E4C">
              <w:rPr>
                <w:b/>
              </w:rPr>
              <w:br/>
              <w:t>(</w:t>
            </w:r>
            <w:r w:rsidRPr="009C4E4C">
              <w:t>g/kW-hr)</w:t>
            </w:r>
            <w:r w:rsidR="009D5C9A">
              <w:t xml:space="preserve"> </w:t>
            </w:r>
            <w:r w:rsidRPr="009C4E4C">
              <w:rPr>
                <w:b/>
                <w:vertAlign w:val="superscript"/>
              </w:rPr>
              <w:t>1</w:t>
            </w:r>
          </w:p>
        </w:tc>
        <w:tc>
          <w:tcPr>
            <w:tcW w:w="1440" w:type="dxa"/>
            <w:shd w:val="clear" w:color="auto" w:fill="C6D9F1"/>
            <w:vAlign w:val="center"/>
          </w:tcPr>
          <w:p w:rsidR="008057A1" w:rsidRPr="009C4E4C" w:rsidRDefault="008057A1" w:rsidP="009C4E4C">
            <w:pPr>
              <w:tabs>
                <w:tab w:val="left" w:pos="1440"/>
                <w:tab w:val="left" w:pos="1800"/>
                <w:tab w:val="left" w:pos="2160"/>
              </w:tabs>
              <w:spacing w:before="20" w:after="20"/>
              <w:jc w:val="center"/>
              <w:rPr>
                <w:b/>
              </w:rPr>
            </w:pPr>
            <w:r w:rsidRPr="009C4E4C">
              <w:rPr>
                <w:b/>
              </w:rPr>
              <w:t>PM</w:t>
            </w:r>
            <w:r w:rsidRPr="009C4E4C">
              <w:rPr>
                <w:b/>
              </w:rPr>
              <w:br/>
              <w:t>(</w:t>
            </w:r>
            <w:r w:rsidRPr="009C4E4C">
              <w:t>g/kW-hr)</w:t>
            </w:r>
          </w:p>
        </w:tc>
        <w:tc>
          <w:tcPr>
            <w:tcW w:w="1620" w:type="dxa"/>
            <w:shd w:val="clear" w:color="auto" w:fill="C6D9F1"/>
            <w:vAlign w:val="center"/>
          </w:tcPr>
          <w:p w:rsidR="008057A1" w:rsidRPr="009C4E4C" w:rsidRDefault="008057A1" w:rsidP="009C4E4C">
            <w:pPr>
              <w:tabs>
                <w:tab w:val="left" w:pos="1440"/>
                <w:tab w:val="left" w:pos="1800"/>
                <w:tab w:val="left" w:pos="2160"/>
              </w:tabs>
              <w:spacing w:before="20" w:after="20"/>
              <w:jc w:val="center"/>
              <w:rPr>
                <w:b/>
              </w:rPr>
            </w:pPr>
            <w:r w:rsidRPr="009C4E4C">
              <w:rPr>
                <w:b/>
              </w:rPr>
              <w:t>NMHC</w:t>
            </w:r>
            <w:r w:rsidR="009D5C9A">
              <w:rPr>
                <w:b/>
              </w:rPr>
              <w:t xml:space="preserve"> </w:t>
            </w:r>
            <w:r w:rsidR="009B1DAD" w:rsidRPr="009C4E4C">
              <w:rPr>
                <w:b/>
                <w:vertAlign w:val="superscript"/>
              </w:rPr>
              <w:t>2</w:t>
            </w:r>
            <w:r w:rsidRPr="009C4E4C">
              <w:rPr>
                <w:b/>
              </w:rPr>
              <w:t>+NO</w:t>
            </w:r>
            <w:r w:rsidRPr="009C4E4C">
              <w:rPr>
                <w:b/>
                <w:vertAlign w:val="subscript"/>
              </w:rPr>
              <w:t>X</w:t>
            </w:r>
            <w:r w:rsidRPr="009C4E4C">
              <w:rPr>
                <w:b/>
                <w:vertAlign w:val="subscript"/>
              </w:rPr>
              <w:br/>
            </w:r>
            <w:r w:rsidRPr="009C4E4C">
              <w:rPr>
                <w:b/>
              </w:rPr>
              <w:t>(</w:t>
            </w:r>
            <w:r w:rsidRPr="009C4E4C">
              <w:t>g/kW-hr)</w:t>
            </w:r>
          </w:p>
        </w:tc>
        <w:tc>
          <w:tcPr>
            <w:tcW w:w="1800" w:type="dxa"/>
            <w:shd w:val="clear" w:color="auto" w:fill="C6D9F1"/>
            <w:vAlign w:val="center"/>
          </w:tcPr>
          <w:p w:rsidR="008057A1" w:rsidRPr="009C4E4C" w:rsidRDefault="006336CA" w:rsidP="009C4E4C">
            <w:pPr>
              <w:spacing w:before="20" w:after="20"/>
              <w:jc w:val="center"/>
              <w:rPr>
                <w:b/>
              </w:rPr>
            </w:pPr>
            <w:r w:rsidRPr="009C4E4C">
              <w:rPr>
                <w:b/>
              </w:rPr>
              <w:t xml:space="preserve">Diesel </w:t>
            </w:r>
            <w:r w:rsidR="008057A1" w:rsidRPr="009C4E4C">
              <w:rPr>
                <w:b/>
              </w:rPr>
              <w:t>Fuel</w:t>
            </w:r>
            <w:r w:rsidR="009D5C9A">
              <w:rPr>
                <w:b/>
              </w:rPr>
              <w:t xml:space="preserve"> </w:t>
            </w:r>
            <w:r w:rsidR="009B1DAD" w:rsidRPr="009C4E4C">
              <w:rPr>
                <w:b/>
                <w:vertAlign w:val="superscript"/>
              </w:rPr>
              <w:t>3</w:t>
            </w:r>
            <w:r w:rsidR="008057A1" w:rsidRPr="009C4E4C">
              <w:rPr>
                <w:b/>
              </w:rPr>
              <w:br/>
            </w:r>
            <w:r w:rsidR="008057A1" w:rsidRPr="009C4E4C">
              <w:t>(</w:t>
            </w:r>
            <w:r w:rsidRPr="009C4E4C">
              <w:t>sulfur</w:t>
            </w:r>
            <w:r w:rsidR="008057A1" w:rsidRPr="009C4E4C">
              <w:t>)</w:t>
            </w:r>
          </w:p>
        </w:tc>
      </w:tr>
      <w:tr w:rsidR="008057A1" w:rsidRPr="00F031A1" w:rsidTr="002E7738">
        <w:trPr>
          <w:trHeight w:val="144"/>
        </w:trPr>
        <w:tc>
          <w:tcPr>
            <w:tcW w:w="2880" w:type="dxa"/>
            <w:vAlign w:val="center"/>
          </w:tcPr>
          <w:p w:rsidR="008057A1" w:rsidRPr="009C4E4C" w:rsidRDefault="008057A1" w:rsidP="009C4E4C">
            <w:pPr>
              <w:tabs>
                <w:tab w:val="left" w:pos="360"/>
                <w:tab w:val="left" w:pos="1440"/>
                <w:tab w:val="left" w:pos="1800"/>
                <w:tab w:val="left" w:pos="2160"/>
              </w:tabs>
              <w:spacing w:before="20" w:after="20"/>
              <w:ind w:left="360"/>
              <w:jc w:val="center"/>
            </w:pPr>
            <w:r w:rsidRPr="009C4E4C">
              <w:t>2011 and later</w:t>
            </w:r>
          </w:p>
        </w:tc>
        <w:tc>
          <w:tcPr>
            <w:tcW w:w="1507" w:type="dxa"/>
            <w:vAlign w:val="center"/>
          </w:tcPr>
          <w:p w:rsidR="008057A1" w:rsidRPr="009C4E4C" w:rsidRDefault="008057A1" w:rsidP="009C4E4C">
            <w:pPr>
              <w:tabs>
                <w:tab w:val="left" w:pos="1440"/>
                <w:tab w:val="left" w:pos="1800"/>
                <w:tab w:val="left" w:pos="2160"/>
              </w:tabs>
              <w:spacing w:before="20" w:after="20"/>
              <w:jc w:val="center"/>
            </w:pPr>
            <w:r w:rsidRPr="009C4E4C">
              <w:t>3.5</w:t>
            </w:r>
          </w:p>
        </w:tc>
        <w:tc>
          <w:tcPr>
            <w:tcW w:w="1440" w:type="dxa"/>
            <w:vAlign w:val="center"/>
          </w:tcPr>
          <w:p w:rsidR="008057A1" w:rsidRPr="009C4E4C" w:rsidRDefault="008057A1" w:rsidP="009C4E4C">
            <w:pPr>
              <w:tabs>
                <w:tab w:val="left" w:pos="1440"/>
                <w:tab w:val="left" w:pos="1800"/>
                <w:tab w:val="left" w:pos="2160"/>
              </w:tabs>
              <w:spacing w:before="20" w:after="20"/>
              <w:jc w:val="center"/>
              <w:rPr>
                <w:lang w:val="de-DE"/>
              </w:rPr>
            </w:pPr>
            <w:r w:rsidRPr="009C4E4C">
              <w:rPr>
                <w:lang w:val="de-DE"/>
              </w:rPr>
              <w:t>0.20</w:t>
            </w:r>
          </w:p>
        </w:tc>
        <w:tc>
          <w:tcPr>
            <w:tcW w:w="1620" w:type="dxa"/>
            <w:vAlign w:val="center"/>
          </w:tcPr>
          <w:p w:rsidR="008057A1" w:rsidRPr="009C4E4C" w:rsidRDefault="008057A1" w:rsidP="009C4E4C">
            <w:pPr>
              <w:tabs>
                <w:tab w:val="left" w:pos="1440"/>
                <w:tab w:val="left" w:pos="1800"/>
                <w:tab w:val="left" w:pos="2160"/>
              </w:tabs>
              <w:spacing w:before="20" w:after="20"/>
              <w:jc w:val="center"/>
            </w:pPr>
            <w:r w:rsidRPr="009C4E4C">
              <w:t>6.4</w:t>
            </w:r>
          </w:p>
        </w:tc>
        <w:tc>
          <w:tcPr>
            <w:tcW w:w="1800" w:type="dxa"/>
            <w:shd w:val="clear" w:color="auto" w:fill="auto"/>
            <w:vAlign w:val="center"/>
          </w:tcPr>
          <w:p w:rsidR="008057A1" w:rsidRPr="009C4E4C" w:rsidRDefault="006336CA" w:rsidP="009C4E4C">
            <w:pPr>
              <w:spacing w:before="20" w:after="20"/>
              <w:jc w:val="center"/>
            </w:pPr>
            <w:r w:rsidRPr="009C4E4C">
              <w:t>15 ppm</w:t>
            </w:r>
          </w:p>
        </w:tc>
      </w:tr>
      <w:tr w:rsidR="00D57505" w:rsidRPr="00F031A1" w:rsidTr="002E7738">
        <w:trPr>
          <w:trHeight w:val="338"/>
        </w:trPr>
        <w:tc>
          <w:tcPr>
            <w:tcW w:w="9247" w:type="dxa"/>
            <w:gridSpan w:val="5"/>
            <w:vAlign w:val="center"/>
          </w:tcPr>
          <w:p w:rsidR="00D57505" w:rsidRPr="00AB52D5" w:rsidRDefault="00D57505" w:rsidP="00C070A4">
            <w:pPr>
              <w:numPr>
                <w:ilvl w:val="0"/>
                <w:numId w:val="15"/>
              </w:numPr>
              <w:ind w:left="331" w:hanging="331"/>
              <w:rPr>
                <w:sz w:val="18"/>
              </w:rPr>
            </w:pPr>
            <w:r w:rsidRPr="00AB52D5">
              <w:rPr>
                <w:sz w:val="18"/>
              </w:rPr>
              <w:t>g/kW-hr means grams per kilowatt-hour.</w:t>
            </w:r>
          </w:p>
          <w:p w:rsidR="00D57505" w:rsidRPr="00AB52D5" w:rsidRDefault="00D57505" w:rsidP="00C070A4">
            <w:pPr>
              <w:numPr>
                <w:ilvl w:val="0"/>
                <w:numId w:val="15"/>
              </w:numPr>
              <w:ind w:left="331" w:hanging="331"/>
              <w:rPr>
                <w:sz w:val="18"/>
              </w:rPr>
            </w:pPr>
            <w:r w:rsidRPr="00AB52D5">
              <w:rPr>
                <w:sz w:val="18"/>
              </w:rPr>
              <w:t>NMHC means Non-Methane Hydrocarbons.</w:t>
            </w:r>
          </w:p>
          <w:p w:rsidR="006336CA" w:rsidRPr="00F031A1" w:rsidRDefault="00043160" w:rsidP="00C070A4">
            <w:pPr>
              <w:numPr>
                <w:ilvl w:val="0"/>
                <w:numId w:val="15"/>
              </w:numPr>
              <w:spacing w:before="20" w:after="20"/>
              <w:ind w:left="331" w:hanging="331"/>
            </w:pPr>
            <w:r>
              <w:rPr>
                <w:sz w:val="18"/>
              </w:rPr>
              <w:t xml:space="preserve">Nonroad diesel specification from </w:t>
            </w:r>
            <w:r w:rsidR="0094139F">
              <w:rPr>
                <w:sz w:val="18"/>
              </w:rPr>
              <w:t xml:space="preserve">40 CFR part 80, subpart </w:t>
            </w:r>
            <w:r w:rsidR="0094139F" w:rsidRPr="0094139F">
              <w:rPr>
                <w:bCs/>
                <w:sz w:val="18"/>
                <w:szCs w:val="18"/>
              </w:rPr>
              <w:t>I</w:t>
            </w:r>
            <w:r w:rsidR="0094139F" w:rsidRPr="0094139F">
              <w:rPr>
                <w:sz w:val="18"/>
                <w:szCs w:val="18"/>
              </w:rPr>
              <w:t xml:space="preserve"> – </w:t>
            </w:r>
            <w:r w:rsidR="0094139F" w:rsidRPr="0094139F">
              <w:rPr>
                <w:bCs/>
                <w:sz w:val="18"/>
              </w:rPr>
              <w:t>Motor Vehicle Diesel Fuel; Nonroad, Locomotive, and Marine Diesel Fuel; and ECA Marine Fuel</w:t>
            </w:r>
            <w:r w:rsidR="0094139F">
              <w:rPr>
                <w:bCs/>
                <w:sz w:val="18"/>
              </w:rPr>
              <w:t xml:space="preserve">.  </w:t>
            </w:r>
            <w:hyperlink r:id="rId53" w:history="1">
              <w:r w:rsidR="008651F1">
                <w:rPr>
                  <w:rStyle w:val="Hyperlink"/>
                  <w:sz w:val="18"/>
                </w:rPr>
                <w:t>Link to Non-Road Diesel Spec</w:t>
              </w:r>
            </w:hyperlink>
            <w:r w:rsidR="00AB52D5" w:rsidRPr="00AB52D5">
              <w:rPr>
                <w:sz w:val="18"/>
              </w:rPr>
              <w:t xml:space="preserve"> </w:t>
            </w:r>
          </w:p>
        </w:tc>
      </w:tr>
    </w:tbl>
    <w:p w:rsidR="0026126D" w:rsidRDefault="008651F1" w:rsidP="005B0078">
      <w:pPr>
        <w:spacing w:before="120" w:after="120"/>
        <w:rPr>
          <w:sz w:val="22"/>
          <w:szCs w:val="22"/>
        </w:rPr>
      </w:pPr>
      <w:r>
        <w:rPr>
          <w:sz w:val="22"/>
          <w:szCs w:val="22"/>
        </w:rPr>
        <w:t>T</w:t>
      </w:r>
      <w:r w:rsidR="006B52D1">
        <w:rPr>
          <w:sz w:val="22"/>
          <w:szCs w:val="22"/>
        </w:rPr>
        <w:t>he</w:t>
      </w:r>
      <w:r w:rsidR="009C4E4C">
        <w:rPr>
          <w:sz w:val="22"/>
          <w:szCs w:val="22"/>
        </w:rPr>
        <w:t xml:space="preserve"> Department determines that</w:t>
      </w:r>
      <w:r w:rsidR="006B52D1">
        <w:rPr>
          <w:sz w:val="22"/>
          <w:szCs w:val="22"/>
        </w:rPr>
        <w:t xml:space="preserve"> </w:t>
      </w:r>
      <w:r w:rsidR="008C48A0">
        <w:rPr>
          <w:sz w:val="22"/>
          <w:szCs w:val="22"/>
        </w:rPr>
        <w:t xml:space="preserve">the </w:t>
      </w:r>
      <w:r w:rsidR="006B52D1">
        <w:rPr>
          <w:sz w:val="22"/>
          <w:szCs w:val="22"/>
        </w:rPr>
        <w:t xml:space="preserve">requirements listed in </w:t>
      </w:r>
      <w:r w:rsidR="009C4E4C" w:rsidRPr="00D64B73">
        <w:rPr>
          <w:b/>
          <w:sz w:val="22"/>
          <w:szCs w:val="22"/>
        </w:rPr>
        <w:fldChar w:fldCharType="begin"/>
      </w:r>
      <w:r w:rsidR="009C4E4C" w:rsidRPr="00D64B73">
        <w:rPr>
          <w:b/>
          <w:sz w:val="22"/>
          <w:szCs w:val="22"/>
        </w:rPr>
        <w:instrText xml:space="preserve"> REF _Ref365632819 \h  \* MERGEFORMAT </w:instrText>
      </w:r>
      <w:r w:rsidR="009C4E4C" w:rsidRPr="00D64B73">
        <w:rPr>
          <w:b/>
          <w:sz w:val="22"/>
          <w:szCs w:val="22"/>
        </w:rPr>
      </w:r>
      <w:r w:rsidR="009C4E4C" w:rsidRPr="00D64B73">
        <w:rPr>
          <w:b/>
          <w:sz w:val="22"/>
          <w:szCs w:val="22"/>
        </w:rPr>
        <w:fldChar w:fldCharType="separate"/>
      </w:r>
      <w:r w:rsidR="007F3589" w:rsidRPr="007F3589">
        <w:rPr>
          <w:b/>
          <w:sz w:val="22"/>
          <w:szCs w:val="22"/>
        </w:rPr>
        <w:t xml:space="preserve">Table </w:t>
      </w:r>
      <w:r w:rsidR="007F3589" w:rsidRPr="007F3589">
        <w:rPr>
          <w:b/>
          <w:noProof/>
          <w:sz w:val="22"/>
          <w:szCs w:val="22"/>
        </w:rPr>
        <w:t>13</w:t>
      </w:r>
      <w:r w:rsidR="009C4E4C" w:rsidRPr="00D64B73">
        <w:rPr>
          <w:b/>
          <w:sz w:val="22"/>
          <w:szCs w:val="22"/>
        </w:rPr>
        <w:fldChar w:fldCharType="end"/>
      </w:r>
      <w:r w:rsidR="009C4E4C" w:rsidRPr="009C4E4C">
        <w:rPr>
          <w:sz w:val="22"/>
          <w:szCs w:val="22"/>
        </w:rPr>
        <w:t xml:space="preserve"> </w:t>
      </w:r>
      <w:r w:rsidR="006B52D1">
        <w:rPr>
          <w:sz w:val="22"/>
          <w:szCs w:val="22"/>
        </w:rPr>
        <w:t>satisfy the requirements of BACT for CO, NO</w:t>
      </w:r>
      <w:r w:rsidR="006B52D1" w:rsidRPr="006B52D1">
        <w:rPr>
          <w:sz w:val="22"/>
          <w:szCs w:val="22"/>
          <w:vertAlign w:val="subscript"/>
        </w:rPr>
        <w:t>X</w:t>
      </w:r>
      <w:r w:rsidR="006B52D1">
        <w:rPr>
          <w:sz w:val="22"/>
          <w:szCs w:val="22"/>
        </w:rPr>
        <w:t xml:space="preserve"> and PM</w:t>
      </w:r>
      <w:r w:rsidR="008C48A0">
        <w:rPr>
          <w:sz w:val="22"/>
          <w:szCs w:val="22"/>
        </w:rPr>
        <w:t xml:space="preserve"> for the black start generators</w:t>
      </w:r>
      <w:r w:rsidR="006B52D1">
        <w:rPr>
          <w:sz w:val="22"/>
          <w:szCs w:val="22"/>
        </w:rPr>
        <w:t xml:space="preserve">.  </w:t>
      </w:r>
      <w:r w:rsidR="003A0D69" w:rsidRPr="00F5528E">
        <w:rPr>
          <w:sz w:val="22"/>
          <w:szCs w:val="22"/>
        </w:rPr>
        <w:t xml:space="preserve">Use of </w:t>
      </w:r>
      <w:r w:rsidR="003A0D69">
        <w:rPr>
          <w:sz w:val="22"/>
          <w:szCs w:val="22"/>
        </w:rPr>
        <w:t xml:space="preserve">low </w:t>
      </w:r>
      <w:r w:rsidR="008C48A0">
        <w:rPr>
          <w:sz w:val="22"/>
          <w:szCs w:val="22"/>
        </w:rPr>
        <w:t>ULSD fuel oi</w:t>
      </w:r>
      <w:r w:rsidR="003A0D69">
        <w:rPr>
          <w:sz w:val="22"/>
          <w:szCs w:val="22"/>
        </w:rPr>
        <w:t xml:space="preserve">l </w:t>
      </w:r>
      <w:r w:rsidR="003A0D69" w:rsidRPr="00F5528E">
        <w:rPr>
          <w:sz w:val="22"/>
          <w:szCs w:val="22"/>
        </w:rPr>
        <w:t xml:space="preserve">will result in substantially less PM than indicated above and will also </w:t>
      </w:r>
      <w:r w:rsidR="006B52D1">
        <w:rPr>
          <w:sz w:val="22"/>
          <w:szCs w:val="22"/>
        </w:rPr>
        <w:t xml:space="preserve">further </w:t>
      </w:r>
      <w:r w:rsidR="003A0D69" w:rsidRPr="00F5528E">
        <w:rPr>
          <w:sz w:val="22"/>
          <w:szCs w:val="22"/>
        </w:rPr>
        <w:t>minimize PM</w:t>
      </w:r>
      <w:r w:rsidR="003A0D69" w:rsidRPr="00F5528E">
        <w:rPr>
          <w:sz w:val="22"/>
          <w:szCs w:val="22"/>
          <w:vertAlign w:val="subscript"/>
        </w:rPr>
        <w:t>10</w:t>
      </w:r>
      <w:r w:rsidR="003A0D69" w:rsidRPr="00F5528E">
        <w:rPr>
          <w:sz w:val="22"/>
          <w:szCs w:val="22"/>
        </w:rPr>
        <w:t xml:space="preserve">, and PM </w:t>
      </w:r>
      <w:r w:rsidR="003A0D69" w:rsidRPr="00F5528E">
        <w:rPr>
          <w:sz w:val="22"/>
          <w:szCs w:val="22"/>
          <w:vertAlign w:val="subscript"/>
        </w:rPr>
        <w:t>2.5</w:t>
      </w:r>
      <w:r w:rsidR="003A0D69" w:rsidRPr="00F5528E">
        <w:rPr>
          <w:sz w:val="22"/>
          <w:szCs w:val="22"/>
        </w:rPr>
        <w:t xml:space="preserve"> emissions and precursors.</w:t>
      </w:r>
      <w:r w:rsidR="003A0D69">
        <w:rPr>
          <w:sz w:val="22"/>
          <w:szCs w:val="22"/>
        </w:rPr>
        <w:t xml:space="preserve">  </w:t>
      </w:r>
    </w:p>
    <w:p w:rsidR="000F4908" w:rsidRDefault="00D64B73" w:rsidP="00D64B73">
      <w:pPr>
        <w:spacing w:after="120"/>
        <w:rPr>
          <w:color w:val="000000"/>
          <w:sz w:val="22"/>
          <w:szCs w:val="22"/>
        </w:rPr>
      </w:pPr>
      <w:r>
        <w:rPr>
          <w:color w:val="000000"/>
          <w:sz w:val="22"/>
          <w:szCs w:val="22"/>
        </w:rPr>
        <w:t>Compliance shall be shown by an initial and annual stack tests or in lieu of stack test manufacturer engine certification.  In the case of SO</w:t>
      </w:r>
      <w:r w:rsidRPr="002E7EAE">
        <w:rPr>
          <w:color w:val="000000"/>
          <w:sz w:val="22"/>
          <w:szCs w:val="22"/>
          <w:vertAlign w:val="subscript"/>
        </w:rPr>
        <w:t>2</w:t>
      </w:r>
      <w:r>
        <w:rPr>
          <w:color w:val="000000"/>
          <w:sz w:val="22"/>
          <w:szCs w:val="22"/>
        </w:rPr>
        <w:t xml:space="preserve"> emissions, compliance shall be shown by either fuel sulfur monitoring or vendor certification.</w:t>
      </w:r>
    </w:p>
    <w:p w:rsidR="00D64B73" w:rsidRPr="00383FE7" w:rsidRDefault="00D64B73" w:rsidP="00D64B73">
      <w:pPr>
        <w:widowControl w:val="0"/>
        <w:numPr>
          <w:ilvl w:val="2"/>
          <w:numId w:val="2"/>
        </w:numPr>
        <w:tabs>
          <w:tab w:val="left" w:pos="720"/>
        </w:tabs>
        <w:spacing w:after="120"/>
        <w:ind w:left="720" w:hanging="720"/>
        <w:rPr>
          <w:sz w:val="22"/>
          <w:szCs w:val="22"/>
          <w:u w:val="single"/>
        </w:rPr>
      </w:pPr>
      <w:r>
        <w:rPr>
          <w:sz w:val="22"/>
          <w:szCs w:val="22"/>
          <w:u w:val="single"/>
        </w:rPr>
        <w:t xml:space="preserve">Two Existing GT as Black Start </w:t>
      </w:r>
      <w:r w:rsidR="00B52501">
        <w:rPr>
          <w:sz w:val="22"/>
          <w:szCs w:val="22"/>
          <w:u w:val="single"/>
        </w:rPr>
        <w:t>Units</w:t>
      </w:r>
    </w:p>
    <w:p w:rsidR="00E720F2" w:rsidRPr="00E720F2" w:rsidRDefault="00E720F2" w:rsidP="000F4908">
      <w:pPr>
        <w:widowControl w:val="0"/>
        <w:spacing w:after="60"/>
        <w:rPr>
          <w:sz w:val="22"/>
        </w:rPr>
      </w:pPr>
      <w:r w:rsidRPr="00E720F2">
        <w:rPr>
          <w:sz w:val="22"/>
        </w:rPr>
        <w:t xml:space="preserve">If FPL elects the option of using two </w:t>
      </w:r>
      <w:r w:rsidR="000F4908" w:rsidRPr="002C3372">
        <w:rPr>
          <w:sz w:val="22"/>
          <w:szCs w:val="22"/>
        </w:rPr>
        <w:t xml:space="preserve">GTs </w:t>
      </w:r>
      <w:r w:rsidR="000F4908">
        <w:rPr>
          <w:sz w:val="22"/>
          <w:szCs w:val="22"/>
        </w:rPr>
        <w:t xml:space="preserve">from EU003 </w:t>
      </w:r>
      <w:r w:rsidR="000F4908" w:rsidRPr="002C3372">
        <w:rPr>
          <w:sz w:val="22"/>
          <w:szCs w:val="22"/>
        </w:rPr>
        <w:t>for black start capability at the facility</w:t>
      </w:r>
      <w:r w:rsidR="000F4908" w:rsidRPr="00E720F2">
        <w:rPr>
          <w:sz w:val="22"/>
        </w:rPr>
        <w:t xml:space="preserve"> </w:t>
      </w:r>
      <w:r w:rsidRPr="00E720F2">
        <w:rPr>
          <w:sz w:val="22"/>
        </w:rPr>
        <w:t>BACT will consist of:</w:t>
      </w:r>
    </w:p>
    <w:p w:rsidR="00E720F2" w:rsidRPr="00091921" w:rsidRDefault="00E720F2" w:rsidP="000F4908">
      <w:pPr>
        <w:pStyle w:val="BodyTextIndent2"/>
        <w:widowControl w:val="0"/>
        <w:numPr>
          <w:ilvl w:val="0"/>
          <w:numId w:val="4"/>
        </w:numPr>
        <w:tabs>
          <w:tab w:val="clear" w:pos="630"/>
        </w:tabs>
        <w:spacing w:after="60"/>
        <w:ind w:left="360"/>
        <w:rPr>
          <w:bCs/>
          <w:sz w:val="22"/>
          <w:szCs w:val="22"/>
        </w:rPr>
      </w:pPr>
      <w:r w:rsidRPr="00091921">
        <w:rPr>
          <w:bCs/>
          <w:sz w:val="22"/>
          <w:szCs w:val="22"/>
        </w:rPr>
        <w:t xml:space="preserve">Meet the emission limits and compliance requirement for these units that are in the current </w:t>
      </w:r>
      <w:r w:rsidR="00B52501" w:rsidRPr="00091921">
        <w:rPr>
          <w:bCs/>
          <w:sz w:val="22"/>
          <w:szCs w:val="22"/>
        </w:rPr>
        <w:t>FPL Lauderdale</w:t>
      </w:r>
      <w:r w:rsidRPr="00091921">
        <w:rPr>
          <w:bCs/>
          <w:sz w:val="22"/>
          <w:szCs w:val="22"/>
        </w:rPr>
        <w:t xml:space="preserve"> </w:t>
      </w:r>
      <w:r w:rsidR="00B52501" w:rsidRPr="00091921">
        <w:rPr>
          <w:bCs/>
          <w:sz w:val="22"/>
          <w:szCs w:val="22"/>
        </w:rPr>
        <w:t xml:space="preserve">Plant </w:t>
      </w:r>
      <w:r w:rsidRPr="00091921">
        <w:rPr>
          <w:bCs/>
          <w:sz w:val="22"/>
          <w:szCs w:val="22"/>
        </w:rPr>
        <w:t xml:space="preserve">Title V Air Operation Permit No. </w:t>
      </w:r>
      <w:r w:rsidR="00B52501" w:rsidRPr="00091921">
        <w:rPr>
          <w:bCs/>
          <w:sz w:val="22"/>
          <w:szCs w:val="22"/>
        </w:rPr>
        <w:t>0110037-00</w:t>
      </w:r>
      <w:r w:rsidRPr="00091921">
        <w:rPr>
          <w:bCs/>
          <w:sz w:val="22"/>
          <w:szCs w:val="22"/>
        </w:rPr>
        <w:t>8-AV; and</w:t>
      </w:r>
    </w:p>
    <w:p w:rsidR="00D64B73" w:rsidRPr="00091921" w:rsidRDefault="00E720F2" w:rsidP="000F4908">
      <w:pPr>
        <w:pStyle w:val="BodyTextIndent2"/>
        <w:widowControl w:val="0"/>
        <w:numPr>
          <w:ilvl w:val="0"/>
          <w:numId w:val="4"/>
        </w:numPr>
        <w:tabs>
          <w:tab w:val="clear" w:pos="630"/>
        </w:tabs>
        <w:ind w:left="360"/>
        <w:rPr>
          <w:bCs/>
          <w:sz w:val="22"/>
          <w:szCs w:val="22"/>
        </w:rPr>
      </w:pPr>
      <w:r w:rsidRPr="00091921">
        <w:rPr>
          <w:bCs/>
          <w:sz w:val="22"/>
          <w:szCs w:val="22"/>
        </w:rPr>
        <w:t>Each GT black start unit will be limited to of 100 hours per year for testing and maintenance purposes.</w:t>
      </w:r>
    </w:p>
    <w:p w:rsidR="00D64B73" w:rsidRDefault="0072033E" w:rsidP="0072033E">
      <w:pPr>
        <w:widowControl w:val="0"/>
        <w:numPr>
          <w:ilvl w:val="1"/>
          <w:numId w:val="2"/>
        </w:numPr>
        <w:tabs>
          <w:tab w:val="left" w:pos="720"/>
        </w:tabs>
        <w:spacing w:after="120"/>
        <w:ind w:left="720" w:hanging="720"/>
        <w:rPr>
          <w:b/>
          <w:sz w:val="22"/>
          <w:szCs w:val="22"/>
        </w:rPr>
      </w:pPr>
      <w:r>
        <w:rPr>
          <w:b/>
          <w:sz w:val="22"/>
          <w:szCs w:val="22"/>
        </w:rPr>
        <w:t>Draft BACT Determinations for 300 hp</w:t>
      </w:r>
      <w:r w:rsidRPr="00291612">
        <w:rPr>
          <w:b/>
          <w:sz w:val="22"/>
          <w:szCs w:val="22"/>
        </w:rPr>
        <w:t xml:space="preserve"> </w:t>
      </w:r>
      <w:r>
        <w:rPr>
          <w:b/>
          <w:sz w:val="22"/>
          <w:szCs w:val="22"/>
        </w:rPr>
        <w:t>Fire Pump Engine</w:t>
      </w:r>
    </w:p>
    <w:p w:rsidR="008379D3" w:rsidRPr="00F5528E" w:rsidRDefault="008379D3" w:rsidP="008379D3">
      <w:pPr>
        <w:spacing w:after="60"/>
        <w:rPr>
          <w:sz w:val="22"/>
          <w:szCs w:val="22"/>
        </w:rPr>
      </w:pPr>
      <w:r>
        <w:rPr>
          <w:sz w:val="22"/>
          <w:szCs w:val="22"/>
        </w:rPr>
        <w:t>One</w:t>
      </w:r>
      <w:r w:rsidRPr="00F5528E">
        <w:rPr>
          <w:sz w:val="22"/>
          <w:szCs w:val="22"/>
        </w:rPr>
        <w:t xml:space="preserve"> emergency </w:t>
      </w:r>
      <w:r>
        <w:rPr>
          <w:sz w:val="22"/>
          <w:szCs w:val="22"/>
        </w:rPr>
        <w:t>fire pump engine</w:t>
      </w:r>
      <w:r w:rsidRPr="00F5528E">
        <w:rPr>
          <w:sz w:val="22"/>
          <w:szCs w:val="22"/>
        </w:rPr>
        <w:t xml:space="preserve"> </w:t>
      </w:r>
      <w:r>
        <w:rPr>
          <w:sz w:val="22"/>
          <w:szCs w:val="22"/>
        </w:rPr>
        <w:t>is</w:t>
      </w:r>
      <w:r w:rsidRPr="00F5528E">
        <w:rPr>
          <w:sz w:val="22"/>
          <w:szCs w:val="22"/>
        </w:rPr>
        <w:t xml:space="preserve"> included </w:t>
      </w:r>
      <w:r>
        <w:rPr>
          <w:sz w:val="22"/>
          <w:szCs w:val="22"/>
        </w:rPr>
        <w:t>in</w:t>
      </w:r>
      <w:r w:rsidRPr="00F5528E">
        <w:rPr>
          <w:sz w:val="22"/>
          <w:szCs w:val="22"/>
        </w:rPr>
        <w:t xml:space="preserve"> this project.  Following are the specifications of the proposed </w:t>
      </w:r>
      <w:r>
        <w:rPr>
          <w:sz w:val="22"/>
          <w:szCs w:val="22"/>
        </w:rPr>
        <w:t>fire pump</w:t>
      </w:r>
      <w:r w:rsidRPr="00F5528E">
        <w:rPr>
          <w:sz w:val="22"/>
          <w:szCs w:val="22"/>
        </w:rPr>
        <w:t xml:space="preserve">: </w:t>
      </w:r>
    </w:p>
    <w:p w:rsidR="008379D3" w:rsidRPr="00F5528E" w:rsidRDefault="008379D3" w:rsidP="008379D3">
      <w:pPr>
        <w:pStyle w:val="BodyTextIndent2"/>
        <w:widowControl w:val="0"/>
        <w:numPr>
          <w:ilvl w:val="0"/>
          <w:numId w:val="4"/>
        </w:numPr>
        <w:tabs>
          <w:tab w:val="clear" w:pos="630"/>
        </w:tabs>
        <w:spacing w:after="60"/>
        <w:ind w:left="360"/>
        <w:rPr>
          <w:bCs/>
          <w:sz w:val="22"/>
          <w:szCs w:val="22"/>
        </w:rPr>
      </w:pPr>
      <w:r w:rsidRPr="00F5528E">
        <w:rPr>
          <w:bCs/>
          <w:sz w:val="22"/>
          <w:szCs w:val="22"/>
        </w:rPr>
        <w:t xml:space="preserve">Usage of </w:t>
      </w:r>
      <w:r>
        <w:rPr>
          <w:bCs/>
          <w:sz w:val="22"/>
          <w:szCs w:val="22"/>
        </w:rPr>
        <w:t>1</w:t>
      </w:r>
      <w:r w:rsidRPr="00F5528E">
        <w:rPr>
          <w:bCs/>
          <w:sz w:val="22"/>
          <w:szCs w:val="22"/>
        </w:rPr>
        <w:t>00 hours per year;</w:t>
      </w:r>
    </w:p>
    <w:p w:rsidR="008379D3" w:rsidRPr="00F5528E" w:rsidRDefault="008379D3" w:rsidP="008379D3">
      <w:pPr>
        <w:pStyle w:val="BodyTextIndent2"/>
        <w:widowControl w:val="0"/>
        <w:numPr>
          <w:ilvl w:val="0"/>
          <w:numId w:val="4"/>
        </w:numPr>
        <w:tabs>
          <w:tab w:val="clear" w:pos="630"/>
        </w:tabs>
        <w:spacing w:after="60"/>
        <w:ind w:left="360"/>
        <w:rPr>
          <w:bCs/>
          <w:sz w:val="22"/>
          <w:szCs w:val="22"/>
        </w:rPr>
      </w:pPr>
      <w:r w:rsidRPr="00F5528E">
        <w:rPr>
          <w:bCs/>
          <w:sz w:val="22"/>
          <w:szCs w:val="22"/>
        </w:rPr>
        <w:t xml:space="preserve">Engine rated at </w:t>
      </w:r>
      <w:r>
        <w:rPr>
          <w:bCs/>
          <w:sz w:val="22"/>
          <w:szCs w:val="22"/>
        </w:rPr>
        <w:t>300</w:t>
      </w:r>
      <w:r w:rsidR="002E2896">
        <w:rPr>
          <w:bCs/>
          <w:sz w:val="22"/>
          <w:szCs w:val="22"/>
        </w:rPr>
        <w:t xml:space="preserve"> </w:t>
      </w:r>
      <w:r>
        <w:rPr>
          <w:bCs/>
          <w:sz w:val="22"/>
          <w:szCs w:val="22"/>
        </w:rPr>
        <w:t>hp</w:t>
      </w:r>
      <w:r w:rsidRPr="00F5528E">
        <w:rPr>
          <w:bCs/>
          <w:sz w:val="22"/>
          <w:szCs w:val="22"/>
        </w:rPr>
        <w:t>; and</w:t>
      </w:r>
    </w:p>
    <w:p w:rsidR="008379D3" w:rsidRPr="00F5528E" w:rsidRDefault="008379D3" w:rsidP="008379D3">
      <w:pPr>
        <w:pStyle w:val="BodyTextIndent2"/>
        <w:widowControl w:val="0"/>
        <w:numPr>
          <w:ilvl w:val="0"/>
          <w:numId w:val="3"/>
        </w:numPr>
        <w:tabs>
          <w:tab w:val="clear" w:pos="630"/>
          <w:tab w:val="clear" w:pos="2880"/>
          <w:tab w:val="num" w:pos="360"/>
        </w:tabs>
        <w:ind w:left="360"/>
        <w:rPr>
          <w:bCs/>
          <w:sz w:val="22"/>
          <w:szCs w:val="22"/>
        </w:rPr>
      </w:pPr>
      <w:r w:rsidRPr="00F5528E">
        <w:rPr>
          <w:bCs/>
          <w:sz w:val="22"/>
          <w:szCs w:val="22"/>
        </w:rPr>
        <w:t xml:space="preserve">Heat Input is </w:t>
      </w:r>
      <w:r>
        <w:rPr>
          <w:bCs/>
          <w:sz w:val="22"/>
          <w:szCs w:val="22"/>
        </w:rPr>
        <w:t>29</w:t>
      </w:r>
      <w:r w:rsidRPr="00F5528E">
        <w:rPr>
          <w:bCs/>
          <w:sz w:val="22"/>
          <w:szCs w:val="22"/>
        </w:rPr>
        <w:t xml:space="preserve"> MMBtu/h</w:t>
      </w:r>
      <w:r>
        <w:rPr>
          <w:bCs/>
          <w:sz w:val="22"/>
          <w:szCs w:val="22"/>
        </w:rPr>
        <w:t>ou</w:t>
      </w:r>
      <w:r w:rsidRPr="00F5528E">
        <w:rPr>
          <w:bCs/>
          <w:sz w:val="22"/>
          <w:szCs w:val="22"/>
        </w:rPr>
        <w:t>r (</w:t>
      </w:r>
      <w:r>
        <w:rPr>
          <w:bCs/>
          <w:sz w:val="22"/>
          <w:szCs w:val="22"/>
        </w:rPr>
        <w:t>higher heating value</w:t>
      </w:r>
      <w:r w:rsidRPr="00F5528E">
        <w:rPr>
          <w:bCs/>
          <w:sz w:val="22"/>
          <w:szCs w:val="22"/>
        </w:rPr>
        <w:t>)</w:t>
      </w:r>
      <w:r>
        <w:rPr>
          <w:bCs/>
          <w:sz w:val="22"/>
          <w:szCs w:val="22"/>
        </w:rPr>
        <w:t>.</w:t>
      </w:r>
    </w:p>
    <w:p w:rsidR="008379D3" w:rsidRDefault="008379D3" w:rsidP="008379D3">
      <w:pPr>
        <w:pStyle w:val="NormalWeb"/>
        <w:spacing w:before="0" w:beforeAutospacing="0" w:after="120" w:afterAutospacing="0"/>
        <w:rPr>
          <w:sz w:val="22"/>
          <w:szCs w:val="22"/>
        </w:rPr>
      </w:pPr>
      <w:r>
        <w:rPr>
          <w:sz w:val="22"/>
          <w:szCs w:val="22"/>
        </w:rPr>
        <w:t>As with the b</w:t>
      </w:r>
      <w:r w:rsidRPr="008379D3">
        <w:rPr>
          <w:sz w:val="22"/>
          <w:szCs w:val="22"/>
        </w:rPr>
        <w:t xml:space="preserve">lack </w:t>
      </w:r>
      <w:r>
        <w:rPr>
          <w:sz w:val="22"/>
          <w:szCs w:val="22"/>
        </w:rPr>
        <w:t>s</w:t>
      </w:r>
      <w:r w:rsidRPr="008379D3">
        <w:rPr>
          <w:sz w:val="22"/>
          <w:szCs w:val="22"/>
        </w:rPr>
        <w:t xml:space="preserve">tart RICE </w:t>
      </w:r>
      <w:r>
        <w:rPr>
          <w:sz w:val="22"/>
          <w:szCs w:val="22"/>
        </w:rPr>
        <w:t>e</w:t>
      </w:r>
      <w:r w:rsidRPr="008379D3">
        <w:rPr>
          <w:sz w:val="22"/>
          <w:szCs w:val="22"/>
        </w:rPr>
        <w:t xml:space="preserve">mergency </w:t>
      </w:r>
      <w:r>
        <w:rPr>
          <w:sz w:val="22"/>
          <w:szCs w:val="22"/>
        </w:rPr>
        <w:t>g</w:t>
      </w:r>
      <w:r w:rsidRPr="008379D3">
        <w:rPr>
          <w:sz w:val="22"/>
          <w:szCs w:val="22"/>
        </w:rPr>
        <w:t xml:space="preserve">enerators, the requirements of </w:t>
      </w:r>
      <w:r>
        <w:rPr>
          <w:sz w:val="22"/>
          <w:szCs w:val="22"/>
        </w:rPr>
        <w:t>NSPS</w:t>
      </w:r>
      <w:r w:rsidRPr="008379D3">
        <w:rPr>
          <w:sz w:val="22"/>
          <w:szCs w:val="22"/>
        </w:rPr>
        <w:t xml:space="preserve"> Subpart IIII</w:t>
      </w:r>
      <w:r>
        <w:rPr>
          <w:sz w:val="22"/>
          <w:szCs w:val="22"/>
        </w:rPr>
        <w:t xml:space="preserve"> and NESHAP Subpart ZZZZ </w:t>
      </w:r>
      <w:r w:rsidRPr="008379D3">
        <w:rPr>
          <w:sz w:val="22"/>
          <w:szCs w:val="22"/>
        </w:rPr>
        <w:t>apply to the fire pump engine.</w:t>
      </w:r>
      <w:r>
        <w:rPr>
          <w:sz w:val="22"/>
          <w:szCs w:val="22"/>
        </w:rPr>
        <w:t xml:space="preserve">  Also as with the generators, the fire pump engine meets the requirements of NESHAP Subpart ZZZZ by meeting the requirements of NSPS Subpart IIII.  Those specifically applicable to the </w:t>
      </w:r>
      <w:r w:rsidR="002E2896">
        <w:rPr>
          <w:sz w:val="22"/>
          <w:szCs w:val="22"/>
        </w:rPr>
        <w:t xml:space="preserve">fire pump </w:t>
      </w:r>
      <w:r>
        <w:rPr>
          <w:sz w:val="22"/>
          <w:szCs w:val="22"/>
        </w:rPr>
        <w:t xml:space="preserve">engine specified by </w:t>
      </w:r>
      <w:r w:rsidR="002E2896">
        <w:rPr>
          <w:sz w:val="22"/>
          <w:szCs w:val="22"/>
        </w:rPr>
        <w:t>FPL</w:t>
      </w:r>
      <w:r>
        <w:rPr>
          <w:sz w:val="22"/>
          <w:szCs w:val="22"/>
        </w:rPr>
        <w:t xml:space="preserve"> are summarized in</w:t>
      </w:r>
      <w:r w:rsidR="002E2896">
        <w:rPr>
          <w:sz w:val="22"/>
          <w:szCs w:val="22"/>
        </w:rPr>
        <w:t xml:space="preserve"> </w:t>
      </w:r>
      <w:r w:rsidR="002E2896" w:rsidRPr="002E2896">
        <w:rPr>
          <w:b/>
          <w:sz w:val="22"/>
          <w:szCs w:val="22"/>
        </w:rPr>
        <w:fldChar w:fldCharType="begin"/>
      </w:r>
      <w:r w:rsidR="002E2896" w:rsidRPr="002E2896">
        <w:rPr>
          <w:b/>
          <w:sz w:val="22"/>
          <w:szCs w:val="22"/>
        </w:rPr>
        <w:instrText xml:space="preserve"> REF _Ref371512473 \h  \* MERGEFORMAT </w:instrText>
      </w:r>
      <w:r w:rsidR="002E2896" w:rsidRPr="002E2896">
        <w:rPr>
          <w:b/>
          <w:sz w:val="22"/>
          <w:szCs w:val="22"/>
        </w:rPr>
      </w:r>
      <w:r w:rsidR="002E2896" w:rsidRPr="002E2896">
        <w:rPr>
          <w:b/>
          <w:sz w:val="22"/>
          <w:szCs w:val="22"/>
        </w:rPr>
        <w:fldChar w:fldCharType="separate"/>
      </w:r>
      <w:r w:rsidR="007F3589" w:rsidRPr="007F3589">
        <w:rPr>
          <w:b/>
          <w:sz w:val="22"/>
          <w:szCs w:val="22"/>
        </w:rPr>
        <w:t xml:space="preserve">Table </w:t>
      </w:r>
      <w:r w:rsidR="007F3589" w:rsidRPr="007F3589">
        <w:rPr>
          <w:b/>
          <w:noProof/>
          <w:sz w:val="22"/>
          <w:szCs w:val="22"/>
        </w:rPr>
        <w:t>14</w:t>
      </w:r>
      <w:r w:rsidR="002E2896" w:rsidRPr="002E2896">
        <w:rPr>
          <w:b/>
          <w:sz w:val="22"/>
          <w:szCs w:val="22"/>
        </w:rPr>
        <w:fldChar w:fldCharType="end"/>
      </w:r>
      <w:r w:rsidR="002E2896">
        <w:rPr>
          <w:sz w:val="22"/>
          <w:szCs w:val="22"/>
        </w:rPr>
        <w:t>.</w:t>
      </w:r>
    </w:p>
    <w:p w:rsidR="0072033E" w:rsidRDefault="002E2896" w:rsidP="002E2896">
      <w:pPr>
        <w:pStyle w:val="Caption"/>
        <w:spacing w:before="0"/>
        <w:jc w:val="center"/>
        <w:rPr>
          <w:szCs w:val="22"/>
        </w:rPr>
      </w:pPr>
      <w:bookmarkStart w:id="37" w:name="_Ref371512473"/>
      <w:r>
        <w:t xml:space="preserve">Table </w:t>
      </w:r>
      <w:fldSimple w:instr=" SEQ Table \* ARABIC ">
        <w:r w:rsidR="007F3589">
          <w:rPr>
            <w:noProof/>
          </w:rPr>
          <w:t>14</w:t>
        </w:r>
      </w:fldSimple>
      <w:bookmarkEnd w:id="37"/>
      <w:r w:rsidRPr="009C4E4C">
        <w:t xml:space="preserve"> </w:t>
      </w:r>
      <w:r w:rsidRPr="009C4E4C">
        <w:rPr>
          <w:bCs/>
          <w:color w:val="000000"/>
          <w:szCs w:val="22"/>
        </w:rPr>
        <w:t xml:space="preserve">– NSPS Subpart IIII Standards for </w:t>
      </w:r>
      <w:r>
        <w:rPr>
          <w:bCs/>
          <w:color w:val="000000"/>
          <w:szCs w:val="22"/>
        </w:rPr>
        <w:t>fire pump engines.</w:t>
      </w:r>
    </w:p>
    <w:tbl>
      <w:tblPr>
        <w:tblW w:w="9157"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880"/>
        <w:gridCol w:w="1507"/>
        <w:gridCol w:w="1440"/>
        <w:gridCol w:w="1710"/>
        <w:gridCol w:w="1620"/>
      </w:tblGrid>
      <w:tr w:rsidR="002E2896" w:rsidRPr="00F031A1" w:rsidTr="002E7738">
        <w:trPr>
          <w:trHeight w:val="144"/>
        </w:trPr>
        <w:tc>
          <w:tcPr>
            <w:tcW w:w="2880" w:type="dxa"/>
            <w:shd w:val="clear" w:color="auto" w:fill="C6D9F1"/>
            <w:vAlign w:val="center"/>
          </w:tcPr>
          <w:p w:rsidR="002E2896" w:rsidRPr="009C4E4C" w:rsidRDefault="002E2896" w:rsidP="002E2896">
            <w:pPr>
              <w:tabs>
                <w:tab w:val="left" w:pos="360"/>
                <w:tab w:val="left" w:pos="1440"/>
                <w:tab w:val="left" w:pos="1800"/>
                <w:tab w:val="left" w:pos="2160"/>
              </w:tabs>
              <w:spacing w:before="20" w:after="20"/>
              <w:ind w:left="360"/>
              <w:jc w:val="center"/>
              <w:rPr>
                <w:b/>
                <w:u w:val="single"/>
              </w:rPr>
            </w:pPr>
            <w:r w:rsidRPr="009C4E4C">
              <w:br w:type="page"/>
            </w:r>
            <w:r>
              <w:rPr>
                <w:b/>
              </w:rPr>
              <w:t>Fire Pump Engine</w:t>
            </w:r>
            <w:r w:rsidRPr="009C4E4C">
              <w:rPr>
                <w:b/>
              </w:rPr>
              <w:br/>
            </w:r>
            <w:r w:rsidRPr="009C4E4C">
              <w:t>(</w:t>
            </w:r>
            <w:r w:rsidRPr="002E2896">
              <w:t>300≤HP&lt;600</w:t>
            </w:r>
            <w:r w:rsidRPr="009C4E4C">
              <w:t>)</w:t>
            </w:r>
          </w:p>
        </w:tc>
        <w:tc>
          <w:tcPr>
            <w:tcW w:w="1507" w:type="dxa"/>
            <w:shd w:val="clear" w:color="auto" w:fill="C6D9F1"/>
            <w:vAlign w:val="center"/>
          </w:tcPr>
          <w:p w:rsidR="002E2896" w:rsidRPr="009C4E4C" w:rsidRDefault="002E2896" w:rsidP="00263DA6">
            <w:pPr>
              <w:tabs>
                <w:tab w:val="left" w:pos="1440"/>
                <w:tab w:val="left" w:pos="1800"/>
                <w:tab w:val="left" w:pos="2160"/>
              </w:tabs>
              <w:spacing w:before="20" w:after="20"/>
              <w:jc w:val="center"/>
              <w:rPr>
                <w:b/>
                <w:vertAlign w:val="superscript"/>
              </w:rPr>
            </w:pPr>
            <w:r w:rsidRPr="009C4E4C">
              <w:rPr>
                <w:b/>
              </w:rPr>
              <w:t>CO</w:t>
            </w:r>
            <w:r w:rsidRPr="009C4E4C">
              <w:rPr>
                <w:b/>
              </w:rPr>
              <w:br/>
              <w:t>(</w:t>
            </w:r>
            <w:r w:rsidRPr="009C4E4C">
              <w:t>g/kW-hr)</w:t>
            </w:r>
            <w:r>
              <w:t xml:space="preserve"> </w:t>
            </w:r>
            <w:r w:rsidRPr="009C4E4C">
              <w:rPr>
                <w:b/>
                <w:vertAlign w:val="superscript"/>
              </w:rPr>
              <w:t>1</w:t>
            </w:r>
          </w:p>
        </w:tc>
        <w:tc>
          <w:tcPr>
            <w:tcW w:w="1440" w:type="dxa"/>
            <w:shd w:val="clear" w:color="auto" w:fill="C6D9F1"/>
            <w:vAlign w:val="center"/>
          </w:tcPr>
          <w:p w:rsidR="002E2896" w:rsidRPr="009C4E4C" w:rsidRDefault="002E2896" w:rsidP="00263DA6">
            <w:pPr>
              <w:tabs>
                <w:tab w:val="left" w:pos="1440"/>
                <w:tab w:val="left" w:pos="1800"/>
                <w:tab w:val="left" w:pos="2160"/>
              </w:tabs>
              <w:spacing w:before="20" w:after="20"/>
              <w:jc w:val="center"/>
              <w:rPr>
                <w:b/>
              </w:rPr>
            </w:pPr>
            <w:r w:rsidRPr="009C4E4C">
              <w:rPr>
                <w:b/>
              </w:rPr>
              <w:t>PM</w:t>
            </w:r>
            <w:r w:rsidRPr="009C4E4C">
              <w:rPr>
                <w:b/>
              </w:rPr>
              <w:br/>
              <w:t>(</w:t>
            </w:r>
            <w:r w:rsidRPr="009C4E4C">
              <w:t>g/kW-hr)</w:t>
            </w:r>
          </w:p>
        </w:tc>
        <w:tc>
          <w:tcPr>
            <w:tcW w:w="1710" w:type="dxa"/>
            <w:shd w:val="clear" w:color="auto" w:fill="C6D9F1"/>
            <w:vAlign w:val="center"/>
          </w:tcPr>
          <w:p w:rsidR="002E2896" w:rsidRPr="009C4E4C" w:rsidRDefault="002E2896" w:rsidP="00263DA6">
            <w:pPr>
              <w:tabs>
                <w:tab w:val="left" w:pos="1440"/>
                <w:tab w:val="left" w:pos="1800"/>
                <w:tab w:val="left" w:pos="2160"/>
              </w:tabs>
              <w:spacing w:before="20" w:after="20"/>
              <w:jc w:val="center"/>
              <w:rPr>
                <w:b/>
              </w:rPr>
            </w:pPr>
            <w:r w:rsidRPr="009C4E4C">
              <w:rPr>
                <w:b/>
              </w:rPr>
              <w:t>NMHC</w:t>
            </w:r>
            <w:r>
              <w:rPr>
                <w:b/>
              </w:rPr>
              <w:t xml:space="preserve"> </w:t>
            </w:r>
            <w:r w:rsidRPr="009C4E4C">
              <w:rPr>
                <w:b/>
                <w:vertAlign w:val="superscript"/>
              </w:rPr>
              <w:t>2</w:t>
            </w:r>
            <w:r w:rsidRPr="009C4E4C">
              <w:rPr>
                <w:b/>
              </w:rPr>
              <w:t>+NO</w:t>
            </w:r>
            <w:r w:rsidRPr="009C4E4C">
              <w:rPr>
                <w:b/>
                <w:vertAlign w:val="subscript"/>
              </w:rPr>
              <w:t>X</w:t>
            </w:r>
            <w:r w:rsidRPr="009C4E4C">
              <w:rPr>
                <w:b/>
                <w:vertAlign w:val="subscript"/>
              </w:rPr>
              <w:br/>
            </w:r>
            <w:r w:rsidRPr="009C4E4C">
              <w:rPr>
                <w:b/>
              </w:rPr>
              <w:t>(</w:t>
            </w:r>
            <w:r w:rsidRPr="009C4E4C">
              <w:t>g/kW-hr)</w:t>
            </w:r>
          </w:p>
        </w:tc>
        <w:tc>
          <w:tcPr>
            <w:tcW w:w="1620" w:type="dxa"/>
            <w:shd w:val="clear" w:color="auto" w:fill="C6D9F1"/>
            <w:vAlign w:val="center"/>
          </w:tcPr>
          <w:p w:rsidR="002E2896" w:rsidRPr="009C4E4C" w:rsidRDefault="002E2896" w:rsidP="00263DA6">
            <w:pPr>
              <w:spacing w:before="20" w:after="20"/>
              <w:jc w:val="center"/>
              <w:rPr>
                <w:b/>
              </w:rPr>
            </w:pPr>
            <w:r w:rsidRPr="009C4E4C">
              <w:rPr>
                <w:b/>
              </w:rPr>
              <w:t>Diesel Fuel</w:t>
            </w:r>
            <w:r>
              <w:rPr>
                <w:b/>
              </w:rPr>
              <w:t xml:space="preserve"> </w:t>
            </w:r>
            <w:r w:rsidRPr="009C4E4C">
              <w:rPr>
                <w:b/>
                <w:vertAlign w:val="superscript"/>
              </w:rPr>
              <w:t>3</w:t>
            </w:r>
            <w:r w:rsidRPr="009C4E4C">
              <w:rPr>
                <w:b/>
              </w:rPr>
              <w:br/>
            </w:r>
            <w:r w:rsidRPr="009C4E4C">
              <w:t>(sulfur)</w:t>
            </w:r>
          </w:p>
        </w:tc>
      </w:tr>
      <w:tr w:rsidR="002E2896" w:rsidRPr="00F031A1" w:rsidTr="002E7738">
        <w:trPr>
          <w:trHeight w:val="144"/>
        </w:trPr>
        <w:tc>
          <w:tcPr>
            <w:tcW w:w="2880" w:type="dxa"/>
            <w:vAlign w:val="center"/>
          </w:tcPr>
          <w:p w:rsidR="002E2896" w:rsidRPr="009C4E4C" w:rsidRDefault="002E2896" w:rsidP="00B52501">
            <w:pPr>
              <w:tabs>
                <w:tab w:val="left" w:pos="360"/>
                <w:tab w:val="left" w:pos="1440"/>
                <w:tab w:val="left" w:pos="1800"/>
                <w:tab w:val="left" w:pos="2160"/>
              </w:tabs>
              <w:spacing w:before="20" w:after="20"/>
              <w:ind w:left="360"/>
              <w:jc w:val="center"/>
            </w:pPr>
            <w:r>
              <w:t>200</w:t>
            </w:r>
            <w:r w:rsidR="00B52501">
              <w:t>6</w:t>
            </w:r>
            <w:r w:rsidRPr="009C4E4C">
              <w:t xml:space="preserve"> and later</w:t>
            </w:r>
          </w:p>
        </w:tc>
        <w:tc>
          <w:tcPr>
            <w:tcW w:w="1507" w:type="dxa"/>
            <w:vAlign w:val="center"/>
          </w:tcPr>
          <w:p w:rsidR="002E2896" w:rsidRPr="009C4E4C" w:rsidRDefault="002E2896" w:rsidP="00263DA6">
            <w:pPr>
              <w:tabs>
                <w:tab w:val="left" w:pos="1440"/>
                <w:tab w:val="left" w:pos="1800"/>
                <w:tab w:val="left" w:pos="2160"/>
              </w:tabs>
              <w:spacing w:before="20" w:after="20"/>
              <w:jc w:val="center"/>
            </w:pPr>
            <w:r w:rsidRPr="009C4E4C">
              <w:t>3.5</w:t>
            </w:r>
          </w:p>
        </w:tc>
        <w:tc>
          <w:tcPr>
            <w:tcW w:w="1440" w:type="dxa"/>
            <w:vAlign w:val="center"/>
          </w:tcPr>
          <w:p w:rsidR="002E2896" w:rsidRPr="009C4E4C" w:rsidRDefault="002E2896" w:rsidP="00263DA6">
            <w:pPr>
              <w:tabs>
                <w:tab w:val="left" w:pos="1440"/>
                <w:tab w:val="left" w:pos="1800"/>
                <w:tab w:val="left" w:pos="2160"/>
              </w:tabs>
              <w:spacing w:before="20" w:after="20"/>
              <w:jc w:val="center"/>
              <w:rPr>
                <w:lang w:val="de-DE"/>
              </w:rPr>
            </w:pPr>
            <w:r w:rsidRPr="009C4E4C">
              <w:rPr>
                <w:lang w:val="de-DE"/>
              </w:rPr>
              <w:t>0.20</w:t>
            </w:r>
          </w:p>
        </w:tc>
        <w:tc>
          <w:tcPr>
            <w:tcW w:w="1710" w:type="dxa"/>
            <w:vAlign w:val="center"/>
          </w:tcPr>
          <w:p w:rsidR="002E2896" w:rsidRPr="009C4E4C" w:rsidRDefault="002E2896" w:rsidP="00263DA6">
            <w:pPr>
              <w:tabs>
                <w:tab w:val="left" w:pos="1440"/>
                <w:tab w:val="left" w:pos="1800"/>
                <w:tab w:val="left" w:pos="2160"/>
              </w:tabs>
              <w:spacing w:before="20" w:after="20"/>
              <w:jc w:val="center"/>
            </w:pPr>
            <w:r>
              <w:t>4.0</w:t>
            </w:r>
          </w:p>
        </w:tc>
        <w:tc>
          <w:tcPr>
            <w:tcW w:w="1620" w:type="dxa"/>
            <w:shd w:val="clear" w:color="auto" w:fill="auto"/>
            <w:vAlign w:val="center"/>
          </w:tcPr>
          <w:p w:rsidR="002E2896" w:rsidRPr="009C4E4C" w:rsidRDefault="002E2896" w:rsidP="00263DA6">
            <w:pPr>
              <w:spacing w:before="20" w:after="20"/>
              <w:jc w:val="center"/>
            </w:pPr>
            <w:r w:rsidRPr="009C4E4C">
              <w:t>15 ppm</w:t>
            </w:r>
          </w:p>
        </w:tc>
      </w:tr>
      <w:tr w:rsidR="002E2896" w:rsidRPr="00F031A1" w:rsidTr="002E7738">
        <w:trPr>
          <w:trHeight w:val="338"/>
        </w:trPr>
        <w:tc>
          <w:tcPr>
            <w:tcW w:w="9157" w:type="dxa"/>
            <w:gridSpan w:val="5"/>
            <w:vAlign w:val="center"/>
          </w:tcPr>
          <w:p w:rsidR="002E2896" w:rsidRPr="00AB52D5" w:rsidRDefault="002E2896" w:rsidP="00DE6052">
            <w:pPr>
              <w:numPr>
                <w:ilvl w:val="0"/>
                <w:numId w:val="25"/>
              </w:numPr>
              <w:ind w:left="331" w:hanging="331"/>
              <w:rPr>
                <w:sz w:val="18"/>
              </w:rPr>
            </w:pPr>
            <w:r w:rsidRPr="00AB52D5">
              <w:rPr>
                <w:sz w:val="18"/>
              </w:rPr>
              <w:t>g/kW-hr means grams per kilowatt-hour.</w:t>
            </w:r>
          </w:p>
          <w:p w:rsidR="002E2896" w:rsidRPr="00AB52D5" w:rsidRDefault="002E2896" w:rsidP="00DE6052">
            <w:pPr>
              <w:numPr>
                <w:ilvl w:val="0"/>
                <w:numId w:val="25"/>
              </w:numPr>
              <w:ind w:left="331" w:hanging="331"/>
              <w:rPr>
                <w:sz w:val="18"/>
              </w:rPr>
            </w:pPr>
            <w:r w:rsidRPr="00AB52D5">
              <w:rPr>
                <w:sz w:val="18"/>
              </w:rPr>
              <w:t>NMHC means Non-Methane Hydrocarbons.</w:t>
            </w:r>
          </w:p>
          <w:p w:rsidR="002E2896" w:rsidRPr="00F031A1" w:rsidRDefault="002E2896" w:rsidP="00DE6052">
            <w:pPr>
              <w:numPr>
                <w:ilvl w:val="0"/>
                <w:numId w:val="25"/>
              </w:numPr>
              <w:spacing w:before="20" w:after="20"/>
              <w:ind w:left="331" w:hanging="331"/>
            </w:pPr>
            <w:r>
              <w:rPr>
                <w:sz w:val="18"/>
              </w:rPr>
              <w:t xml:space="preserve">Nonroad diesel specification from 40 CFR part 80, subpart </w:t>
            </w:r>
            <w:r w:rsidRPr="0094139F">
              <w:rPr>
                <w:bCs/>
                <w:sz w:val="18"/>
                <w:szCs w:val="18"/>
              </w:rPr>
              <w:t>I</w:t>
            </w:r>
            <w:r w:rsidRPr="0094139F">
              <w:rPr>
                <w:sz w:val="18"/>
                <w:szCs w:val="18"/>
              </w:rPr>
              <w:t xml:space="preserve"> – </w:t>
            </w:r>
            <w:r w:rsidRPr="0094139F">
              <w:rPr>
                <w:bCs/>
                <w:sz w:val="18"/>
              </w:rPr>
              <w:t>Motor Vehicle Diesel Fuel; Nonroad, Locomotive, and Marine Diesel Fuel; and ECA Marine Fuel</w:t>
            </w:r>
            <w:r>
              <w:rPr>
                <w:bCs/>
                <w:sz w:val="18"/>
              </w:rPr>
              <w:t xml:space="preserve">.  </w:t>
            </w:r>
            <w:hyperlink r:id="rId54" w:history="1">
              <w:r>
                <w:rPr>
                  <w:rStyle w:val="Hyperlink"/>
                  <w:sz w:val="18"/>
                </w:rPr>
                <w:t>Link to Non-Road Diesel Spec</w:t>
              </w:r>
            </w:hyperlink>
            <w:r w:rsidRPr="00AB52D5">
              <w:rPr>
                <w:sz w:val="18"/>
              </w:rPr>
              <w:t xml:space="preserve"> </w:t>
            </w:r>
          </w:p>
        </w:tc>
      </w:tr>
    </w:tbl>
    <w:p w:rsidR="002E2896" w:rsidRDefault="002E2896" w:rsidP="002E2896">
      <w:pPr>
        <w:spacing w:before="120" w:after="120"/>
        <w:rPr>
          <w:sz w:val="22"/>
          <w:szCs w:val="22"/>
        </w:rPr>
      </w:pPr>
      <w:r>
        <w:rPr>
          <w:sz w:val="22"/>
          <w:szCs w:val="22"/>
        </w:rPr>
        <w:t xml:space="preserve">The Department determines </w:t>
      </w:r>
      <w:r w:rsidR="008C48A0">
        <w:rPr>
          <w:sz w:val="22"/>
          <w:szCs w:val="22"/>
        </w:rPr>
        <w:t xml:space="preserve">that the </w:t>
      </w:r>
      <w:r>
        <w:rPr>
          <w:sz w:val="22"/>
          <w:szCs w:val="22"/>
        </w:rPr>
        <w:t xml:space="preserve">requirements listed in </w:t>
      </w:r>
      <w:r w:rsidRPr="002E2896">
        <w:rPr>
          <w:b/>
          <w:sz w:val="22"/>
          <w:szCs w:val="22"/>
        </w:rPr>
        <w:fldChar w:fldCharType="begin"/>
      </w:r>
      <w:r w:rsidRPr="002E2896">
        <w:rPr>
          <w:b/>
          <w:sz w:val="22"/>
          <w:szCs w:val="22"/>
        </w:rPr>
        <w:instrText xml:space="preserve"> REF _Ref371512473 \h  \* MERGEFORMAT </w:instrText>
      </w:r>
      <w:r w:rsidRPr="002E2896">
        <w:rPr>
          <w:b/>
          <w:sz w:val="22"/>
          <w:szCs w:val="22"/>
        </w:rPr>
      </w:r>
      <w:r w:rsidRPr="002E2896">
        <w:rPr>
          <w:b/>
          <w:sz w:val="22"/>
          <w:szCs w:val="22"/>
        </w:rPr>
        <w:fldChar w:fldCharType="separate"/>
      </w:r>
      <w:r w:rsidR="007F3589" w:rsidRPr="007F3589">
        <w:rPr>
          <w:b/>
          <w:sz w:val="22"/>
          <w:szCs w:val="22"/>
        </w:rPr>
        <w:t xml:space="preserve">Table </w:t>
      </w:r>
      <w:r w:rsidR="007F3589" w:rsidRPr="007F3589">
        <w:rPr>
          <w:b/>
          <w:noProof/>
          <w:sz w:val="22"/>
          <w:szCs w:val="22"/>
        </w:rPr>
        <w:t>14</w:t>
      </w:r>
      <w:r w:rsidRPr="002E2896">
        <w:rPr>
          <w:b/>
          <w:sz w:val="22"/>
          <w:szCs w:val="22"/>
        </w:rPr>
        <w:fldChar w:fldCharType="end"/>
      </w:r>
      <w:r w:rsidRPr="002E2896">
        <w:rPr>
          <w:b/>
          <w:sz w:val="22"/>
          <w:szCs w:val="22"/>
        </w:rPr>
        <w:t xml:space="preserve"> </w:t>
      </w:r>
      <w:r>
        <w:rPr>
          <w:sz w:val="22"/>
          <w:szCs w:val="22"/>
        </w:rPr>
        <w:t>satisfy the requirements of BACT for CO, NO</w:t>
      </w:r>
      <w:r w:rsidRPr="006B52D1">
        <w:rPr>
          <w:sz w:val="22"/>
          <w:szCs w:val="22"/>
          <w:vertAlign w:val="subscript"/>
        </w:rPr>
        <w:t>X</w:t>
      </w:r>
      <w:r>
        <w:rPr>
          <w:sz w:val="22"/>
          <w:szCs w:val="22"/>
        </w:rPr>
        <w:t xml:space="preserve"> and PM</w:t>
      </w:r>
      <w:r w:rsidR="008C48A0">
        <w:rPr>
          <w:sz w:val="22"/>
          <w:szCs w:val="22"/>
        </w:rPr>
        <w:t xml:space="preserve"> for the fire pump engine</w:t>
      </w:r>
      <w:r>
        <w:rPr>
          <w:sz w:val="22"/>
          <w:szCs w:val="22"/>
        </w:rPr>
        <w:t xml:space="preserve">.  </w:t>
      </w:r>
      <w:r w:rsidRPr="00F5528E">
        <w:rPr>
          <w:sz w:val="22"/>
          <w:szCs w:val="22"/>
        </w:rPr>
        <w:t>Use o</w:t>
      </w:r>
      <w:r w:rsidR="008C48A0">
        <w:rPr>
          <w:sz w:val="22"/>
          <w:szCs w:val="22"/>
        </w:rPr>
        <w:t>f ULSD fuel oil</w:t>
      </w:r>
      <w:r>
        <w:rPr>
          <w:sz w:val="22"/>
          <w:szCs w:val="22"/>
        </w:rPr>
        <w:t xml:space="preserve"> </w:t>
      </w:r>
      <w:r w:rsidRPr="00F5528E">
        <w:rPr>
          <w:sz w:val="22"/>
          <w:szCs w:val="22"/>
        </w:rPr>
        <w:t xml:space="preserve">will result in substantially less PM than indicated above and will also </w:t>
      </w:r>
      <w:r>
        <w:rPr>
          <w:sz w:val="22"/>
          <w:szCs w:val="22"/>
        </w:rPr>
        <w:t xml:space="preserve">further </w:t>
      </w:r>
      <w:r w:rsidRPr="00F5528E">
        <w:rPr>
          <w:sz w:val="22"/>
          <w:szCs w:val="22"/>
        </w:rPr>
        <w:t>minimize PM</w:t>
      </w:r>
      <w:r w:rsidRPr="00F5528E">
        <w:rPr>
          <w:sz w:val="22"/>
          <w:szCs w:val="22"/>
          <w:vertAlign w:val="subscript"/>
        </w:rPr>
        <w:t>10</w:t>
      </w:r>
      <w:r w:rsidRPr="00F5528E">
        <w:rPr>
          <w:sz w:val="22"/>
          <w:szCs w:val="22"/>
        </w:rPr>
        <w:t xml:space="preserve">, and PM </w:t>
      </w:r>
      <w:r w:rsidRPr="00F5528E">
        <w:rPr>
          <w:sz w:val="22"/>
          <w:szCs w:val="22"/>
          <w:vertAlign w:val="subscript"/>
        </w:rPr>
        <w:t>2.5</w:t>
      </w:r>
      <w:r w:rsidRPr="00F5528E">
        <w:rPr>
          <w:sz w:val="22"/>
          <w:szCs w:val="22"/>
        </w:rPr>
        <w:t xml:space="preserve"> emissions and precursors.</w:t>
      </w:r>
      <w:r>
        <w:rPr>
          <w:sz w:val="22"/>
          <w:szCs w:val="22"/>
        </w:rPr>
        <w:t xml:space="preserve">  </w:t>
      </w:r>
    </w:p>
    <w:p w:rsidR="002E2896" w:rsidRDefault="002E2896" w:rsidP="002E2896">
      <w:pPr>
        <w:spacing w:after="120"/>
        <w:rPr>
          <w:sz w:val="22"/>
          <w:szCs w:val="22"/>
        </w:rPr>
      </w:pPr>
      <w:r>
        <w:rPr>
          <w:color w:val="000000"/>
          <w:sz w:val="22"/>
          <w:szCs w:val="22"/>
        </w:rPr>
        <w:t>Compliance shall be shown by an initial and annual stack tests or in lieu of stack test</w:t>
      </w:r>
      <w:r w:rsidR="001B0AB0">
        <w:rPr>
          <w:color w:val="000000"/>
          <w:sz w:val="22"/>
          <w:szCs w:val="22"/>
        </w:rPr>
        <w:t>s,</w:t>
      </w:r>
      <w:r>
        <w:rPr>
          <w:color w:val="000000"/>
          <w:sz w:val="22"/>
          <w:szCs w:val="22"/>
        </w:rPr>
        <w:t xml:space="preserve"> manufacturer engine certification.  In the case of SO</w:t>
      </w:r>
      <w:r w:rsidRPr="002E7EAE">
        <w:rPr>
          <w:color w:val="000000"/>
          <w:sz w:val="22"/>
          <w:szCs w:val="22"/>
          <w:vertAlign w:val="subscript"/>
        </w:rPr>
        <w:t>2</w:t>
      </w:r>
      <w:r>
        <w:rPr>
          <w:color w:val="000000"/>
          <w:sz w:val="22"/>
          <w:szCs w:val="22"/>
        </w:rPr>
        <w:t xml:space="preserve"> emissions, compliance shall be shown by either fuel sulfur monitoring or vendor certification.</w:t>
      </w:r>
    </w:p>
    <w:p w:rsidR="0072033E" w:rsidRDefault="008E6F04" w:rsidP="0072033E">
      <w:pPr>
        <w:widowControl w:val="0"/>
        <w:numPr>
          <w:ilvl w:val="1"/>
          <w:numId w:val="2"/>
        </w:numPr>
        <w:tabs>
          <w:tab w:val="left" w:pos="720"/>
        </w:tabs>
        <w:spacing w:after="120"/>
        <w:ind w:left="720" w:hanging="720"/>
        <w:rPr>
          <w:b/>
          <w:sz w:val="22"/>
          <w:szCs w:val="22"/>
        </w:rPr>
      </w:pPr>
      <w:r>
        <w:rPr>
          <w:b/>
          <w:sz w:val="22"/>
          <w:szCs w:val="22"/>
        </w:rPr>
        <w:lastRenderedPageBreak/>
        <w:t>BACT Determination</w:t>
      </w:r>
      <w:r w:rsidR="0072033E">
        <w:rPr>
          <w:b/>
          <w:sz w:val="22"/>
          <w:szCs w:val="22"/>
        </w:rPr>
        <w:t xml:space="preserve"> for the </w:t>
      </w:r>
      <w:r>
        <w:rPr>
          <w:b/>
          <w:sz w:val="22"/>
          <w:szCs w:val="22"/>
        </w:rPr>
        <w:t>ULSD</w:t>
      </w:r>
      <w:r w:rsidR="0072033E" w:rsidRPr="00291612">
        <w:rPr>
          <w:b/>
          <w:sz w:val="22"/>
          <w:szCs w:val="22"/>
        </w:rPr>
        <w:t xml:space="preserve"> Fuel Oil Storage Tank</w:t>
      </w:r>
      <w:r w:rsidR="0072033E">
        <w:rPr>
          <w:b/>
          <w:sz w:val="22"/>
          <w:szCs w:val="22"/>
        </w:rPr>
        <w:t>s</w:t>
      </w:r>
      <w:r w:rsidR="0072033E" w:rsidRPr="00291612">
        <w:rPr>
          <w:b/>
          <w:sz w:val="22"/>
          <w:szCs w:val="22"/>
        </w:rPr>
        <w:t xml:space="preserve"> </w:t>
      </w:r>
    </w:p>
    <w:p w:rsidR="0072033E" w:rsidRDefault="002E2896" w:rsidP="0072033E">
      <w:pPr>
        <w:widowControl w:val="0"/>
        <w:spacing w:after="120"/>
        <w:rPr>
          <w:sz w:val="22"/>
          <w:szCs w:val="22"/>
        </w:rPr>
      </w:pPr>
      <w:r>
        <w:rPr>
          <w:sz w:val="22"/>
          <w:szCs w:val="22"/>
        </w:rPr>
        <w:t>FPL</w:t>
      </w:r>
      <w:r w:rsidR="0072033E" w:rsidRPr="0072033E">
        <w:rPr>
          <w:sz w:val="22"/>
          <w:szCs w:val="22"/>
        </w:rPr>
        <w:t xml:space="preserve"> believes that t</w:t>
      </w:r>
      <w:r>
        <w:rPr>
          <w:sz w:val="22"/>
          <w:szCs w:val="22"/>
        </w:rPr>
        <w:t>he storage tanks are</w:t>
      </w:r>
      <w:r w:rsidR="00263006">
        <w:rPr>
          <w:sz w:val="22"/>
          <w:szCs w:val="22"/>
        </w:rPr>
        <w:t xml:space="preserve"> not</w:t>
      </w:r>
      <w:r w:rsidR="00595ACF">
        <w:rPr>
          <w:sz w:val="22"/>
          <w:szCs w:val="22"/>
        </w:rPr>
        <w:t xml:space="preserve"> subject to 40 CFR</w:t>
      </w:r>
      <w:r w:rsidR="0072033E" w:rsidRPr="0072033E">
        <w:rPr>
          <w:sz w:val="22"/>
          <w:szCs w:val="22"/>
        </w:rPr>
        <w:t xml:space="preserve"> 60, </w:t>
      </w:r>
      <w:r w:rsidR="00595ACF">
        <w:rPr>
          <w:sz w:val="22"/>
          <w:szCs w:val="22"/>
        </w:rPr>
        <w:t>S</w:t>
      </w:r>
      <w:r w:rsidR="0072033E" w:rsidRPr="0072033E">
        <w:rPr>
          <w:sz w:val="22"/>
          <w:szCs w:val="22"/>
        </w:rPr>
        <w:t>ubpart Kb</w:t>
      </w:r>
      <w:r>
        <w:rPr>
          <w:sz w:val="22"/>
          <w:szCs w:val="22"/>
        </w:rPr>
        <w:t xml:space="preserve"> - NSPS</w:t>
      </w:r>
      <w:r w:rsidR="0072033E" w:rsidRPr="0072033E">
        <w:rPr>
          <w:sz w:val="22"/>
          <w:szCs w:val="22"/>
        </w:rPr>
        <w:t xml:space="preserve"> for Volatile Organic Liquid Storage Vessels (Including Petroleum Liquid Storage Vessels) for Which Construction, Reconstruction, or Modification Commenced After July 23, 1984</w:t>
      </w:r>
      <w:r w:rsidR="00263006">
        <w:rPr>
          <w:sz w:val="22"/>
          <w:szCs w:val="22"/>
        </w:rPr>
        <w:t xml:space="preserve"> because the</w:t>
      </w:r>
      <w:r w:rsidR="00263006" w:rsidRPr="0072033E">
        <w:rPr>
          <w:sz w:val="22"/>
          <w:szCs w:val="22"/>
        </w:rPr>
        <w:t xml:space="preserve"> tanks </w:t>
      </w:r>
      <w:r w:rsidR="00595ACF">
        <w:rPr>
          <w:sz w:val="22"/>
          <w:szCs w:val="22"/>
        </w:rPr>
        <w:t>store</w:t>
      </w:r>
      <w:r w:rsidR="00263006" w:rsidRPr="0072033E">
        <w:rPr>
          <w:sz w:val="22"/>
          <w:szCs w:val="22"/>
        </w:rPr>
        <w:t xml:space="preserve"> a liquid with a maximum true vapor pressure less than 3.5</w:t>
      </w:r>
      <w:r>
        <w:rPr>
          <w:sz w:val="22"/>
          <w:szCs w:val="22"/>
        </w:rPr>
        <w:t xml:space="preserve"> </w:t>
      </w:r>
      <w:r w:rsidR="00595ACF">
        <w:rPr>
          <w:sz w:val="22"/>
          <w:szCs w:val="22"/>
        </w:rPr>
        <w:t>kilopascals (</w:t>
      </w:r>
      <w:r w:rsidR="00263006" w:rsidRPr="0072033E">
        <w:rPr>
          <w:sz w:val="22"/>
          <w:szCs w:val="22"/>
        </w:rPr>
        <w:t>kPa</w:t>
      </w:r>
      <w:r w:rsidR="00595ACF">
        <w:rPr>
          <w:sz w:val="22"/>
          <w:szCs w:val="22"/>
        </w:rPr>
        <w:t>)</w:t>
      </w:r>
      <w:r w:rsidR="00263006">
        <w:rPr>
          <w:sz w:val="22"/>
          <w:szCs w:val="22"/>
        </w:rPr>
        <w:t xml:space="preserve">.  </w:t>
      </w:r>
      <w:r w:rsidR="0072033E" w:rsidRPr="0072033E">
        <w:rPr>
          <w:sz w:val="22"/>
          <w:szCs w:val="22"/>
        </w:rPr>
        <w:t xml:space="preserve">The Department agrees that </w:t>
      </w:r>
      <w:r w:rsidR="00263006">
        <w:rPr>
          <w:sz w:val="22"/>
          <w:szCs w:val="22"/>
        </w:rPr>
        <w:t>these</w:t>
      </w:r>
      <w:r w:rsidR="0072033E" w:rsidRPr="0072033E">
        <w:rPr>
          <w:sz w:val="22"/>
          <w:szCs w:val="22"/>
        </w:rPr>
        <w:t xml:space="preserve"> </w:t>
      </w:r>
      <w:r>
        <w:rPr>
          <w:sz w:val="22"/>
          <w:szCs w:val="22"/>
        </w:rPr>
        <w:t>storage tanks</w:t>
      </w:r>
      <w:r w:rsidR="0072033E" w:rsidRPr="0072033E">
        <w:rPr>
          <w:sz w:val="22"/>
          <w:szCs w:val="22"/>
        </w:rPr>
        <w:t xml:space="preserve"> </w:t>
      </w:r>
      <w:r>
        <w:rPr>
          <w:sz w:val="22"/>
          <w:szCs w:val="22"/>
        </w:rPr>
        <w:t>are</w:t>
      </w:r>
      <w:r w:rsidR="0072033E" w:rsidRPr="0072033E">
        <w:rPr>
          <w:sz w:val="22"/>
          <w:szCs w:val="22"/>
        </w:rPr>
        <w:t xml:space="preserve"> not subject to NSPS Subpart Kb</w:t>
      </w:r>
      <w:r w:rsidR="00C41F83">
        <w:rPr>
          <w:sz w:val="22"/>
          <w:szCs w:val="22"/>
        </w:rPr>
        <w:t>:</w:t>
      </w:r>
      <w:r w:rsidR="0072033E" w:rsidRPr="0072033E">
        <w:rPr>
          <w:sz w:val="22"/>
          <w:szCs w:val="22"/>
        </w:rPr>
        <w:t xml:space="preserve">  </w:t>
      </w:r>
      <w:hyperlink r:id="rId55" w:history="1">
        <w:r w:rsidR="0072033E">
          <w:rPr>
            <w:rStyle w:val="Hyperlink"/>
            <w:sz w:val="22"/>
          </w:rPr>
          <w:t>Link to NSPS Subpart Kb</w:t>
        </w:r>
      </w:hyperlink>
      <w:r w:rsidR="0072033E" w:rsidRPr="0072033E">
        <w:rPr>
          <w:sz w:val="22"/>
          <w:szCs w:val="22"/>
        </w:rPr>
        <w:t>.</w:t>
      </w:r>
      <w:r w:rsidR="00C41F83">
        <w:rPr>
          <w:sz w:val="22"/>
          <w:szCs w:val="22"/>
        </w:rPr>
        <w:t xml:space="preserve">  </w:t>
      </w:r>
      <w:r w:rsidR="008E6F04">
        <w:rPr>
          <w:sz w:val="22"/>
          <w:szCs w:val="22"/>
        </w:rPr>
        <w:t>T</w:t>
      </w:r>
      <w:r w:rsidR="00C41F83">
        <w:rPr>
          <w:sz w:val="22"/>
          <w:szCs w:val="22"/>
        </w:rPr>
        <w:t>he Department sets BACT for these storage tanks to minimize VOC emissions as the</w:t>
      </w:r>
      <w:r w:rsidR="00C41F83" w:rsidRPr="00451C11">
        <w:rPr>
          <w:sz w:val="22"/>
          <w:szCs w:val="22"/>
        </w:rPr>
        <w:t xml:space="preserve"> </w:t>
      </w:r>
      <w:r w:rsidR="00C41F83">
        <w:rPr>
          <w:sz w:val="22"/>
          <w:szCs w:val="22"/>
        </w:rPr>
        <w:t>use</w:t>
      </w:r>
      <w:r w:rsidR="00C41F83" w:rsidRPr="00451C11">
        <w:rPr>
          <w:sz w:val="22"/>
          <w:szCs w:val="22"/>
        </w:rPr>
        <w:t xml:space="preserve"> </w:t>
      </w:r>
      <w:r w:rsidR="000732B6">
        <w:rPr>
          <w:sz w:val="22"/>
          <w:szCs w:val="22"/>
        </w:rPr>
        <w:t xml:space="preserve">of </w:t>
      </w:r>
      <w:r w:rsidR="00C41F83" w:rsidRPr="00451C11">
        <w:rPr>
          <w:sz w:val="22"/>
          <w:szCs w:val="22"/>
        </w:rPr>
        <w:t>pressure relief valves/vapor condenser</w:t>
      </w:r>
      <w:r w:rsidR="00C41F83">
        <w:rPr>
          <w:sz w:val="22"/>
          <w:szCs w:val="22"/>
        </w:rPr>
        <w:t>s</w:t>
      </w:r>
      <w:r w:rsidR="00C41F83" w:rsidRPr="00451C11">
        <w:rPr>
          <w:sz w:val="22"/>
          <w:szCs w:val="22"/>
        </w:rPr>
        <w:t>.</w:t>
      </w:r>
      <w:r w:rsidR="00C41F83">
        <w:rPr>
          <w:sz w:val="22"/>
          <w:szCs w:val="22"/>
        </w:rPr>
        <w:t xml:space="preserve">  In lieu of</w:t>
      </w:r>
      <w:r w:rsidR="00C41F83" w:rsidRPr="00451C11">
        <w:rPr>
          <w:sz w:val="22"/>
          <w:szCs w:val="22"/>
        </w:rPr>
        <w:t xml:space="preserve"> pressure relief valves/vapor condenser</w:t>
      </w:r>
      <w:r w:rsidR="00C41F83">
        <w:rPr>
          <w:sz w:val="22"/>
          <w:szCs w:val="22"/>
        </w:rPr>
        <w:t>s, FPL as an alternative, can use</w:t>
      </w:r>
      <w:r w:rsidR="00C41F83" w:rsidRPr="00C41F83">
        <w:rPr>
          <w:sz w:val="22"/>
          <w:szCs w:val="22"/>
        </w:rPr>
        <w:t xml:space="preserve"> </w:t>
      </w:r>
      <w:r w:rsidR="00C41F83">
        <w:rPr>
          <w:sz w:val="22"/>
          <w:szCs w:val="22"/>
        </w:rPr>
        <w:t xml:space="preserve">tanks with </w:t>
      </w:r>
      <w:r w:rsidR="00C41F83" w:rsidRPr="00C41F83">
        <w:rPr>
          <w:sz w:val="22"/>
          <w:szCs w:val="22"/>
        </w:rPr>
        <w:t>internal floating roofs or the equivalent to minimize VOC emissions</w:t>
      </w:r>
      <w:r w:rsidR="00C41F83" w:rsidRPr="00451C11">
        <w:rPr>
          <w:sz w:val="22"/>
          <w:szCs w:val="22"/>
        </w:rPr>
        <w:t>.</w:t>
      </w:r>
    </w:p>
    <w:p w:rsidR="000C7C70" w:rsidRPr="000C7C70" w:rsidRDefault="000C7C70" w:rsidP="000C7C70">
      <w:pPr>
        <w:widowControl w:val="0"/>
        <w:numPr>
          <w:ilvl w:val="1"/>
          <w:numId w:val="2"/>
        </w:numPr>
        <w:tabs>
          <w:tab w:val="left" w:pos="720"/>
        </w:tabs>
        <w:spacing w:after="120"/>
        <w:ind w:left="720" w:hanging="720"/>
        <w:rPr>
          <w:b/>
          <w:sz w:val="22"/>
          <w:szCs w:val="22"/>
        </w:rPr>
      </w:pPr>
      <w:r w:rsidRPr="000C7C70">
        <w:rPr>
          <w:b/>
          <w:sz w:val="22"/>
          <w:szCs w:val="22"/>
        </w:rPr>
        <w:t>NESHAP Subpart YYYY HAP Requirements</w:t>
      </w:r>
    </w:p>
    <w:p w:rsidR="000C7C70" w:rsidRDefault="000C7C70" w:rsidP="000C7C70">
      <w:pPr>
        <w:autoSpaceDE w:val="0"/>
        <w:autoSpaceDN w:val="0"/>
        <w:adjustRightInd w:val="0"/>
        <w:spacing w:after="120"/>
        <w:rPr>
          <w:color w:val="000000"/>
          <w:sz w:val="22"/>
          <w:szCs w:val="22"/>
        </w:rPr>
      </w:pPr>
      <w:r>
        <w:rPr>
          <w:color w:val="000000"/>
          <w:sz w:val="22"/>
          <w:szCs w:val="22"/>
        </w:rPr>
        <w:t xml:space="preserve">The </w:t>
      </w:r>
      <w:r w:rsidRPr="006640E1">
        <w:rPr>
          <w:color w:val="000000"/>
          <w:sz w:val="22"/>
          <w:szCs w:val="22"/>
        </w:rPr>
        <w:t xml:space="preserve">emission limit </w:t>
      </w:r>
      <w:r>
        <w:rPr>
          <w:color w:val="000000"/>
          <w:sz w:val="22"/>
          <w:szCs w:val="22"/>
        </w:rPr>
        <w:t>for</w:t>
      </w:r>
      <w:r w:rsidRPr="006640E1">
        <w:rPr>
          <w:color w:val="000000"/>
          <w:sz w:val="22"/>
          <w:szCs w:val="22"/>
        </w:rPr>
        <w:t xml:space="preserve"> formaldehyde</w:t>
      </w:r>
      <w:r>
        <w:rPr>
          <w:color w:val="000000"/>
          <w:sz w:val="22"/>
          <w:szCs w:val="22"/>
        </w:rPr>
        <w:t xml:space="preserve"> (CH</w:t>
      </w:r>
      <w:r>
        <w:rPr>
          <w:color w:val="000000"/>
          <w:sz w:val="22"/>
          <w:szCs w:val="22"/>
          <w:vertAlign w:val="subscript"/>
        </w:rPr>
        <w:t>2</w:t>
      </w:r>
      <w:r w:rsidR="000732B6">
        <w:rPr>
          <w:color w:val="000000"/>
          <w:sz w:val="22"/>
          <w:szCs w:val="22"/>
        </w:rPr>
        <w:t>O)</w:t>
      </w:r>
      <w:r w:rsidRPr="006640E1">
        <w:rPr>
          <w:color w:val="000000"/>
          <w:sz w:val="22"/>
          <w:szCs w:val="22"/>
        </w:rPr>
        <w:t xml:space="preserve"> of 91 parts</w:t>
      </w:r>
      <w:r>
        <w:rPr>
          <w:color w:val="000000"/>
          <w:sz w:val="22"/>
          <w:szCs w:val="22"/>
        </w:rPr>
        <w:t xml:space="preserve"> </w:t>
      </w:r>
      <w:r w:rsidRPr="006640E1">
        <w:rPr>
          <w:color w:val="000000"/>
          <w:sz w:val="22"/>
          <w:szCs w:val="22"/>
        </w:rPr>
        <w:t>per billion by volume dry (ppbvd) correct</w:t>
      </w:r>
      <w:r>
        <w:rPr>
          <w:color w:val="000000"/>
          <w:sz w:val="22"/>
          <w:szCs w:val="22"/>
        </w:rPr>
        <w:t>ed to 15% O</w:t>
      </w:r>
      <w:r w:rsidRPr="006640E1">
        <w:rPr>
          <w:color w:val="000000"/>
          <w:sz w:val="22"/>
          <w:szCs w:val="22"/>
          <w:vertAlign w:val="subscript"/>
        </w:rPr>
        <w:t>2</w:t>
      </w:r>
      <w:r>
        <w:rPr>
          <w:color w:val="000000"/>
          <w:sz w:val="22"/>
          <w:szCs w:val="22"/>
        </w:rPr>
        <w:t xml:space="preserve"> in </w:t>
      </w:r>
      <w:r w:rsidRPr="006640E1">
        <w:rPr>
          <w:color w:val="000000"/>
          <w:sz w:val="22"/>
          <w:szCs w:val="22"/>
        </w:rPr>
        <w:t xml:space="preserve">NESHAP Subpart YYYY </w:t>
      </w:r>
      <w:r w:rsidRPr="000C7C70">
        <w:rPr>
          <w:color w:val="000000"/>
          <w:sz w:val="22"/>
          <w:szCs w:val="22"/>
        </w:rPr>
        <w:t xml:space="preserve">for oil-fired Stationary Combustion Turbines shall apply </w:t>
      </w:r>
      <w:r w:rsidRPr="006640E1">
        <w:rPr>
          <w:color w:val="000000"/>
          <w:sz w:val="22"/>
          <w:szCs w:val="22"/>
        </w:rPr>
        <w:t>to the CT</w:t>
      </w:r>
      <w:r>
        <w:rPr>
          <w:color w:val="000000"/>
          <w:sz w:val="22"/>
          <w:szCs w:val="22"/>
        </w:rPr>
        <w:t>s</w:t>
      </w:r>
      <w:r w:rsidRPr="006640E1">
        <w:rPr>
          <w:color w:val="000000"/>
          <w:sz w:val="22"/>
          <w:szCs w:val="22"/>
        </w:rPr>
        <w:t xml:space="preserve"> being considered for the </w:t>
      </w:r>
      <w:r>
        <w:rPr>
          <w:color w:val="000000"/>
          <w:sz w:val="22"/>
          <w:szCs w:val="22"/>
        </w:rPr>
        <w:t>Lauderdale Project</w:t>
      </w:r>
      <w:r w:rsidRPr="000C7C70">
        <w:rPr>
          <w:color w:val="000000"/>
          <w:sz w:val="22"/>
          <w:szCs w:val="22"/>
        </w:rPr>
        <w:t xml:space="preserve"> if the facility cumulatively exceeds 1,000 </w:t>
      </w:r>
      <w:r>
        <w:rPr>
          <w:color w:val="000000"/>
          <w:sz w:val="22"/>
          <w:szCs w:val="22"/>
        </w:rPr>
        <w:t>oil-</w:t>
      </w:r>
      <w:r w:rsidRPr="000C7C70">
        <w:rPr>
          <w:color w:val="000000"/>
          <w:sz w:val="22"/>
          <w:szCs w:val="22"/>
        </w:rPr>
        <w:t xml:space="preserve">fired </w:t>
      </w:r>
      <w:r>
        <w:rPr>
          <w:color w:val="000000"/>
          <w:sz w:val="22"/>
          <w:szCs w:val="22"/>
        </w:rPr>
        <w:t xml:space="preserve">CT </w:t>
      </w:r>
      <w:r w:rsidRPr="000C7C70">
        <w:rPr>
          <w:color w:val="000000"/>
          <w:sz w:val="22"/>
          <w:szCs w:val="22"/>
        </w:rPr>
        <w:t>hours in any one year</w:t>
      </w:r>
      <w:r>
        <w:rPr>
          <w:color w:val="000000"/>
          <w:sz w:val="22"/>
          <w:szCs w:val="22"/>
        </w:rPr>
        <w:t>.</w:t>
      </w:r>
    </w:p>
    <w:p w:rsidR="006E6D60" w:rsidRPr="006E6D60" w:rsidRDefault="006E6D60" w:rsidP="006E6D60">
      <w:pPr>
        <w:widowControl w:val="0"/>
        <w:numPr>
          <w:ilvl w:val="0"/>
          <w:numId w:val="2"/>
        </w:numPr>
        <w:tabs>
          <w:tab w:val="left" w:pos="720"/>
        </w:tabs>
        <w:spacing w:after="120"/>
        <w:rPr>
          <w:rFonts w:ascii="Times New Roman Bold" w:hAnsi="Times New Roman Bold"/>
          <w:b/>
          <w:caps/>
          <w:sz w:val="22"/>
          <w:szCs w:val="22"/>
        </w:rPr>
      </w:pPr>
      <w:r w:rsidRPr="006E6D60">
        <w:rPr>
          <w:rFonts w:ascii="Times New Roman Bold" w:hAnsi="Times New Roman Bold"/>
          <w:b/>
          <w:caps/>
          <w:sz w:val="22"/>
          <w:szCs w:val="22"/>
        </w:rPr>
        <w:t>Air Quality Impact Analysis</w:t>
      </w:r>
    </w:p>
    <w:p w:rsidR="006E6D60" w:rsidRPr="00A105FB" w:rsidRDefault="006E6D60" w:rsidP="006E6D60">
      <w:pPr>
        <w:spacing w:after="120"/>
        <w:rPr>
          <w:sz w:val="22"/>
          <w:szCs w:val="22"/>
        </w:rPr>
      </w:pPr>
      <w:r w:rsidRPr="00A105FB">
        <w:rPr>
          <w:sz w:val="22"/>
          <w:szCs w:val="22"/>
        </w:rPr>
        <w:t xml:space="preserve">The </w:t>
      </w:r>
      <w:r>
        <w:rPr>
          <w:sz w:val="22"/>
          <w:szCs w:val="22"/>
        </w:rPr>
        <w:t xml:space="preserve">Lauderdale peaker unit replacement project </w:t>
      </w:r>
      <w:r w:rsidR="00E331A6">
        <w:rPr>
          <w:sz w:val="22"/>
          <w:szCs w:val="22"/>
        </w:rPr>
        <w:t>has</w:t>
      </w:r>
      <w:r>
        <w:rPr>
          <w:sz w:val="22"/>
          <w:szCs w:val="22"/>
        </w:rPr>
        <w:t xml:space="preserve"> the PTE the</w:t>
      </w:r>
      <w:r w:rsidRPr="00A105FB">
        <w:rPr>
          <w:sz w:val="22"/>
          <w:szCs w:val="22"/>
        </w:rPr>
        <w:t xml:space="preserve"> following PSD-pollutants at levels in excess of their</w:t>
      </w:r>
      <w:r>
        <w:rPr>
          <w:sz w:val="22"/>
          <w:szCs w:val="22"/>
        </w:rPr>
        <w:t xml:space="preserve"> respective PSD </w:t>
      </w:r>
      <w:r w:rsidRPr="00A105FB">
        <w:rPr>
          <w:sz w:val="22"/>
          <w:szCs w:val="22"/>
        </w:rPr>
        <w:t>SER: PM/PM</w:t>
      </w:r>
      <w:r w:rsidRPr="00A105FB">
        <w:rPr>
          <w:sz w:val="22"/>
          <w:szCs w:val="22"/>
          <w:vertAlign w:val="subscript"/>
        </w:rPr>
        <w:t>10</w:t>
      </w:r>
      <w:r w:rsidRPr="00A105FB">
        <w:rPr>
          <w:sz w:val="22"/>
          <w:szCs w:val="22"/>
        </w:rPr>
        <w:t xml:space="preserve"> /PM</w:t>
      </w:r>
      <w:r w:rsidRPr="00A105FB">
        <w:rPr>
          <w:sz w:val="22"/>
          <w:szCs w:val="22"/>
          <w:vertAlign w:val="subscript"/>
        </w:rPr>
        <w:t>2.5</w:t>
      </w:r>
      <w:r>
        <w:rPr>
          <w:sz w:val="22"/>
          <w:szCs w:val="22"/>
        </w:rPr>
        <w:t>, CO</w:t>
      </w:r>
      <w:r w:rsidR="00E331A6">
        <w:rPr>
          <w:sz w:val="22"/>
          <w:szCs w:val="22"/>
        </w:rPr>
        <w:t>, VOC</w:t>
      </w:r>
      <w:r w:rsidRPr="00A105FB">
        <w:rPr>
          <w:sz w:val="22"/>
          <w:szCs w:val="22"/>
        </w:rPr>
        <w:t xml:space="preserve"> and NO</w:t>
      </w:r>
      <w:r w:rsidRPr="00A105FB">
        <w:rPr>
          <w:sz w:val="22"/>
          <w:szCs w:val="22"/>
          <w:vertAlign w:val="subscript"/>
        </w:rPr>
        <w:t>X</w:t>
      </w:r>
      <w:r w:rsidRPr="00A105FB">
        <w:rPr>
          <w:sz w:val="22"/>
          <w:szCs w:val="22"/>
        </w:rPr>
        <w:t xml:space="preserve">. </w:t>
      </w:r>
      <w:r w:rsidR="004401C6">
        <w:rPr>
          <w:sz w:val="22"/>
          <w:szCs w:val="22"/>
        </w:rPr>
        <w:t xml:space="preserve"> </w:t>
      </w:r>
      <w:r w:rsidR="00E331A6">
        <w:rPr>
          <w:sz w:val="22"/>
          <w:szCs w:val="22"/>
        </w:rPr>
        <w:t>FPL</w:t>
      </w:r>
      <w:r w:rsidRPr="00A105FB">
        <w:rPr>
          <w:sz w:val="22"/>
          <w:szCs w:val="22"/>
        </w:rPr>
        <w:t xml:space="preserve"> must provide a demonstration utilizing approved air quality </w:t>
      </w:r>
      <w:r w:rsidR="00E331A6" w:rsidRPr="00A105FB">
        <w:rPr>
          <w:sz w:val="22"/>
          <w:szCs w:val="22"/>
        </w:rPr>
        <w:t>models that</w:t>
      </w:r>
      <w:r w:rsidRPr="00A105FB">
        <w:rPr>
          <w:sz w:val="22"/>
          <w:szCs w:val="22"/>
        </w:rPr>
        <w:t xml:space="preserve"> the predicted emission levels of these pollutants will not cause or contribute to a violation of the AAQS or PSD increment for each where they apply. PM</w:t>
      </w:r>
      <w:r w:rsidRPr="00A105FB">
        <w:rPr>
          <w:sz w:val="22"/>
          <w:szCs w:val="22"/>
          <w:vertAlign w:val="subscript"/>
        </w:rPr>
        <w:t>10</w:t>
      </w:r>
      <w:r w:rsidRPr="00A105FB">
        <w:rPr>
          <w:sz w:val="22"/>
          <w:szCs w:val="22"/>
        </w:rPr>
        <w:t>, PM</w:t>
      </w:r>
      <w:r w:rsidRPr="00A105FB">
        <w:rPr>
          <w:sz w:val="22"/>
          <w:szCs w:val="22"/>
          <w:vertAlign w:val="subscript"/>
        </w:rPr>
        <w:t>2.5</w:t>
      </w:r>
      <w:r w:rsidRPr="00A105FB">
        <w:rPr>
          <w:sz w:val="22"/>
          <w:szCs w:val="22"/>
        </w:rPr>
        <w:t>, CO, SO</w:t>
      </w:r>
      <w:r w:rsidRPr="00A105FB">
        <w:rPr>
          <w:sz w:val="22"/>
          <w:szCs w:val="22"/>
          <w:vertAlign w:val="subscript"/>
        </w:rPr>
        <w:t>2</w:t>
      </w:r>
      <w:r w:rsidRPr="00A105FB">
        <w:rPr>
          <w:sz w:val="22"/>
          <w:szCs w:val="22"/>
        </w:rPr>
        <w:t>, and NO</w:t>
      </w:r>
      <w:r w:rsidRPr="00A105FB">
        <w:rPr>
          <w:sz w:val="22"/>
          <w:szCs w:val="22"/>
          <w:vertAlign w:val="subscript"/>
        </w:rPr>
        <w:t>X</w:t>
      </w:r>
      <w:r w:rsidRPr="00A105FB">
        <w:rPr>
          <w:sz w:val="22"/>
          <w:szCs w:val="22"/>
        </w:rPr>
        <w:t xml:space="preserve"> (as NO</w:t>
      </w:r>
      <w:r w:rsidRPr="00A105FB">
        <w:rPr>
          <w:sz w:val="22"/>
          <w:szCs w:val="22"/>
          <w:vertAlign w:val="subscript"/>
        </w:rPr>
        <w:t>2</w:t>
      </w:r>
      <w:r w:rsidRPr="00A105FB">
        <w:rPr>
          <w:sz w:val="22"/>
          <w:szCs w:val="22"/>
        </w:rPr>
        <w:t>) have defined national and state AAQS and PM</w:t>
      </w:r>
      <w:r w:rsidRPr="00A105FB">
        <w:rPr>
          <w:sz w:val="22"/>
          <w:szCs w:val="22"/>
          <w:vertAlign w:val="subscript"/>
        </w:rPr>
        <w:t>10</w:t>
      </w:r>
      <w:r w:rsidRPr="00A105FB">
        <w:rPr>
          <w:sz w:val="22"/>
          <w:szCs w:val="22"/>
        </w:rPr>
        <w:t>, SO</w:t>
      </w:r>
      <w:r w:rsidRPr="00A105FB">
        <w:rPr>
          <w:sz w:val="22"/>
          <w:szCs w:val="22"/>
          <w:vertAlign w:val="subscript"/>
        </w:rPr>
        <w:t>2</w:t>
      </w:r>
      <w:r w:rsidRPr="00A105FB">
        <w:rPr>
          <w:sz w:val="22"/>
          <w:szCs w:val="22"/>
        </w:rPr>
        <w:t>,</w:t>
      </w:r>
      <w:r w:rsidRPr="00A105FB">
        <w:rPr>
          <w:sz w:val="22"/>
          <w:szCs w:val="22"/>
          <w:vertAlign w:val="subscript"/>
        </w:rPr>
        <w:t xml:space="preserve"> </w:t>
      </w:r>
      <w:r w:rsidRPr="00A105FB">
        <w:rPr>
          <w:sz w:val="22"/>
          <w:szCs w:val="22"/>
        </w:rPr>
        <w:t>and NO</w:t>
      </w:r>
      <w:r w:rsidRPr="00A105FB">
        <w:rPr>
          <w:sz w:val="22"/>
          <w:szCs w:val="22"/>
          <w:vertAlign w:val="subscript"/>
        </w:rPr>
        <w:t>2</w:t>
      </w:r>
      <w:r w:rsidRPr="00A105FB">
        <w:rPr>
          <w:sz w:val="22"/>
          <w:szCs w:val="22"/>
        </w:rPr>
        <w:t xml:space="preserve"> have defined PSD increments.</w:t>
      </w:r>
      <w:r w:rsidR="00E331A6">
        <w:rPr>
          <w:sz w:val="22"/>
          <w:szCs w:val="22"/>
        </w:rPr>
        <w:t xml:space="preserve"> </w:t>
      </w:r>
      <w:r w:rsidRPr="00A105FB">
        <w:rPr>
          <w:sz w:val="22"/>
          <w:szCs w:val="22"/>
        </w:rPr>
        <w:t xml:space="preserve"> In addition, significant impact levels (SIL) and significant monitoring concentrations (SMC) are used to determine the scope of the modeling analyses and evaluate the need for pre-construction ambient air monitoring data. </w:t>
      </w:r>
    </w:p>
    <w:p w:rsidR="006E6D60" w:rsidRPr="00E331A6" w:rsidRDefault="00E331A6" w:rsidP="00E331A6">
      <w:pPr>
        <w:widowControl w:val="0"/>
        <w:numPr>
          <w:ilvl w:val="1"/>
          <w:numId w:val="2"/>
        </w:numPr>
        <w:tabs>
          <w:tab w:val="left" w:pos="720"/>
        </w:tabs>
        <w:spacing w:after="120"/>
        <w:ind w:left="720" w:hanging="720"/>
        <w:rPr>
          <w:rFonts w:ascii="Times New Roman Bold" w:hAnsi="Times New Roman Bold"/>
          <w:b/>
          <w:caps/>
          <w:sz w:val="22"/>
          <w:szCs w:val="22"/>
        </w:rPr>
      </w:pPr>
      <w:r w:rsidRPr="00A105FB">
        <w:rPr>
          <w:b/>
          <w:sz w:val="22"/>
          <w:szCs w:val="22"/>
        </w:rPr>
        <w:t xml:space="preserve">Major Stationary </w:t>
      </w:r>
      <w:r w:rsidRPr="00A105FB">
        <w:rPr>
          <w:b/>
          <w:bCs/>
          <w:sz w:val="22"/>
          <w:szCs w:val="22"/>
        </w:rPr>
        <w:t>Sources</w:t>
      </w:r>
      <w:r w:rsidRPr="00A105FB">
        <w:rPr>
          <w:b/>
          <w:sz w:val="22"/>
          <w:szCs w:val="22"/>
        </w:rPr>
        <w:t xml:space="preserve"> </w:t>
      </w:r>
      <w:r w:rsidR="00DE6052">
        <w:rPr>
          <w:b/>
          <w:sz w:val="22"/>
          <w:szCs w:val="22"/>
        </w:rPr>
        <w:t>N</w:t>
      </w:r>
      <w:r w:rsidRPr="00A105FB">
        <w:rPr>
          <w:b/>
          <w:sz w:val="22"/>
          <w:szCs w:val="22"/>
        </w:rPr>
        <w:t xml:space="preserve">ear the </w:t>
      </w:r>
      <w:r>
        <w:rPr>
          <w:b/>
          <w:sz w:val="22"/>
          <w:szCs w:val="22"/>
        </w:rPr>
        <w:t>Lauderdale Plant</w:t>
      </w:r>
    </w:p>
    <w:p w:rsidR="00E331A6" w:rsidRDefault="00E331A6" w:rsidP="006E6D60">
      <w:pPr>
        <w:widowControl w:val="0"/>
        <w:tabs>
          <w:tab w:val="left" w:pos="720"/>
        </w:tabs>
        <w:spacing w:after="120"/>
        <w:rPr>
          <w:sz w:val="22"/>
          <w:szCs w:val="22"/>
        </w:rPr>
      </w:pPr>
      <w:r w:rsidRPr="00A105FB">
        <w:rPr>
          <w:bCs/>
          <w:sz w:val="22"/>
          <w:szCs w:val="22"/>
        </w:rPr>
        <w:t xml:space="preserve">To provide some perspective on the relative scale of the proposed </w:t>
      </w:r>
      <w:r>
        <w:rPr>
          <w:bCs/>
          <w:sz w:val="22"/>
          <w:szCs w:val="22"/>
        </w:rPr>
        <w:t xml:space="preserve">Lauderdale </w:t>
      </w:r>
      <w:r w:rsidRPr="00A105FB">
        <w:rPr>
          <w:bCs/>
          <w:sz w:val="22"/>
          <w:szCs w:val="22"/>
        </w:rPr>
        <w:t>Project</w:t>
      </w:r>
      <w:r>
        <w:rPr>
          <w:bCs/>
          <w:sz w:val="22"/>
          <w:szCs w:val="22"/>
        </w:rPr>
        <w:t xml:space="preserve"> refer to </w:t>
      </w:r>
      <w:r w:rsidRPr="004401C6">
        <w:rPr>
          <w:bCs/>
          <w:sz w:val="22"/>
          <w:szCs w:val="22"/>
        </w:rPr>
        <w:fldChar w:fldCharType="begin"/>
      </w:r>
      <w:r w:rsidRPr="004401C6">
        <w:rPr>
          <w:bCs/>
          <w:sz w:val="22"/>
          <w:szCs w:val="22"/>
        </w:rPr>
        <w:instrText xml:space="preserve"> REF _Ref371664062 \h </w:instrText>
      </w:r>
      <w:r w:rsidR="004401C6">
        <w:rPr>
          <w:bCs/>
          <w:sz w:val="22"/>
          <w:szCs w:val="22"/>
        </w:rPr>
        <w:instrText xml:space="preserve"> \* MERGEFORMAT </w:instrText>
      </w:r>
      <w:r w:rsidRPr="004401C6">
        <w:rPr>
          <w:bCs/>
          <w:sz w:val="22"/>
          <w:szCs w:val="22"/>
        </w:rPr>
      </w:r>
      <w:r w:rsidRPr="004401C6">
        <w:rPr>
          <w:bCs/>
          <w:sz w:val="22"/>
          <w:szCs w:val="22"/>
        </w:rPr>
        <w:fldChar w:fldCharType="separate"/>
      </w:r>
      <w:r w:rsidR="007F3589" w:rsidRPr="007F3589">
        <w:rPr>
          <w:rStyle w:val="Heading7Char"/>
          <w:rFonts w:ascii="Times New Roman Bold" w:hAnsi="Times New Roman Bold"/>
          <w:szCs w:val="22"/>
        </w:rPr>
        <w:t xml:space="preserve">Table </w:t>
      </w:r>
      <w:r w:rsidR="007F3589" w:rsidRPr="007F3589">
        <w:rPr>
          <w:rStyle w:val="Heading7Char"/>
          <w:rFonts w:ascii="Times New Roman Bold" w:hAnsi="Times New Roman Bold"/>
          <w:noProof/>
          <w:szCs w:val="22"/>
        </w:rPr>
        <w:t>15</w:t>
      </w:r>
      <w:r w:rsidRPr="004401C6">
        <w:rPr>
          <w:bCs/>
          <w:sz w:val="22"/>
          <w:szCs w:val="22"/>
        </w:rPr>
        <w:fldChar w:fldCharType="end"/>
      </w:r>
      <w:r>
        <w:rPr>
          <w:bCs/>
          <w:sz w:val="22"/>
          <w:szCs w:val="22"/>
        </w:rPr>
        <w:t xml:space="preserve"> to </w:t>
      </w:r>
      <w:r w:rsidR="007C045A" w:rsidRPr="007C045A">
        <w:rPr>
          <w:bCs/>
          <w:sz w:val="22"/>
          <w:szCs w:val="22"/>
        </w:rPr>
        <w:fldChar w:fldCharType="begin"/>
      </w:r>
      <w:r w:rsidR="007C045A" w:rsidRPr="007C045A">
        <w:rPr>
          <w:bCs/>
          <w:sz w:val="22"/>
          <w:szCs w:val="22"/>
        </w:rPr>
        <w:instrText xml:space="preserve"> REF _Ref371664927 \h </w:instrText>
      </w:r>
      <w:r w:rsidR="007C045A">
        <w:rPr>
          <w:bCs/>
          <w:sz w:val="22"/>
          <w:szCs w:val="22"/>
        </w:rPr>
        <w:instrText xml:space="preserve"> \* MERGEFORMAT </w:instrText>
      </w:r>
      <w:r w:rsidR="007C045A" w:rsidRPr="007C045A">
        <w:rPr>
          <w:bCs/>
          <w:sz w:val="22"/>
          <w:szCs w:val="22"/>
        </w:rPr>
      </w:r>
      <w:r w:rsidR="007C045A" w:rsidRPr="007C045A">
        <w:rPr>
          <w:bCs/>
          <w:sz w:val="22"/>
          <w:szCs w:val="22"/>
        </w:rPr>
        <w:fldChar w:fldCharType="separate"/>
      </w:r>
      <w:r w:rsidR="007F3589" w:rsidRPr="007F3589">
        <w:rPr>
          <w:b/>
          <w:sz w:val="22"/>
          <w:szCs w:val="22"/>
        </w:rPr>
        <w:t xml:space="preserve">Table </w:t>
      </w:r>
      <w:r w:rsidR="007F3589" w:rsidRPr="007F3589">
        <w:rPr>
          <w:b/>
          <w:noProof/>
          <w:sz w:val="22"/>
          <w:szCs w:val="22"/>
        </w:rPr>
        <w:t>18</w:t>
      </w:r>
      <w:r w:rsidR="007C045A" w:rsidRPr="007C045A">
        <w:rPr>
          <w:bCs/>
          <w:sz w:val="22"/>
          <w:szCs w:val="22"/>
        </w:rPr>
        <w:fldChar w:fldCharType="end"/>
      </w:r>
      <w:r w:rsidR="007C045A">
        <w:rPr>
          <w:bCs/>
          <w:sz w:val="22"/>
          <w:szCs w:val="22"/>
        </w:rPr>
        <w:t xml:space="preserve"> </w:t>
      </w:r>
      <w:r>
        <w:rPr>
          <w:bCs/>
          <w:sz w:val="22"/>
          <w:szCs w:val="22"/>
        </w:rPr>
        <w:t>below.  These tables</w:t>
      </w:r>
      <w:r w:rsidRPr="00A105FB">
        <w:rPr>
          <w:bCs/>
          <w:sz w:val="22"/>
          <w:szCs w:val="22"/>
        </w:rPr>
        <w:t xml:space="preserve"> list the largest stationary sources of actual emissions, by pollutant, around the project site</w:t>
      </w:r>
      <w:r w:rsidR="008626D6">
        <w:rPr>
          <w:bCs/>
          <w:sz w:val="22"/>
          <w:szCs w:val="22"/>
        </w:rPr>
        <w:t xml:space="preserve">, with </w:t>
      </w:r>
      <w:r w:rsidRPr="00A105FB">
        <w:rPr>
          <w:bCs/>
          <w:sz w:val="22"/>
          <w:szCs w:val="22"/>
        </w:rPr>
        <w:t xml:space="preserve">the project highlighted </w:t>
      </w:r>
      <w:r w:rsidR="004401C6">
        <w:rPr>
          <w:bCs/>
          <w:sz w:val="22"/>
          <w:szCs w:val="22"/>
        </w:rPr>
        <w:t xml:space="preserve">in </w:t>
      </w:r>
      <w:r w:rsidRPr="00E331A6">
        <w:rPr>
          <w:b/>
          <w:bCs/>
          <w:sz w:val="22"/>
          <w:szCs w:val="22"/>
        </w:rPr>
        <w:t>bold text</w:t>
      </w:r>
      <w:r w:rsidRPr="00A105FB">
        <w:rPr>
          <w:bCs/>
          <w:sz w:val="22"/>
          <w:szCs w:val="22"/>
        </w:rPr>
        <w:t>.</w:t>
      </w:r>
    </w:p>
    <w:p w:rsidR="00E331A6" w:rsidRPr="00E331A6" w:rsidRDefault="00E331A6" w:rsidP="00E331A6">
      <w:pPr>
        <w:autoSpaceDE w:val="0"/>
        <w:autoSpaceDN w:val="0"/>
        <w:adjustRightInd w:val="0"/>
        <w:spacing w:after="120"/>
        <w:jc w:val="center"/>
        <w:rPr>
          <w:rFonts w:ascii="Times New Roman Bold" w:hAnsi="Times New Roman Bold"/>
          <w:b/>
          <w:caps/>
          <w:sz w:val="22"/>
          <w:szCs w:val="22"/>
        </w:rPr>
      </w:pPr>
      <w:bookmarkStart w:id="38" w:name="_Ref371664062"/>
      <w:r w:rsidRPr="00E331A6">
        <w:rPr>
          <w:rStyle w:val="Heading7Char"/>
          <w:rFonts w:ascii="Times New Roman Bold" w:hAnsi="Times New Roman Bold"/>
          <w:caps/>
          <w:szCs w:val="22"/>
        </w:rPr>
        <w:t xml:space="preserve">Table </w:t>
      </w:r>
      <w:r w:rsidRPr="00E331A6">
        <w:rPr>
          <w:rStyle w:val="Heading7Char"/>
          <w:rFonts w:ascii="Times New Roman Bold" w:hAnsi="Times New Roman Bold"/>
          <w:caps/>
          <w:szCs w:val="22"/>
        </w:rPr>
        <w:fldChar w:fldCharType="begin"/>
      </w:r>
      <w:r w:rsidRPr="00E331A6">
        <w:rPr>
          <w:rStyle w:val="Heading7Char"/>
          <w:rFonts w:ascii="Times New Roman Bold" w:hAnsi="Times New Roman Bold"/>
          <w:caps/>
          <w:szCs w:val="22"/>
        </w:rPr>
        <w:instrText xml:space="preserve"> SEQ Table \* ARABIC </w:instrText>
      </w:r>
      <w:r w:rsidRPr="00E331A6">
        <w:rPr>
          <w:rStyle w:val="Heading7Char"/>
          <w:rFonts w:ascii="Times New Roman Bold" w:hAnsi="Times New Roman Bold"/>
          <w:caps/>
          <w:szCs w:val="22"/>
        </w:rPr>
        <w:fldChar w:fldCharType="separate"/>
      </w:r>
      <w:r w:rsidR="007F3589">
        <w:rPr>
          <w:rStyle w:val="Heading7Char"/>
          <w:rFonts w:ascii="Times New Roman Bold" w:hAnsi="Times New Roman Bold"/>
          <w:caps/>
          <w:noProof/>
          <w:szCs w:val="22"/>
        </w:rPr>
        <w:t>15</w:t>
      </w:r>
      <w:r w:rsidRPr="00E331A6">
        <w:rPr>
          <w:rStyle w:val="Heading7Char"/>
          <w:rFonts w:ascii="Times New Roman Bold" w:hAnsi="Times New Roman Bold"/>
          <w:caps/>
          <w:szCs w:val="22"/>
        </w:rPr>
        <w:fldChar w:fldCharType="end"/>
      </w:r>
      <w:bookmarkEnd w:id="38"/>
      <w:r w:rsidRPr="00B80DF9">
        <w:t xml:space="preserve"> </w:t>
      </w:r>
      <w:r w:rsidRPr="00B80DF9">
        <w:rPr>
          <w:szCs w:val="22"/>
        </w:rPr>
        <w:t xml:space="preserve">– </w:t>
      </w:r>
      <w:r w:rsidRPr="00E331A6">
        <w:rPr>
          <w:rFonts w:ascii="Times New Roman Bold" w:hAnsi="Times New Roman Bold"/>
          <w:b/>
          <w:caps/>
          <w:sz w:val="22"/>
          <w:szCs w:val="22"/>
        </w:rPr>
        <w:t>Largest Sources of NO</w:t>
      </w:r>
      <w:r w:rsidRPr="00E331A6">
        <w:rPr>
          <w:rFonts w:ascii="Times New Roman Bold" w:hAnsi="Times New Roman Bold"/>
          <w:b/>
          <w:caps/>
          <w:sz w:val="22"/>
          <w:szCs w:val="22"/>
          <w:vertAlign w:val="subscript"/>
        </w:rPr>
        <w:t>X</w:t>
      </w:r>
      <w:r w:rsidRPr="00E331A6">
        <w:rPr>
          <w:rFonts w:ascii="Times New Roman Bold" w:hAnsi="Times New Roman Bold"/>
          <w:b/>
          <w:caps/>
          <w:sz w:val="22"/>
          <w:szCs w:val="22"/>
        </w:rPr>
        <w:t xml:space="preserve"> (2012) near the </w:t>
      </w:r>
      <w:r>
        <w:rPr>
          <w:rFonts w:ascii="Times New Roman Bold" w:hAnsi="Times New Roman Bold"/>
          <w:b/>
          <w:caps/>
          <w:sz w:val="22"/>
          <w:szCs w:val="22"/>
        </w:rPr>
        <w:t>lauderdale plant.</w:t>
      </w:r>
    </w:p>
    <w:tbl>
      <w:tblPr>
        <w:tblW w:w="93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37"/>
        <w:gridCol w:w="3420"/>
        <w:gridCol w:w="1170"/>
        <w:gridCol w:w="1710"/>
      </w:tblGrid>
      <w:tr w:rsidR="00E331A6" w:rsidRPr="00A105FB" w:rsidTr="002E7738">
        <w:trPr>
          <w:trHeight w:val="144"/>
        </w:trPr>
        <w:tc>
          <w:tcPr>
            <w:tcW w:w="3037" w:type="dxa"/>
            <w:shd w:val="clear" w:color="auto" w:fill="C6D9F1"/>
            <w:vAlign w:val="center"/>
            <w:hideMark/>
          </w:tcPr>
          <w:p w:rsidR="00E331A6" w:rsidRPr="00E331A6" w:rsidRDefault="00E331A6" w:rsidP="00E331A6">
            <w:pPr>
              <w:autoSpaceDE w:val="0"/>
              <w:autoSpaceDN w:val="0"/>
              <w:adjustRightInd w:val="0"/>
              <w:jc w:val="center"/>
              <w:rPr>
                <w:b/>
                <w:bCs/>
                <w:u w:val="single"/>
              </w:rPr>
            </w:pPr>
            <w:r w:rsidRPr="00E331A6">
              <w:rPr>
                <w:b/>
                <w:bCs/>
                <w:u w:val="single"/>
              </w:rPr>
              <w:t>Owner/Company Name</w:t>
            </w:r>
          </w:p>
        </w:tc>
        <w:tc>
          <w:tcPr>
            <w:tcW w:w="3420" w:type="dxa"/>
            <w:shd w:val="clear" w:color="auto" w:fill="C6D9F1"/>
            <w:vAlign w:val="center"/>
            <w:hideMark/>
          </w:tcPr>
          <w:p w:rsidR="00E331A6" w:rsidRPr="00E331A6" w:rsidRDefault="00E331A6" w:rsidP="00E331A6">
            <w:pPr>
              <w:autoSpaceDE w:val="0"/>
              <w:autoSpaceDN w:val="0"/>
              <w:adjustRightInd w:val="0"/>
              <w:spacing w:before="20" w:after="20"/>
              <w:jc w:val="center"/>
              <w:rPr>
                <w:b/>
                <w:bCs/>
                <w:u w:val="single"/>
              </w:rPr>
            </w:pPr>
            <w:r w:rsidRPr="00E331A6">
              <w:rPr>
                <w:b/>
                <w:bCs/>
                <w:u w:val="single"/>
              </w:rPr>
              <w:t>Site Name</w:t>
            </w:r>
          </w:p>
        </w:tc>
        <w:tc>
          <w:tcPr>
            <w:tcW w:w="1170" w:type="dxa"/>
            <w:shd w:val="clear" w:color="auto" w:fill="C6D9F1"/>
            <w:vAlign w:val="center"/>
            <w:hideMark/>
          </w:tcPr>
          <w:p w:rsidR="00E331A6" w:rsidRPr="00E331A6" w:rsidRDefault="00E331A6" w:rsidP="00E331A6">
            <w:pPr>
              <w:autoSpaceDE w:val="0"/>
              <w:autoSpaceDN w:val="0"/>
              <w:adjustRightInd w:val="0"/>
              <w:spacing w:before="20" w:after="20"/>
              <w:jc w:val="center"/>
              <w:rPr>
                <w:b/>
                <w:bCs/>
                <w:u w:val="single"/>
              </w:rPr>
            </w:pPr>
            <w:r w:rsidRPr="00E331A6">
              <w:rPr>
                <w:b/>
                <w:bCs/>
                <w:u w:val="single"/>
              </w:rPr>
              <w:t>County</w:t>
            </w:r>
          </w:p>
        </w:tc>
        <w:tc>
          <w:tcPr>
            <w:tcW w:w="1710" w:type="dxa"/>
            <w:shd w:val="clear" w:color="auto" w:fill="C6D9F1"/>
            <w:vAlign w:val="center"/>
            <w:hideMark/>
          </w:tcPr>
          <w:p w:rsidR="00E331A6" w:rsidRPr="00E331A6" w:rsidRDefault="00E331A6" w:rsidP="00E331A6">
            <w:pPr>
              <w:autoSpaceDE w:val="0"/>
              <w:autoSpaceDN w:val="0"/>
              <w:adjustRightInd w:val="0"/>
              <w:spacing w:before="20" w:after="20"/>
              <w:jc w:val="center"/>
              <w:rPr>
                <w:b/>
                <w:bCs/>
                <w:u w:val="single"/>
              </w:rPr>
            </w:pPr>
            <w:r w:rsidRPr="00E331A6">
              <w:rPr>
                <w:b/>
                <w:bCs/>
                <w:u w:val="single"/>
              </w:rPr>
              <w:t>Emissions (TPY)</w:t>
            </w:r>
          </w:p>
        </w:tc>
      </w:tr>
      <w:tr w:rsidR="00E331A6" w:rsidRPr="00A105FB" w:rsidTr="002E7738">
        <w:trPr>
          <w:trHeight w:val="144"/>
        </w:trPr>
        <w:tc>
          <w:tcPr>
            <w:tcW w:w="3037" w:type="dxa"/>
            <w:tcBorders>
              <w:bottom w:val="single" w:sz="4" w:space="0" w:color="auto"/>
            </w:tcBorders>
            <w:vAlign w:val="center"/>
            <w:hideMark/>
          </w:tcPr>
          <w:p w:rsidR="00E331A6" w:rsidRPr="00E331A6" w:rsidRDefault="00E331A6" w:rsidP="00E331A6">
            <w:pPr>
              <w:autoSpaceDE w:val="0"/>
              <w:autoSpaceDN w:val="0"/>
              <w:adjustRightInd w:val="0"/>
              <w:spacing w:before="20" w:after="20"/>
              <w:jc w:val="center"/>
              <w:rPr>
                <w:bCs/>
              </w:rPr>
            </w:pPr>
            <w:r w:rsidRPr="00E331A6">
              <w:rPr>
                <w:bCs/>
              </w:rPr>
              <w:t>FP&amp;L</w:t>
            </w:r>
          </w:p>
        </w:tc>
        <w:tc>
          <w:tcPr>
            <w:tcW w:w="3420" w:type="dxa"/>
            <w:tcBorders>
              <w:bottom w:val="single" w:sz="4" w:space="0" w:color="auto"/>
            </w:tcBorders>
            <w:vAlign w:val="center"/>
            <w:hideMark/>
          </w:tcPr>
          <w:p w:rsidR="00E331A6" w:rsidRPr="00E331A6" w:rsidRDefault="00E331A6" w:rsidP="00E331A6">
            <w:pPr>
              <w:autoSpaceDE w:val="0"/>
              <w:autoSpaceDN w:val="0"/>
              <w:adjustRightInd w:val="0"/>
              <w:spacing w:before="20" w:after="20"/>
              <w:jc w:val="center"/>
              <w:rPr>
                <w:bCs/>
              </w:rPr>
            </w:pPr>
            <w:r w:rsidRPr="00E331A6">
              <w:rPr>
                <w:bCs/>
              </w:rPr>
              <w:t>Ft. Lauderdale Power Plant (Existing)</w:t>
            </w:r>
          </w:p>
        </w:tc>
        <w:tc>
          <w:tcPr>
            <w:tcW w:w="1170" w:type="dxa"/>
            <w:tcBorders>
              <w:bottom w:val="single" w:sz="4" w:space="0" w:color="auto"/>
            </w:tcBorders>
            <w:vAlign w:val="center"/>
            <w:hideMark/>
          </w:tcPr>
          <w:p w:rsidR="00E331A6" w:rsidRPr="00E331A6" w:rsidRDefault="00E331A6" w:rsidP="00E331A6">
            <w:pPr>
              <w:autoSpaceDE w:val="0"/>
              <w:autoSpaceDN w:val="0"/>
              <w:adjustRightInd w:val="0"/>
              <w:spacing w:before="20" w:after="20"/>
              <w:jc w:val="center"/>
              <w:rPr>
                <w:bCs/>
              </w:rPr>
            </w:pPr>
            <w:r w:rsidRPr="00E331A6">
              <w:rPr>
                <w:bCs/>
              </w:rPr>
              <w:t>Broward</w:t>
            </w:r>
          </w:p>
        </w:tc>
        <w:tc>
          <w:tcPr>
            <w:tcW w:w="1710" w:type="dxa"/>
            <w:tcBorders>
              <w:bottom w:val="single" w:sz="4" w:space="0" w:color="auto"/>
            </w:tcBorders>
            <w:vAlign w:val="center"/>
            <w:hideMark/>
          </w:tcPr>
          <w:p w:rsidR="00E331A6" w:rsidRPr="00E331A6" w:rsidRDefault="00E331A6" w:rsidP="00E331A6">
            <w:pPr>
              <w:autoSpaceDE w:val="0"/>
              <w:autoSpaceDN w:val="0"/>
              <w:adjustRightInd w:val="0"/>
              <w:spacing w:before="20" w:after="20"/>
              <w:jc w:val="center"/>
              <w:rPr>
                <w:bCs/>
              </w:rPr>
            </w:pPr>
            <w:r w:rsidRPr="00E331A6">
              <w:rPr>
                <w:bCs/>
              </w:rPr>
              <w:t>2067.0</w:t>
            </w:r>
          </w:p>
        </w:tc>
      </w:tr>
      <w:tr w:rsidR="00E331A6" w:rsidRPr="00A105FB" w:rsidTr="002E7738">
        <w:trPr>
          <w:trHeight w:val="144"/>
        </w:trPr>
        <w:tc>
          <w:tcPr>
            <w:tcW w:w="3037" w:type="dxa"/>
            <w:tcBorders>
              <w:bottom w:val="single" w:sz="4" w:space="0" w:color="auto"/>
            </w:tcBorders>
            <w:shd w:val="clear" w:color="auto" w:fill="auto"/>
            <w:vAlign w:val="center"/>
            <w:hideMark/>
          </w:tcPr>
          <w:p w:rsidR="00E331A6" w:rsidRPr="00E331A6" w:rsidRDefault="00E331A6" w:rsidP="00E331A6">
            <w:pPr>
              <w:autoSpaceDE w:val="0"/>
              <w:autoSpaceDN w:val="0"/>
              <w:adjustRightInd w:val="0"/>
              <w:spacing w:before="20" w:after="20"/>
              <w:jc w:val="center"/>
              <w:rPr>
                <w:bCs/>
              </w:rPr>
            </w:pPr>
            <w:r w:rsidRPr="00E331A6">
              <w:rPr>
                <w:bCs/>
              </w:rPr>
              <w:t>FP&amp;L</w:t>
            </w:r>
          </w:p>
        </w:tc>
        <w:tc>
          <w:tcPr>
            <w:tcW w:w="3420" w:type="dxa"/>
            <w:tcBorders>
              <w:bottom w:val="single" w:sz="4" w:space="0" w:color="auto"/>
            </w:tcBorders>
            <w:shd w:val="clear" w:color="auto" w:fill="auto"/>
            <w:vAlign w:val="center"/>
            <w:hideMark/>
          </w:tcPr>
          <w:p w:rsidR="00E331A6" w:rsidRPr="00E331A6" w:rsidRDefault="00E331A6" w:rsidP="00E331A6">
            <w:pPr>
              <w:autoSpaceDE w:val="0"/>
              <w:autoSpaceDN w:val="0"/>
              <w:adjustRightInd w:val="0"/>
              <w:spacing w:before="20" w:after="20"/>
              <w:jc w:val="center"/>
              <w:rPr>
                <w:bCs/>
              </w:rPr>
            </w:pPr>
            <w:r w:rsidRPr="00E331A6">
              <w:rPr>
                <w:bCs/>
              </w:rPr>
              <w:t>Port Everglades Power Plant</w:t>
            </w:r>
          </w:p>
        </w:tc>
        <w:tc>
          <w:tcPr>
            <w:tcW w:w="1170" w:type="dxa"/>
            <w:tcBorders>
              <w:bottom w:val="single" w:sz="4" w:space="0" w:color="auto"/>
            </w:tcBorders>
            <w:shd w:val="clear" w:color="auto" w:fill="auto"/>
            <w:vAlign w:val="center"/>
            <w:hideMark/>
          </w:tcPr>
          <w:p w:rsidR="00E331A6" w:rsidRPr="00E331A6" w:rsidRDefault="00E331A6" w:rsidP="00E331A6">
            <w:pPr>
              <w:autoSpaceDE w:val="0"/>
              <w:autoSpaceDN w:val="0"/>
              <w:adjustRightInd w:val="0"/>
              <w:spacing w:before="20" w:after="20"/>
              <w:jc w:val="center"/>
              <w:rPr>
                <w:bCs/>
              </w:rPr>
            </w:pPr>
            <w:r w:rsidRPr="00E331A6">
              <w:rPr>
                <w:bCs/>
              </w:rPr>
              <w:t>Broward</w:t>
            </w:r>
          </w:p>
        </w:tc>
        <w:tc>
          <w:tcPr>
            <w:tcW w:w="1710" w:type="dxa"/>
            <w:tcBorders>
              <w:bottom w:val="single" w:sz="4" w:space="0" w:color="auto"/>
            </w:tcBorders>
            <w:shd w:val="clear" w:color="auto" w:fill="auto"/>
            <w:vAlign w:val="center"/>
            <w:hideMark/>
          </w:tcPr>
          <w:p w:rsidR="00E331A6" w:rsidRPr="00E331A6" w:rsidRDefault="00E331A6" w:rsidP="00E331A6">
            <w:pPr>
              <w:autoSpaceDE w:val="0"/>
              <w:autoSpaceDN w:val="0"/>
              <w:adjustRightInd w:val="0"/>
              <w:spacing w:before="20" w:after="20"/>
              <w:jc w:val="center"/>
              <w:rPr>
                <w:bCs/>
              </w:rPr>
            </w:pPr>
            <w:r w:rsidRPr="00E331A6">
              <w:rPr>
                <w:bCs/>
              </w:rPr>
              <w:t>1347.8</w:t>
            </w:r>
          </w:p>
        </w:tc>
      </w:tr>
      <w:tr w:rsidR="00E331A6" w:rsidRPr="00A105FB" w:rsidTr="002E7738">
        <w:trPr>
          <w:trHeight w:val="144"/>
        </w:trPr>
        <w:tc>
          <w:tcPr>
            <w:tcW w:w="3037" w:type="dxa"/>
            <w:tcBorders>
              <w:bottom w:val="single" w:sz="4" w:space="0" w:color="auto"/>
            </w:tcBorders>
            <w:shd w:val="clear" w:color="auto" w:fill="FFFFFF"/>
            <w:vAlign w:val="center"/>
            <w:hideMark/>
          </w:tcPr>
          <w:p w:rsidR="00E331A6" w:rsidRPr="00E331A6" w:rsidRDefault="00E331A6" w:rsidP="00E331A6">
            <w:pPr>
              <w:autoSpaceDE w:val="0"/>
              <w:autoSpaceDN w:val="0"/>
              <w:adjustRightInd w:val="0"/>
              <w:spacing w:before="20" w:after="20"/>
              <w:jc w:val="center"/>
              <w:rPr>
                <w:bCs/>
              </w:rPr>
            </w:pPr>
            <w:r w:rsidRPr="00E331A6">
              <w:rPr>
                <w:bCs/>
              </w:rPr>
              <w:t>Wheelabrator South Broward, INC</w:t>
            </w:r>
          </w:p>
        </w:tc>
        <w:tc>
          <w:tcPr>
            <w:tcW w:w="3420" w:type="dxa"/>
            <w:tcBorders>
              <w:bottom w:val="single" w:sz="4" w:space="0" w:color="auto"/>
            </w:tcBorders>
            <w:shd w:val="clear" w:color="auto" w:fill="FFFFFF"/>
            <w:vAlign w:val="center"/>
            <w:hideMark/>
          </w:tcPr>
          <w:p w:rsidR="00E331A6" w:rsidRPr="00E331A6" w:rsidRDefault="00E331A6" w:rsidP="00E331A6">
            <w:pPr>
              <w:autoSpaceDE w:val="0"/>
              <w:autoSpaceDN w:val="0"/>
              <w:adjustRightInd w:val="0"/>
              <w:spacing w:before="20" w:after="20"/>
              <w:jc w:val="center"/>
              <w:rPr>
                <w:bCs/>
              </w:rPr>
            </w:pPr>
            <w:r w:rsidRPr="00E331A6">
              <w:rPr>
                <w:bCs/>
              </w:rPr>
              <w:t>Wheelabrator South Broward</w:t>
            </w:r>
          </w:p>
        </w:tc>
        <w:tc>
          <w:tcPr>
            <w:tcW w:w="1170" w:type="dxa"/>
            <w:tcBorders>
              <w:bottom w:val="single" w:sz="4" w:space="0" w:color="auto"/>
            </w:tcBorders>
            <w:shd w:val="clear" w:color="auto" w:fill="FFFFFF"/>
            <w:vAlign w:val="center"/>
            <w:hideMark/>
          </w:tcPr>
          <w:p w:rsidR="00E331A6" w:rsidRPr="00E331A6" w:rsidRDefault="00E331A6" w:rsidP="00E331A6">
            <w:pPr>
              <w:autoSpaceDE w:val="0"/>
              <w:autoSpaceDN w:val="0"/>
              <w:adjustRightInd w:val="0"/>
              <w:spacing w:before="20" w:after="20"/>
              <w:jc w:val="center"/>
              <w:rPr>
                <w:bCs/>
              </w:rPr>
            </w:pPr>
            <w:r w:rsidRPr="00E331A6">
              <w:rPr>
                <w:bCs/>
              </w:rPr>
              <w:t>Broward</w:t>
            </w:r>
          </w:p>
        </w:tc>
        <w:tc>
          <w:tcPr>
            <w:tcW w:w="1710" w:type="dxa"/>
            <w:tcBorders>
              <w:bottom w:val="single" w:sz="4" w:space="0" w:color="auto"/>
            </w:tcBorders>
            <w:shd w:val="clear" w:color="auto" w:fill="FFFFFF"/>
            <w:vAlign w:val="center"/>
            <w:hideMark/>
          </w:tcPr>
          <w:p w:rsidR="00E331A6" w:rsidRPr="00E331A6" w:rsidRDefault="00E331A6" w:rsidP="00E331A6">
            <w:pPr>
              <w:autoSpaceDE w:val="0"/>
              <w:autoSpaceDN w:val="0"/>
              <w:adjustRightInd w:val="0"/>
              <w:spacing w:before="20" w:after="20"/>
              <w:jc w:val="center"/>
              <w:rPr>
                <w:bCs/>
              </w:rPr>
            </w:pPr>
            <w:r w:rsidRPr="00E331A6">
              <w:rPr>
                <w:bCs/>
              </w:rPr>
              <w:t>1339.0</w:t>
            </w:r>
          </w:p>
        </w:tc>
      </w:tr>
      <w:tr w:rsidR="00E331A6" w:rsidRPr="00A105FB" w:rsidTr="002E7738">
        <w:trPr>
          <w:trHeight w:val="144"/>
        </w:trPr>
        <w:tc>
          <w:tcPr>
            <w:tcW w:w="3037" w:type="dxa"/>
            <w:shd w:val="clear" w:color="auto" w:fill="auto"/>
            <w:vAlign w:val="center"/>
            <w:hideMark/>
          </w:tcPr>
          <w:p w:rsidR="00E331A6" w:rsidRPr="00E331A6" w:rsidRDefault="00E331A6" w:rsidP="00E331A6">
            <w:pPr>
              <w:autoSpaceDE w:val="0"/>
              <w:autoSpaceDN w:val="0"/>
              <w:adjustRightInd w:val="0"/>
              <w:spacing w:before="20" w:after="20"/>
              <w:jc w:val="center"/>
              <w:rPr>
                <w:b/>
                <w:bCs/>
              </w:rPr>
            </w:pPr>
            <w:r w:rsidRPr="00E331A6">
              <w:rPr>
                <w:b/>
                <w:bCs/>
              </w:rPr>
              <w:t>FP&amp;L</w:t>
            </w:r>
          </w:p>
        </w:tc>
        <w:tc>
          <w:tcPr>
            <w:tcW w:w="3420" w:type="dxa"/>
            <w:shd w:val="clear" w:color="auto" w:fill="auto"/>
            <w:vAlign w:val="center"/>
            <w:hideMark/>
          </w:tcPr>
          <w:p w:rsidR="00E331A6" w:rsidRPr="00E331A6" w:rsidRDefault="00E331A6" w:rsidP="00E331A6">
            <w:pPr>
              <w:autoSpaceDE w:val="0"/>
              <w:autoSpaceDN w:val="0"/>
              <w:adjustRightInd w:val="0"/>
              <w:spacing w:before="20" w:after="20"/>
              <w:jc w:val="center"/>
              <w:rPr>
                <w:b/>
                <w:bCs/>
              </w:rPr>
            </w:pPr>
            <w:r>
              <w:rPr>
                <w:b/>
                <w:bCs/>
              </w:rPr>
              <w:t xml:space="preserve">Lauderdale </w:t>
            </w:r>
            <w:r w:rsidRPr="00E331A6">
              <w:rPr>
                <w:b/>
                <w:bCs/>
              </w:rPr>
              <w:t>Project</w:t>
            </w:r>
          </w:p>
        </w:tc>
        <w:tc>
          <w:tcPr>
            <w:tcW w:w="1170" w:type="dxa"/>
            <w:shd w:val="clear" w:color="auto" w:fill="auto"/>
            <w:vAlign w:val="center"/>
            <w:hideMark/>
          </w:tcPr>
          <w:p w:rsidR="00E331A6" w:rsidRPr="00E331A6" w:rsidRDefault="00E331A6" w:rsidP="00E331A6">
            <w:pPr>
              <w:autoSpaceDE w:val="0"/>
              <w:autoSpaceDN w:val="0"/>
              <w:adjustRightInd w:val="0"/>
              <w:spacing w:before="20" w:after="20"/>
              <w:jc w:val="center"/>
              <w:rPr>
                <w:b/>
                <w:bCs/>
              </w:rPr>
            </w:pPr>
            <w:r w:rsidRPr="00E331A6">
              <w:rPr>
                <w:b/>
                <w:bCs/>
              </w:rPr>
              <w:t>Broward</w:t>
            </w:r>
          </w:p>
        </w:tc>
        <w:tc>
          <w:tcPr>
            <w:tcW w:w="1710" w:type="dxa"/>
            <w:shd w:val="clear" w:color="auto" w:fill="auto"/>
            <w:vAlign w:val="center"/>
            <w:hideMark/>
          </w:tcPr>
          <w:p w:rsidR="00E331A6" w:rsidRPr="00E331A6" w:rsidRDefault="004401C6" w:rsidP="00E331A6">
            <w:pPr>
              <w:autoSpaceDE w:val="0"/>
              <w:autoSpaceDN w:val="0"/>
              <w:adjustRightInd w:val="0"/>
              <w:spacing w:before="20" w:after="20"/>
              <w:jc w:val="center"/>
              <w:rPr>
                <w:b/>
                <w:bCs/>
              </w:rPr>
            </w:pPr>
            <w:r>
              <w:rPr>
                <w:b/>
                <w:bCs/>
              </w:rPr>
              <w:t>749</w:t>
            </w:r>
            <w:r w:rsidR="00E331A6" w:rsidRPr="00E331A6">
              <w:rPr>
                <w:b/>
                <w:bCs/>
              </w:rPr>
              <w:t xml:space="preserve"> </w:t>
            </w:r>
            <w:r w:rsidR="00E331A6" w:rsidRPr="00E331A6">
              <w:rPr>
                <w:b/>
                <w:bCs/>
                <w:vertAlign w:val="superscript"/>
              </w:rPr>
              <w:t>a</w:t>
            </w:r>
          </w:p>
        </w:tc>
      </w:tr>
      <w:tr w:rsidR="00E331A6" w:rsidRPr="00A105FB" w:rsidTr="002E7738">
        <w:trPr>
          <w:trHeight w:val="144"/>
        </w:trPr>
        <w:tc>
          <w:tcPr>
            <w:tcW w:w="3037" w:type="dxa"/>
            <w:vAlign w:val="center"/>
            <w:hideMark/>
          </w:tcPr>
          <w:p w:rsidR="00E331A6" w:rsidRPr="00E331A6" w:rsidRDefault="00E331A6" w:rsidP="00E331A6">
            <w:pPr>
              <w:autoSpaceDE w:val="0"/>
              <w:autoSpaceDN w:val="0"/>
              <w:adjustRightInd w:val="0"/>
              <w:spacing w:before="20" w:after="20"/>
              <w:jc w:val="center"/>
              <w:rPr>
                <w:bCs/>
              </w:rPr>
            </w:pPr>
            <w:r w:rsidRPr="00E331A6">
              <w:rPr>
                <w:bCs/>
              </w:rPr>
              <w:t>Miami-Dade Water and Sewer Department</w:t>
            </w:r>
          </w:p>
        </w:tc>
        <w:tc>
          <w:tcPr>
            <w:tcW w:w="3420" w:type="dxa"/>
            <w:vAlign w:val="center"/>
            <w:hideMark/>
          </w:tcPr>
          <w:p w:rsidR="00E331A6" w:rsidRPr="00E331A6" w:rsidRDefault="00E331A6" w:rsidP="00E331A6">
            <w:pPr>
              <w:autoSpaceDE w:val="0"/>
              <w:autoSpaceDN w:val="0"/>
              <w:adjustRightInd w:val="0"/>
              <w:spacing w:before="20" w:after="20"/>
              <w:jc w:val="center"/>
              <w:rPr>
                <w:bCs/>
              </w:rPr>
            </w:pPr>
            <w:r w:rsidRPr="00E331A6">
              <w:rPr>
                <w:bCs/>
              </w:rPr>
              <w:t>North District Wastewater Treatment Plant</w:t>
            </w:r>
          </w:p>
        </w:tc>
        <w:tc>
          <w:tcPr>
            <w:tcW w:w="1170" w:type="dxa"/>
            <w:vAlign w:val="center"/>
            <w:hideMark/>
          </w:tcPr>
          <w:p w:rsidR="00E331A6" w:rsidRPr="00E331A6" w:rsidRDefault="00E331A6" w:rsidP="00E331A6">
            <w:pPr>
              <w:autoSpaceDE w:val="0"/>
              <w:autoSpaceDN w:val="0"/>
              <w:adjustRightInd w:val="0"/>
              <w:spacing w:before="20" w:after="20"/>
              <w:jc w:val="center"/>
              <w:rPr>
                <w:bCs/>
              </w:rPr>
            </w:pPr>
            <w:r w:rsidRPr="00E331A6">
              <w:rPr>
                <w:bCs/>
              </w:rPr>
              <w:t>Broward</w:t>
            </w:r>
          </w:p>
        </w:tc>
        <w:tc>
          <w:tcPr>
            <w:tcW w:w="1710" w:type="dxa"/>
            <w:vAlign w:val="center"/>
            <w:hideMark/>
          </w:tcPr>
          <w:p w:rsidR="00E331A6" w:rsidRPr="00E331A6" w:rsidRDefault="00E331A6" w:rsidP="00E331A6">
            <w:pPr>
              <w:autoSpaceDE w:val="0"/>
              <w:autoSpaceDN w:val="0"/>
              <w:adjustRightInd w:val="0"/>
              <w:spacing w:before="20" w:after="20"/>
              <w:jc w:val="center"/>
              <w:rPr>
                <w:bCs/>
              </w:rPr>
            </w:pPr>
            <w:r w:rsidRPr="00E331A6">
              <w:rPr>
                <w:bCs/>
              </w:rPr>
              <w:t>16.43</w:t>
            </w:r>
          </w:p>
        </w:tc>
      </w:tr>
      <w:tr w:rsidR="00E331A6" w:rsidRPr="00A105FB" w:rsidTr="002E7738">
        <w:trPr>
          <w:trHeight w:val="288"/>
        </w:trPr>
        <w:tc>
          <w:tcPr>
            <w:tcW w:w="9337" w:type="dxa"/>
            <w:gridSpan w:val="4"/>
            <w:tcBorders>
              <w:bottom w:val="single" w:sz="4" w:space="0" w:color="auto"/>
            </w:tcBorders>
            <w:vAlign w:val="center"/>
            <w:hideMark/>
          </w:tcPr>
          <w:p w:rsidR="00E331A6" w:rsidRPr="00E331A6" w:rsidRDefault="00E331A6" w:rsidP="00E331A6">
            <w:pPr>
              <w:pStyle w:val="ListParagraph"/>
              <w:numPr>
                <w:ilvl w:val="0"/>
                <w:numId w:val="21"/>
              </w:numPr>
              <w:autoSpaceDE w:val="0"/>
              <w:autoSpaceDN w:val="0"/>
              <w:adjustRightInd w:val="0"/>
              <w:spacing w:before="20" w:after="20" w:line="276" w:lineRule="auto"/>
              <w:ind w:hanging="270"/>
              <w:rPr>
                <w:bCs/>
                <w:sz w:val="18"/>
                <w:szCs w:val="18"/>
              </w:rPr>
            </w:pPr>
            <w:r w:rsidRPr="00E331A6">
              <w:rPr>
                <w:bCs/>
                <w:sz w:val="18"/>
                <w:szCs w:val="18"/>
              </w:rPr>
              <w:t>Based upon maximum potential emissions. Used data from Siemens F5 turbine</w:t>
            </w:r>
          </w:p>
        </w:tc>
      </w:tr>
    </w:tbl>
    <w:p w:rsidR="00E331A6" w:rsidRPr="00E331A6" w:rsidRDefault="00E331A6" w:rsidP="00E331A6">
      <w:pPr>
        <w:autoSpaceDE w:val="0"/>
        <w:autoSpaceDN w:val="0"/>
        <w:adjustRightInd w:val="0"/>
        <w:spacing w:before="120" w:after="120"/>
        <w:jc w:val="center"/>
        <w:rPr>
          <w:b/>
          <w:caps/>
          <w:sz w:val="22"/>
          <w:szCs w:val="22"/>
        </w:rPr>
      </w:pPr>
      <w:r w:rsidRPr="00E331A6">
        <w:rPr>
          <w:rStyle w:val="Heading7Char"/>
          <w:caps/>
          <w:szCs w:val="22"/>
        </w:rPr>
        <w:t xml:space="preserve">Table </w:t>
      </w:r>
      <w:r w:rsidRPr="00E331A6">
        <w:rPr>
          <w:rStyle w:val="Heading7Char"/>
          <w:caps/>
          <w:szCs w:val="22"/>
        </w:rPr>
        <w:fldChar w:fldCharType="begin"/>
      </w:r>
      <w:r w:rsidRPr="00E331A6">
        <w:rPr>
          <w:rStyle w:val="Heading7Char"/>
          <w:caps/>
          <w:szCs w:val="22"/>
        </w:rPr>
        <w:instrText xml:space="preserve"> SEQ Table \* ARABIC </w:instrText>
      </w:r>
      <w:r w:rsidRPr="00E331A6">
        <w:rPr>
          <w:rStyle w:val="Heading7Char"/>
          <w:caps/>
          <w:szCs w:val="22"/>
        </w:rPr>
        <w:fldChar w:fldCharType="separate"/>
      </w:r>
      <w:r w:rsidR="007F3589">
        <w:rPr>
          <w:rStyle w:val="Heading7Char"/>
          <w:caps/>
          <w:noProof/>
          <w:szCs w:val="22"/>
        </w:rPr>
        <w:t>16</w:t>
      </w:r>
      <w:r w:rsidRPr="00E331A6">
        <w:rPr>
          <w:rStyle w:val="Heading7Char"/>
          <w:caps/>
          <w:szCs w:val="22"/>
        </w:rPr>
        <w:fldChar w:fldCharType="end"/>
      </w:r>
      <w:r w:rsidRPr="00B80DF9">
        <w:t xml:space="preserve"> </w:t>
      </w:r>
      <w:r w:rsidRPr="00B80DF9">
        <w:rPr>
          <w:szCs w:val="22"/>
        </w:rPr>
        <w:t xml:space="preserve">– </w:t>
      </w:r>
      <w:r w:rsidRPr="00E331A6">
        <w:rPr>
          <w:b/>
          <w:caps/>
          <w:sz w:val="22"/>
          <w:szCs w:val="22"/>
        </w:rPr>
        <w:t xml:space="preserve">Largest Sources of CO (2012) near the </w:t>
      </w:r>
      <w:r>
        <w:rPr>
          <w:b/>
          <w:caps/>
          <w:sz w:val="22"/>
          <w:szCs w:val="22"/>
        </w:rPr>
        <w:t>lauderdale plant.</w:t>
      </w:r>
    </w:p>
    <w:tbl>
      <w:tblPr>
        <w:tblW w:w="93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37"/>
        <w:gridCol w:w="3420"/>
        <w:gridCol w:w="1170"/>
        <w:gridCol w:w="1710"/>
      </w:tblGrid>
      <w:tr w:rsidR="00E331A6" w:rsidRPr="00A105FB" w:rsidTr="002E7738">
        <w:trPr>
          <w:trHeight w:val="144"/>
        </w:trPr>
        <w:tc>
          <w:tcPr>
            <w:tcW w:w="3037" w:type="dxa"/>
            <w:tcBorders>
              <w:bottom w:val="single" w:sz="4" w:space="0" w:color="auto"/>
            </w:tcBorders>
            <w:shd w:val="clear" w:color="auto" w:fill="B8CCE4"/>
            <w:vAlign w:val="center"/>
            <w:hideMark/>
          </w:tcPr>
          <w:p w:rsidR="00E331A6" w:rsidRPr="00E331A6" w:rsidRDefault="00E331A6" w:rsidP="00E331A6">
            <w:pPr>
              <w:autoSpaceDE w:val="0"/>
              <w:autoSpaceDN w:val="0"/>
              <w:adjustRightInd w:val="0"/>
              <w:spacing w:before="20"/>
              <w:jc w:val="center"/>
              <w:rPr>
                <w:b/>
                <w:bCs/>
                <w:u w:val="single"/>
              </w:rPr>
            </w:pPr>
            <w:r w:rsidRPr="00E331A6">
              <w:rPr>
                <w:b/>
                <w:bCs/>
                <w:u w:val="single"/>
              </w:rPr>
              <w:t>Owner/Company Name</w:t>
            </w:r>
          </w:p>
        </w:tc>
        <w:tc>
          <w:tcPr>
            <w:tcW w:w="3420" w:type="dxa"/>
            <w:tcBorders>
              <w:bottom w:val="single" w:sz="4" w:space="0" w:color="auto"/>
            </w:tcBorders>
            <w:shd w:val="clear" w:color="auto" w:fill="B8CCE4"/>
            <w:vAlign w:val="center"/>
            <w:hideMark/>
          </w:tcPr>
          <w:p w:rsidR="00E331A6" w:rsidRPr="00E331A6" w:rsidRDefault="00E331A6" w:rsidP="00E331A6">
            <w:pPr>
              <w:autoSpaceDE w:val="0"/>
              <w:autoSpaceDN w:val="0"/>
              <w:adjustRightInd w:val="0"/>
              <w:spacing w:before="20" w:after="20"/>
              <w:jc w:val="center"/>
              <w:rPr>
                <w:b/>
                <w:bCs/>
                <w:u w:val="single"/>
              </w:rPr>
            </w:pPr>
            <w:r w:rsidRPr="00E331A6">
              <w:rPr>
                <w:b/>
                <w:bCs/>
                <w:u w:val="single"/>
              </w:rPr>
              <w:t>Site Name</w:t>
            </w:r>
          </w:p>
        </w:tc>
        <w:tc>
          <w:tcPr>
            <w:tcW w:w="1170" w:type="dxa"/>
            <w:tcBorders>
              <w:bottom w:val="single" w:sz="4" w:space="0" w:color="auto"/>
            </w:tcBorders>
            <w:shd w:val="clear" w:color="auto" w:fill="B8CCE4"/>
            <w:vAlign w:val="center"/>
            <w:hideMark/>
          </w:tcPr>
          <w:p w:rsidR="00E331A6" w:rsidRPr="00E331A6" w:rsidRDefault="00E331A6" w:rsidP="00E331A6">
            <w:pPr>
              <w:autoSpaceDE w:val="0"/>
              <w:autoSpaceDN w:val="0"/>
              <w:adjustRightInd w:val="0"/>
              <w:spacing w:before="20" w:after="20"/>
              <w:jc w:val="center"/>
              <w:rPr>
                <w:b/>
                <w:bCs/>
                <w:u w:val="single"/>
              </w:rPr>
            </w:pPr>
            <w:r w:rsidRPr="00E331A6">
              <w:rPr>
                <w:b/>
                <w:bCs/>
                <w:u w:val="single"/>
              </w:rPr>
              <w:t>County</w:t>
            </w:r>
          </w:p>
        </w:tc>
        <w:tc>
          <w:tcPr>
            <w:tcW w:w="1710" w:type="dxa"/>
            <w:tcBorders>
              <w:bottom w:val="single" w:sz="4" w:space="0" w:color="auto"/>
            </w:tcBorders>
            <w:shd w:val="clear" w:color="auto" w:fill="B8CCE4"/>
            <w:vAlign w:val="center"/>
            <w:hideMark/>
          </w:tcPr>
          <w:p w:rsidR="00E331A6" w:rsidRPr="00E331A6" w:rsidRDefault="00E331A6" w:rsidP="00E331A6">
            <w:pPr>
              <w:autoSpaceDE w:val="0"/>
              <w:autoSpaceDN w:val="0"/>
              <w:adjustRightInd w:val="0"/>
              <w:spacing w:before="20" w:after="20"/>
              <w:jc w:val="center"/>
              <w:rPr>
                <w:b/>
                <w:bCs/>
                <w:u w:val="single"/>
              </w:rPr>
            </w:pPr>
            <w:r w:rsidRPr="00E331A6">
              <w:rPr>
                <w:b/>
                <w:bCs/>
                <w:u w:val="single"/>
              </w:rPr>
              <w:t>Emissions (TPY)</w:t>
            </w:r>
          </w:p>
        </w:tc>
      </w:tr>
      <w:tr w:rsidR="00E331A6" w:rsidRPr="00A105FB" w:rsidTr="002E7738">
        <w:trPr>
          <w:trHeight w:val="144"/>
        </w:trPr>
        <w:tc>
          <w:tcPr>
            <w:tcW w:w="3037" w:type="dxa"/>
            <w:shd w:val="clear" w:color="auto" w:fill="FFFFFF"/>
            <w:vAlign w:val="center"/>
            <w:hideMark/>
          </w:tcPr>
          <w:p w:rsidR="00E331A6" w:rsidRPr="00E331A6" w:rsidRDefault="00E331A6" w:rsidP="00E331A6">
            <w:pPr>
              <w:autoSpaceDE w:val="0"/>
              <w:autoSpaceDN w:val="0"/>
              <w:adjustRightInd w:val="0"/>
              <w:spacing w:before="20" w:after="20"/>
              <w:jc w:val="center"/>
              <w:rPr>
                <w:bCs/>
              </w:rPr>
            </w:pPr>
            <w:r w:rsidRPr="00E331A6">
              <w:rPr>
                <w:bCs/>
              </w:rPr>
              <w:t>FP&amp;L</w:t>
            </w:r>
          </w:p>
        </w:tc>
        <w:tc>
          <w:tcPr>
            <w:tcW w:w="3420" w:type="dxa"/>
            <w:shd w:val="clear" w:color="auto" w:fill="FFFFFF"/>
            <w:vAlign w:val="center"/>
            <w:hideMark/>
          </w:tcPr>
          <w:p w:rsidR="00E331A6" w:rsidRPr="00E331A6" w:rsidRDefault="00E331A6" w:rsidP="00E331A6">
            <w:pPr>
              <w:autoSpaceDE w:val="0"/>
              <w:autoSpaceDN w:val="0"/>
              <w:adjustRightInd w:val="0"/>
              <w:spacing w:before="20" w:after="20"/>
              <w:jc w:val="center"/>
              <w:rPr>
                <w:bCs/>
              </w:rPr>
            </w:pPr>
            <w:r w:rsidRPr="00E331A6">
              <w:rPr>
                <w:bCs/>
              </w:rPr>
              <w:t>Port Everglades Power Plant</w:t>
            </w:r>
          </w:p>
        </w:tc>
        <w:tc>
          <w:tcPr>
            <w:tcW w:w="1170" w:type="dxa"/>
            <w:shd w:val="clear" w:color="auto" w:fill="FFFFFF"/>
            <w:vAlign w:val="center"/>
            <w:hideMark/>
          </w:tcPr>
          <w:p w:rsidR="00E331A6" w:rsidRPr="00E331A6" w:rsidRDefault="00E331A6" w:rsidP="00E331A6">
            <w:pPr>
              <w:autoSpaceDE w:val="0"/>
              <w:autoSpaceDN w:val="0"/>
              <w:adjustRightInd w:val="0"/>
              <w:spacing w:before="20" w:after="20"/>
              <w:jc w:val="center"/>
              <w:rPr>
                <w:bCs/>
              </w:rPr>
            </w:pPr>
            <w:r w:rsidRPr="00E331A6">
              <w:rPr>
                <w:bCs/>
              </w:rPr>
              <w:t>Broward</w:t>
            </w:r>
          </w:p>
        </w:tc>
        <w:tc>
          <w:tcPr>
            <w:tcW w:w="1710" w:type="dxa"/>
            <w:shd w:val="clear" w:color="auto" w:fill="FFFFFF"/>
            <w:vAlign w:val="center"/>
            <w:hideMark/>
          </w:tcPr>
          <w:p w:rsidR="00E331A6" w:rsidRPr="00E331A6" w:rsidRDefault="00E331A6" w:rsidP="00E331A6">
            <w:pPr>
              <w:autoSpaceDE w:val="0"/>
              <w:autoSpaceDN w:val="0"/>
              <w:adjustRightInd w:val="0"/>
              <w:spacing w:before="20" w:after="20"/>
              <w:jc w:val="center"/>
              <w:rPr>
                <w:bCs/>
              </w:rPr>
            </w:pPr>
            <w:r w:rsidRPr="00E331A6">
              <w:rPr>
                <w:bCs/>
              </w:rPr>
              <w:t>532.8</w:t>
            </w:r>
          </w:p>
        </w:tc>
      </w:tr>
      <w:tr w:rsidR="00CF6969" w:rsidRPr="00A105FB" w:rsidTr="002E7738">
        <w:trPr>
          <w:trHeight w:val="144"/>
        </w:trPr>
        <w:tc>
          <w:tcPr>
            <w:tcW w:w="3037" w:type="dxa"/>
            <w:shd w:val="clear" w:color="auto" w:fill="FFFFFF"/>
            <w:vAlign w:val="center"/>
          </w:tcPr>
          <w:p w:rsidR="00CF6969" w:rsidRPr="00E331A6" w:rsidRDefault="00CF6969" w:rsidP="00CF6969">
            <w:pPr>
              <w:autoSpaceDE w:val="0"/>
              <w:autoSpaceDN w:val="0"/>
              <w:adjustRightInd w:val="0"/>
              <w:spacing w:before="20" w:after="20"/>
              <w:jc w:val="center"/>
              <w:rPr>
                <w:b/>
                <w:bCs/>
              </w:rPr>
            </w:pPr>
            <w:r w:rsidRPr="00E331A6">
              <w:rPr>
                <w:b/>
                <w:bCs/>
              </w:rPr>
              <w:t>FP&amp;L</w:t>
            </w:r>
          </w:p>
        </w:tc>
        <w:tc>
          <w:tcPr>
            <w:tcW w:w="3420" w:type="dxa"/>
            <w:shd w:val="clear" w:color="auto" w:fill="FFFFFF"/>
            <w:vAlign w:val="center"/>
          </w:tcPr>
          <w:p w:rsidR="00CF6969" w:rsidRPr="00E331A6" w:rsidRDefault="00CF6969" w:rsidP="00CF6969">
            <w:pPr>
              <w:autoSpaceDE w:val="0"/>
              <w:autoSpaceDN w:val="0"/>
              <w:adjustRightInd w:val="0"/>
              <w:spacing w:before="20" w:after="20"/>
              <w:jc w:val="center"/>
              <w:rPr>
                <w:b/>
                <w:bCs/>
              </w:rPr>
            </w:pPr>
            <w:r w:rsidRPr="00E331A6">
              <w:rPr>
                <w:b/>
                <w:bCs/>
              </w:rPr>
              <w:t>Lauderdale Project</w:t>
            </w:r>
          </w:p>
        </w:tc>
        <w:tc>
          <w:tcPr>
            <w:tcW w:w="1170" w:type="dxa"/>
            <w:shd w:val="clear" w:color="auto" w:fill="FFFFFF"/>
            <w:vAlign w:val="center"/>
          </w:tcPr>
          <w:p w:rsidR="00CF6969" w:rsidRPr="00E331A6" w:rsidRDefault="00CF6969" w:rsidP="00CF6969">
            <w:pPr>
              <w:autoSpaceDE w:val="0"/>
              <w:autoSpaceDN w:val="0"/>
              <w:adjustRightInd w:val="0"/>
              <w:spacing w:before="20" w:after="20"/>
              <w:jc w:val="center"/>
              <w:rPr>
                <w:b/>
                <w:bCs/>
              </w:rPr>
            </w:pPr>
            <w:r w:rsidRPr="00E331A6">
              <w:rPr>
                <w:b/>
                <w:bCs/>
              </w:rPr>
              <w:t>Broward</w:t>
            </w:r>
          </w:p>
        </w:tc>
        <w:tc>
          <w:tcPr>
            <w:tcW w:w="1710" w:type="dxa"/>
            <w:shd w:val="clear" w:color="auto" w:fill="FFFFFF"/>
            <w:vAlign w:val="center"/>
          </w:tcPr>
          <w:p w:rsidR="00CF6969" w:rsidRPr="00E331A6" w:rsidRDefault="00CF6969" w:rsidP="00CF6969">
            <w:pPr>
              <w:autoSpaceDE w:val="0"/>
              <w:autoSpaceDN w:val="0"/>
              <w:adjustRightInd w:val="0"/>
              <w:spacing w:before="20" w:after="20"/>
              <w:jc w:val="center"/>
              <w:rPr>
                <w:b/>
                <w:bCs/>
              </w:rPr>
            </w:pPr>
            <w:r>
              <w:rPr>
                <w:b/>
                <w:bCs/>
              </w:rPr>
              <w:t>475</w:t>
            </w:r>
            <w:r w:rsidRPr="00E331A6">
              <w:rPr>
                <w:b/>
                <w:bCs/>
              </w:rPr>
              <w:t xml:space="preserve"> </w:t>
            </w:r>
            <w:r w:rsidRPr="00E331A6">
              <w:rPr>
                <w:b/>
                <w:bCs/>
                <w:vertAlign w:val="superscript"/>
              </w:rPr>
              <w:t>a</w:t>
            </w:r>
          </w:p>
        </w:tc>
      </w:tr>
      <w:tr w:rsidR="00CF6969" w:rsidRPr="00A105FB" w:rsidTr="002E7738">
        <w:trPr>
          <w:trHeight w:val="144"/>
        </w:trPr>
        <w:tc>
          <w:tcPr>
            <w:tcW w:w="3037"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FP&amp;L</w:t>
            </w:r>
          </w:p>
        </w:tc>
        <w:tc>
          <w:tcPr>
            <w:tcW w:w="3420"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Ft. Lauderdale Power Plant (Existing)</w:t>
            </w:r>
          </w:p>
        </w:tc>
        <w:tc>
          <w:tcPr>
            <w:tcW w:w="1170"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Broward</w:t>
            </w:r>
          </w:p>
        </w:tc>
        <w:tc>
          <w:tcPr>
            <w:tcW w:w="1710"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312.5</w:t>
            </w:r>
          </w:p>
        </w:tc>
      </w:tr>
      <w:tr w:rsidR="00CF6969" w:rsidRPr="00A105FB" w:rsidTr="002E7738">
        <w:trPr>
          <w:trHeight w:val="144"/>
        </w:trPr>
        <w:tc>
          <w:tcPr>
            <w:tcW w:w="3037"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Wheelabrator South Broward, INC</w:t>
            </w:r>
          </w:p>
        </w:tc>
        <w:tc>
          <w:tcPr>
            <w:tcW w:w="3420"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Wheelabrator South Broward</w:t>
            </w:r>
          </w:p>
        </w:tc>
        <w:tc>
          <w:tcPr>
            <w:tcW w:w="1170"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Broward</w:t>
            </w:r>
          </w:p>
        </w:tc>
        <w:tc>
          <w:tcPr>
            <w:tcW w:w="1710"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59.7</w:t>
            </w:r>
          </w:p>
        </w:tc>
      </w:tr>
      <w:tr w:rsidR="00CF6969" w:rsidRPr="00A105FB" w:rsidTr="002E7738">
        <w:trPr>
          <w:trHeight w:val="144"/>
        </w:trPr>
        <w:tc>
          <w:tcPr>
            <w:tcW w:w="3037"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Citgo Petroleum Group</w:t>
            </w:r>
          </w:p>
        </w:tc>
        <w:tc>
          <w:tcPr>
            <w:tcW w:w="3420"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Citgo – Port Everglades Terminal</w:t>
            </w:r>
          </w:p>
        </w:tc>
        <w:tc>
          <w:tcPr>
            <w:tcW w:w="1170"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Broward</w:t>
            </w:r>
          </w:p>
        </w:tc>
        <w:tc>
          <w:tcPr>
            <w:tcW w:w="1710" w:type="dxa"/>
            <w:shd w:val="clear" w:color="auto" w:fill="auto"/>
            <w:vAlign w:val="center"/>
            <w:hideMark/>
          </w:tcPr>
          <w:p w:rsidR="00CF6969" w:rsidRPr="00E331A6" w:rsidRDefault="00CF6969" w:rsidP="00CF6969">
            <w:pPr>
              <w:autoSpaceDE w:val="0"/>
              <w:autoSpaceDN w:val="0"/>
              <w:adjustRightInd w:val="0"/>
              <w:spacing w:before="20" w:after="20"/>
              <w:jc w:val="center"/>
              <w:rPr>
                <w:bCs/>
              </w:rPr>
            </w:pPr>
            <w:r w:rsidRPr="00E331A6">
              <w:rPr>
                <w:bCs/>
              </w:rPr>
              <w:t>7.5</w:t>
            </w:r>
          </w:p>
        </w:tc>
      </w:tr>
      <w:tr w:rsidR="00CF6969" w:rsidRPr="00E331A6" w:rsidTr="002E7738">
        <w:trPr>
          <w:trHeight w:val="288"/>
        </w:trPr>
        <w:tc>
          <w:tcPr>
            <w:tcW w:w="9337" w:type="dxa"/>
            <w:gridSpan w:val="4"/>
            <w:tcBorders>
              <w:bottom w:val="single" w:sz="4" w:space="0" w:color="auto"/>
            </w:tcBorders>
            <w:vAlign w:val="center"/>
            <w:hideMark/>
          </w:tcPr>
          <w:p w:rsidR="00CF6969" w:rsidRPr="00E331A6" w:rsidRDefault="00CF6969" w:rsidP="00CF6969">
            <w:pPr>
              <w:pStyle w:val="ListParagraph"/>
              <w:numPr>
                <w:ilvl w:val="0"/>
                <w:numId w:val="24"/>
              </w:numPr>
              <w:autoSpaceDE w:val="0"/>
              <w:autoSpaceDN w:val="0"/>
              <w:adjustRightInd w:val="0"/>
              <w:spacing w:before="20" w:after="20" w:line="276" w:lineRule="auto"/>
              <w:ind w:hanging="270"/>
              <w:rPr>
                <w:bCs/>
                <w:sz w:val="18"/>
                <w:szCs w:val="18"/>
              </w:rPr>
            </w:pPr>
            <w:r w:rsidRPr="00E331A6">
              <w:rPr>
                <w:bCs/>
                <w:sz w:val="18"/>
                <w:szCs w:val="18"/>
              </w:rPr>
              <w:t>Based upon maximum potential emissions. Used data from Siemens F5 turbine.</w:t>
            </w:r>
          </w:p>
        </w:tc>
      </w:tr>
    </w:tbl>
    <w:p w:rsidR="003702BA" w:rsidRDefault="003702BA">
      <w:pPr>
        <w:rPr>
          <w:rStyle w:val="Heading7Char"/>
          <w:caps/>
          <w:szCs w:val="22"/>
        </w:rPr>
      </w:pPr>
      <w:bookmarkStart w:id="39" w:name="_Ref371664077"/>
      <w:r>
        <w:rPr>
          <w:rStyle w:val="Heading7Char"/>
          <w:caps/>
          <w:szCs w:val="22"/>
        </w:rPr>
        <w:br w:type="page"/>
      </w:r>
    </w:p>
    <w:p w:rsidR="00E331A6" w:rsidRPr="007C045A" w:rsidRDefault="00E331A6" w:rsidP="007C045A">
      <w:pPr>
        <w:autoSpaceDE w:val="0"/>
        <w:autoSpaceDN w:val="0"/>
        <w:adjustRightInd w:val="0"/>
        <w:spacing w:before="120" w:after="120"/>
        <w:jc w:val="center"/>
        <w:rPr>
          <w:b/>
          <w:caps/>
          <w:sz w:val="22"/>
          <w:szCs w:val="22"/>
        </w:rPr>
      </w:pPr>
      <w:r w:rsidRPr="007C045A">
        <w:rPr>
          <w:rStyle w:val="Heading7Char"/>
          <w:caps/>
          <w:szCs w:val="22"/>
        </w:rPr>
        <w:lastRenderedPageBreak/>
        <w:t xml:space="preserve">Table </w:t>
      </w:r>
      <w:r w:rsidRPr="007C045A">
        <w:rPr>
          <w:rStyle w:val="Heading7Char"/>
          <w:caps/>
          <w:szCs w:val="22"/>
        </w:rPr>
        <w:fldChar w:fldCharType="begin"/>
      </w:r>
      <w:r w:rsidRPr="007C045A">
        <w:rPr>
          <w:rStyle w:val="Heading7Char"/>
          <w:caps/>
          <w:szCs w:val="22"/>
        </w:rPr>
        <w:instrText xml:space="preserve"> SEQ Table \* ARABIC </w:instrText>
      </w:r>
      <w:r w:rsidRPr="007C045A">
        <w:rPr>
          <w:rStyle w:val="Heading7Char"/>
          <w:caps/>
          <w:szCs w:val="22"/>
        </w:rPr>
        <w:fldChar w:fldCharType="separate"/>
      </w:r>
      <w:r w:rsidR="007F3589">
        <w:rPr>
          <w:rStyle w:val="Heading7Char"/>
          <w:caps/>
          <w:noProof/>
          <w:szCs w:val="22"/>
        </w:rPr>
        <w:t>17</w:t>
      </w:r>
      <w:r w:rsidRPr="007C045A">
        <w:rPr>
          <w:rStyle w:val="Heading7Char"/>
          <w:caps/>
          <w:szCs w:val="22"/>
        </w:rPr>
        <w:fldChar w:fldCharType="end"/>
      </w:r>
      <w:bookmarkEnd w:id="39"/>
      <w:r w:rsidR="007C045A" w:rsidRPr="00B80DF9">
        <w:t xml:space="preserve"> </w:t>
      </w:r>
      <w:r w:rsidR="007C045A" w:rsidRPr="00B80DF9">
        <w:rPr>
          <w:szCs w:val="22"/>
        </w:rPr>
        <w:t xml:space="preserve">– </w:t>
      </w:r>
      <w:r w:rsidRPr="007C045A">
        <w:rPr>
          <w:b/>
          <w:caps/>
          <w:sz w:val="22"/>
          <w:szCs w:val="22"/>
        </w:rPr>
        <w:t>Largest Sources of PM</w:t>
      </w:r>
      <w:r w:rsidRPr="007C045A">
        <w:rPr>
          <w:b/>
          <w:caps/>
          <w:sz w:val="22"/>
          <w:szCs w:val="22"/>
          <w:vertAlign w:val="subscript"/>
        </w:rPr>
        <w:t>2.5</w:t>
      </w:r>
      <w:r w:rsidRPr="007C045A">
        <w:rPr>
          <w:b/>
          <w:caps/>
          <w:sz w:val="22"/>
          <w:szCs w:val="22"/>
        </w:rPr>
        <w:t>/PM</w:t>
      </w:r>
      <w:r w:rsidRPr="007C045A">
        <w:rPr>
          <w:b/>
          <w:caps/>
          <w:sz w:val="22"/>
          <w:szCs w:val="22"/>
          <w:vertAlign w:val="subscript"/>
        </w:rPr>
        <w:t>10</w:t>
      </w:r>
      <w:r w:rsidRPr="007C045A">
        <w:rPr>
          <w:b/>
          <w:caps/>
          <w:sz w:val="22"/>
          <w:szCs w:val="22"/>
        </w:rPr>
        <w:t xml:space="preserve"> (2012) near the </w:t>
      </w:r>
      <w:r w:rsidR="007C045A">
        <w:rPr>
          <w:b/>
          <w:caps/>
          <w:sz w:val="22"/>
          <w:szCs w:val="22"/>
        </w:rPr>
        <w:t>lauderdale plant.</w:t>
      </w:r>
    </w:p>
    <w:tbl>
      <w:tblPr>
        <w:tblW w:w="93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3420"/>
        <w:gridCol w:w="1170"/>
        <w:gridCol w:w="1710"/>
      </w:tblGrid>
      <w:tr w:rsidR="00E331A6" w:rsidRPr="00A105FB" w:rsidTr="002E7738">
        <w:trPr>
          <w:trHeight w:val="144"/>
        </w:trPr>
        <w:tc>
          <w:tcPr>
            <w:tcW w:w="3037" w:type="dxa"/>
            <w:tcBorders>
              <w:bottom w:val="single" w:sz="4" w:space="0" w:color="auto"/>
            </w:tcBorders>
            <w:shd w:val="clear" w:color="auto" w:fill="B8CCE4"/>
            <w:vAlign w:val="center"/>
            <w:hideMark/>
          </w:tcPr>
          <w:p w:rsidR="00E331A6" w:rsidRPr="007C045A" w:rsidRDefault="00E331A6" w:rsidP="00E331A6">
            <w:pPr>
              <w:autoSpaceDE w:val="0"/>
              <w:autoSpaceDN w:val="0"/>
              <w:adjustRightInd w:val="0"/>
              <w:spacing w:before="20" w:after="20"/>
              <w:jc w:val="center"/>
              <w:rPr>
                <w:b/>
                <w:bCs/>
                <w:u w:val="single"/>
              </w:rPr>
            </w:pPr>
            <w:r w:rsidRPr="007C045A">
              <w:rPr>
                <w:b/>
                <w:bCs/>
                <w:u w:val="single"/>
              </w:rPr>
              <w:t>Owner/Company Name</w:t>
            </w:r>
          </w:p>
        </w:tc>
        <w:tc>
          <w:tcPr>
            <w:tcW w:w="3420" w:type="dxa"/>
            <w:tcBorders>
              <w:bottom w:val="single" w:sz="4" w:space="0" w:color="auto"/>
            </w:tcBorders>
            <w:shd w:val="clear" w:color="auto" w:fill="B8CCE4"/>
            <w:vAlign w:val="center"/>
            <w:hideMark/>
          </w:tcPr>
          <w:p w:rsidR="00E331A6" w:rsidRPr="007C045A" w:rsidRDefault="00E331A6" w:rsidP="00E331A6">
            <w:pPr>
              <w:autoSpaceDE w:val="0"/>
              <w:autoSpaceDN w:val="0"/>
              <w:adjustRightInd w:val="0"/>
              <w:spacing w:before="20" w:after="20"/>
              <w:jc w:val="center"/>
              <w:rPr>
                <w:b/>
                <w:bCs/>
                <w:u w:val="single"/>
              </w:rPr>
            </w:pPr>
            <w:r w:rsidRPr="007C045A">
              <w:rPr>
                <w:b/>
                <w:bCs/>
                <w:u w:val="single"/>
              </w:rPr>
              <w:t>Site Name</w:t>
            </w:r>
          </w:p>
        </w:tc>
        <w:tc>
          <w:tcPr>
            <w:tcW w:w="1170" w:type="dxa"/>
            <w:tcBorders>
              <w:bottom w:val="single" w:sz="4" w:space="0" w:color="auto"/>
            </w:tcBorders>
            <w:shd w:val="clear" w:color="auto" w:fill="B8CCE4"/>
            <w:vAlign w:val="center"/>
            <w:hideMark/>
          </w:tcPr>
          <w:p w:rsidR="00E331A6" w:rsidRPr="007C045A" w:rsidRDefault="00E331A6" w:rsidP="00E331A6">
            <w:pPr>
              <w:autoSpaceDE w:val="0"/>
              <w:autoSpaceDN w:val="0"/>
              <w:adjustRightInd w:val="0"/>
              <w:spacing w:before="20" w:after="20"/>
              <w:jc w:val="center"/>
              <w:rPr>
                <w:b/>
                <w:bCs/>
                <w:u w:val="single"/>
              </w:rPr>
            </w:pPr>
            <w:r w:rsidRPr="007C045A">
              <w:rPr>
                <w:b/>
                <w:bCs/>
                <w:u w:val="single"/>
              </w:rPr>
              <w:t>County</w:t>
            </w:r>
          </w:p>
        </w:tc>
        <w:tc>
          <w:tcPr>
            <w:tcW w:w="1710" w:type="dxa"/>
            <w:tcBorders>
              <w:bottom w:val="single" w:sz="4" w:space="0" w:color="auto"/>
            </w:tcBorders>
            <w:shd w:val="clear" w:color="auto" w:fill="B8CCE4"/>
            <w:vAlign w:val="center"/>
            <w:hideMark/>
          </w:tcPr>
          <w:p w:rsidR="00E331A6" w:rsidRPr="007C045A" w:rsidRDefault="00E331A6" w:rsidP="00E331A6">
            <w:pPr>
              <w:autoSpaceDE w:val="0"/>
              <w:autoSpaceDN w:val="0"/>
              <w:adjustRightInd w:val="0"/>
              <w:spacing w:before="20" w:after="20"/>
              <w:jc w:val="center"/>
              <w:rPr>
                <w:b/>
                <w:bCs/>
                <w:u w:val="single"/>
              </w:rPr>
            </w:pPr>
            <w:r w:rsidRPr="007C045A">
              <w:rPr>
                <w:b/>
                <w:bCs/>
                <w:u w:val="single"/>
              </w:rPr>
              <w:t>Emissions (TPY)</w:t>
            </w:r>
          </w:p>
        </w:tc>
      </w:tr>
      <w:tr w:rsidR="00E331A6" w:rsidRPr="00A105FB" w:rsidTr="002E7738">
        <w:trPr>
          <w:trHeight w:val="144"/>
        </w:trPr>
        <w:tc>
          <w:tcPr>
            <w:tcW w:w="3037" w:type="dxa"/>
            <w:tcBorders>
              <w:bottom w:val="single" w:sz="4" w:space="0" w:color="auto"/>
            </w:tcBorders>
            <w:shd w:val="clear" w:color="auto" w:fill="auto"/>
            <w:vAlign w:val="center"/>
            <w:hideMark/>
          </w:tcPr>
          <w:p w:rsidR="00E331A6" w:rsidRPr="007C045A" w:rsidRDefault="00E331A6" w:rsidP="00E331A6">
            <w:pPr>
              <w:autoSpaceDE w:val="0"/>
              <w:autoSpaceDN w:val="0"/>
              <w:adjustRightInd w:val="0"/>
              <w:spacing w:before="20" w:after="20"/>
              <w:jc w:val="center"/>
              <w:rPr>
                <w:b/>
                <w:bCs/>
              </w:rPr>
            </w:pPr>
            <w:r w:rsidRPr="007C045A">
              <w:rPr>
                <w:b/>
                <w:bCs/>
              </w:rPr>
              <w:t>FP&amp;L</w:t>
            </w:r>
          </w:p>
        </w:tc>
        <w:tc>
          <w:tcPr>
            <w:tcW w:w="3420" w:type="dxa"/>
            <w:tcBorders>
              <w:bottom w:val="single" w:sz="4" w:space="0" w:color="auto"/>
            </w:tcBorders>
            <w:shd w:val="clear" w:color="auto" w:fill="auto"/>
            <w:vAlign w:val="center"/>
            <w:hideMark/>
          </w:tcPr>
          <w:p w:rsidR="00E331A6" w:rsidRPr="007C045A" w:rsidRDefault="00E331A6" w:rsidP="004401C6">
            <w:pPr>
              <w:autoSpaceDE w:val="0"/>
              <w:autoSpaceDN w:val="0"/>
              <w:adjustRightInd w:val="0"/>
              <w:spacing w:before="20" w:after="20"/>
              <w:jc w:val="center"/>
              <w:rPr>
                <w:b/>
                <w:bCs/>
              </w:rPr>
            </w:pPr>
            <w:r w:rsidRPr="007C045A">
              <w:rPr>
                <w:b/>
                <w:bCs/>
              </w:rPr>
              <w:t>Lauderdale Project</w:t>
            </w:r>
          </w:p>
        </w:tc>
        <w:tc>
          <w:tcPr>
            <w:tcW w:w="1170" w:type="dxa"/>
            <w:tcBorders>
              <w:bottom w:val="single" w:sz="4" w:space="0" w:color="auto"/>
            </w:tcBorders>
            <w:shd w:val="clear" w:color="auto" w:fill="auto"/>
            <w:vAlign w:val="center"/>
            <w:hideMark/>
          </w:tcPr>
          <w:p w:rsidR="00E331A6" w:rsidRPr="007C045A" w:rsidRDefault="00E331A6" w:rsidP="00E331A6">
            <w:pPr>
              <w:autoSpaceDE w:val="0"/>
              <w:autoSpaceDN w:val="0"/>
              <w:adjustRightInd w:val="0"/>
              <w:spacing w:before="20" w:after="20"/>
              <w:jc w:val="center"/>
              <w:rPr>
                <w:b/>
                <w:bCs/>
              </w:rPr>
            </w:pPr>
            <w:r w:rsidRPr="007C045A">
              <w:rPr>
                <w:b/>
                <w:bCs/>
              </w:rPr>
              <w:t>Broward</w:t>
            </w:r>
          </w:p>
        </w:tc>
        <w:tc>
          <w:tcPr>
            <w:tcW w:w="1710" w:type="dxa"/>
            <w:tcBorders>
              <w:bottom w:val="single" w:sz="4" w:space="0" w:color="auto"/>
            </w:tcBorders>
            <w:shd w:val="clear" w:color="auto" w:fill="auto"/>
            <w:vAlign w:val="center"/>
            <w:hideMark/>
          </w:tcPr>
          <w:p w:rsidR="00E331A6" w:rsidRPr="007C045A" w:rsidRDefault="00E331A6" w:rsidP="004401C6">
            <w:pPr>
              <w:autoSpaceDE w:val="0"/>
              <w:autoSpaceDN w:val="0"/>
              <w:adjustRightInd w:val="0"/>
              <w:spacing w:before="20" w:after="20"/>
              <w:jc w:val="center"/>
              <w:rPr>
                <w:b/>
                <w:bCs/>
              </w:rPr>
            </w:pPr>
            <w:r w:rsidRPr="007C045A">
              <w:rPr>
                <w:b/>
                <w:bCs/>
              </w:rPr>
              <w:t>13</w:t>
            </w:r>
            <w:r w:rsidR="004401C6">
              <w:rPr>
                <w:b/>
                <w:bCs/>
              </w:rPr>
              <w:t>2</w:t>
            </w:r>
            <w:r w:rsidRPr="007C045A">
              <w:rPr>
                <w:b/>
                <w:bCs/>
              </w:rPr>
              <w:t>.0</w:t>
            </w:r>
            <w:r w:rsidR="007C045A">
              <w:rPr>
                <w:b/>
                <w:bCs/>
              </w:rPr>
              <w:t xml:space="preserve"> </w:t>
            </w:r>
            <w:r w:rsidRPr="007C045A">
              <w:rPr>
                <w:b/>
                <w:bCs/>
                <w:vertAlign w:val="superscript"/>
              </w:rPr>
              <w:t>a</w:t>
            </w:r>
          </w:p>
        </w:tc>
      </w:tr>
      <w:tr w:rsidR="00E331A6" w:rsidRPr="00A105FB" w:rsidTr="002E7738">
        <w:trPr>
          <w:trHeight w:val="144"/>
        </w:trPr>
        <w:tc>
          <w:tcPr>
            <w:tcW w:w="3037" w:type="dxa"/>
            <w:tcBorders>
              <w:bottom w:val="single" w:sz="4" w:space="0" w:color="auto"/>
            </w:tcBorders>
            <w:shd w:val="clear" w:color="auto" w:fill="FFFFFF"/>
            <w:vAlign w:val="center"/>
            <w:hideMark/>
          </w:tcPr>
          <w:p w:rsidR="00E331A6" w:rsidRPr="007C045A" w:rsidRDefault="00E331A6" w:rsidP="00E331A6">
            <w:pPr>
              <w:autoSpaceDE w:val="0"/>
              <w:autoSpaceDN w:val="0"/>
              <w:adjustRightInd w:val="0"/>
              <w:spacing w:before="20" w:after="20"/>
              <w:jc w:val="center"/>
              <w:rPr>
                <w:bCs/>
              </w:rPr>
            </w:pPr>
            <w:r w:rsidRPr="007C045A">
              <w:rPr>
                <w:bCs/>
              </w:rPr>
              <w:t>FP&amp;L</w:t>
            </w:r>
          </w:p>
        </w:tc>
        <w:tc>
          <w:tcPr>
            <w:tcW w:w="3420" w:type="dxa"/>
            <w:tcBorders>
              <w:bottom w:val="single" w:sz="4" w:space="0" w:color="auto"/>
            </w:tcBorders>
            <w:shd w:val="clear" w:color="auto" w:fill="FFFFFF"/>
            <w:vAlign w:val="center"/>
            <w:hideMark/>
          </w:tcPr>
          <w:p w:rsidR="00E331A6" w:rsidRPr="007C045A" w:rsidRDefault="00E331A6" w:rsidP="00E331A6">
            <w:pPr>
              <w:autoSpaceDE w:val="0"/>
              <w:autoSpaceDN w:val="0"/>
              <w:adjustRightInd w:val="0"/>
              <w:spacing w:before="20" w:after="20"/>
              <w:jc w:val="center"/>
              <w:rPr>
                <w:bCs/>
              </w:rPr>
            </w:pPr>
            <w:r w:rsidRPr="007C045A">
              <w:rPr>
                <w:bCs/>
              </w:rPr>
              <w:t>Fort Lauderdale Power Plant (Existing)</w:t>
            </w:r>
          </w:p>
        </w:tc>
        <w:tc>
          <w:tcPr>
            <w:tcW w:w="1170" w:type="dxa"/>
            <w:tcBorders>
              <w:bottom w:val="single" w:sz="4" w:space="0" w:color="auto"/>
            </w:tcBorders>
            <w:shd w:val="clear" w:color="auto" w:fill="FFFFFF"/>
            <w:vAlign w:val="center"/>
            <w:hideMark/>
          </w:tcPr>
          <w:p w:rsidR="00E331A6" w:rsidRPr="007C045A" w:rsidRDefault="00E331A6" w:rsidP="00E331A6">
            <w:pPr>
              <w:autoSpaceDE w:val="0"/>
              <w:autoSpaceDN w:val="0"/>
              <w:adjustRightInd w:val="0"/>
              <w:spacing w:before="20" w:after="20"/>
              <w:jc w:val="center"/>
              <w:rPr>
                <w:bCs/>
              </w:rPr>
            </w:pPr>
            <w:r w:rsidRPr="007C045A">
              <w:rPr>
                <w:bCs/>
              </w:rPr>
              <w:t>Broward</w:t>
            </w:r>
          </w:p>
        </w:tc>
        <w:tc>
          <w:tcPr>
            <w:tcW w:w="1710" w:type="dxa"/>
            <w:tcBorders>
              <w:bottom w:val="single" w:sz="4" w:space="0" w:color="auto"/>
            </w:tcBorders>
            <w:shd w:val="clear" w:color="auto" w:fill="FFFFFF"/>
            <w:vAlign w:val="center"/>
            <w:hideMark/>
          </w:tcPr>
          <w:p w:rsidR="00E331A6" w:rsidRPr="007C045A" w:rsidRDefault="00E331A6" w:rsidP="00E331A6">
            <w:pPr>
              <w:autoSpaceDE w:val="0"/>
              <w:autoSpaceDN w:val="0"/>
              <w:adjustRightInd w:val="0"/>
              <w:spacing w:before="20" w:after="20"/>
              <w:jc w:val="center"/>
              <w:rPr>
                <w:bCs/>
              </w:rPr>
            </w:pPr>
            <w:r w:rsidRPr="007C045A">
              <w:rPr>
                <w:bCs/>
              </w:rPr>
              <w:t>119.8</w:t>
            </w:r>
          </w:p>
        </w:tc>
      </w:tr>
      <w:tr w:rsidR="00E331A6" w:rsidRPr="00A105FB" w:rsidTr="002E7738">
        <w:trPr>
          <w:trHeight w:val="144"/>
        </w:trPr>
        <w:tc>
          <w:tcPr>
            <w:tcW w:w="3037" w:type="dxa"/>
            <w:tcBorders>
              <w:bottom w:val="single" w:sz="4" w:space="0" w:color="auto"/>
            </w:tcBorders>
            <w:vAlign w:val="center"/>
            <w:hideMark/>
          </w:tcPr>
          <w:p w:rsidR="00E331A6" w:rsidRPr="007C045A" w:rsidRDefault="00E331A6" w:rsidP="00E331A6">
            <w:pPr>
              <w:autoSpaceDE w:val="0"/>
              <w:autoSpaceDN w:val="0"/>
              <w:adjustRightInd w:val="0"/>
              <w:spacing w:before="20" w:after="20"/>
              <w:jc w:val="center"/>
              <w:rPr>
                <w:bCs/>
              </w:rPr>
            </w:pPr>
            <w:r w:rsidRPr="007C045A">
              <w:rPr>
                <w:bCs/>
              </w:rPr>
              <w:t>Wheelabrator South Broward, INC</w:t>
            </w:r>
          </w:p>
        </w:tc>
        <w:tc>
          <w:tcPr>
            <w:tcW w:w="3420" w:type="dxa"/>
            <w:tcBorders>
              <w:bottom w:val="single" w:sz="4" w:space="0" w:color="auto"/>
            </w:tcBorders>
            <w:vAlign w:val="center"/>
            <w:hideMark/>
          </w:tcPr>
          <w:p w:rsidR="00E331A6" w:rsidRPr="007C045A" w:rsidRDefault="00E331A6" w:rsidP="00E331A6">
            <w:pPr>
              <w:autoSpaceDE w:val="0"/>
              <w:autoSpaceDN w:val="0"/>
              <w:adjustRightInd w:val="0"/>
              <w:spacing w:before="20" w:after="20"/>
              <w:jc w:val="center"/>
              <w:rPr>
                <w:bCs/>
              </w:rPr>
            </w:pPr>
            <w:r w:rsidRPr="007C045A">
              <w:rPr>
                <w:bCs/>
              </w:rPr>
              <w:t>Wheelabrator South Broward</w:t>
            </w:r>
          </w:p>
        </w:tc>
        <w:tc>
          <w:tcPr>
            <w:tcW w:w="1170" w:type="dxa"/>
            <w:tcBorders>
              <w:bottom w:val="single" w:sz="4" w:space="0" w:color="auto"/>
            </w:tcBorders>
            <w:vAlign w:val="center"/>
            <w:hideMark/>
          </w:tcPr>
          <w:p w:rsidR="00E331A6" w:rsidRPr="007C045A" w:rsidRDefault="00E331A6" w:rsidP="00E331A6">
            <w:pPr>
              <w:autoSpaceDE w:val="0"/>
              <w:autoSpaceDN w:val="0"/>
              <w:adjustRightInd w:val="0"/>
              <w:spacing w:before="20" w:after="20"/>
              <w:jc w:val="center"/>
              <w:rPr>
                <w:bCs/>
              </w:rPr>
            </w:pPr>
            <w:r w:rsidRPr="007C045A">
              <w:rPr>
                <w:bCs/>
              </w:rPr>
              <w:t>Broward</w:t>
            </w:r>
          </w:p>
        </w:tc>
        <w:tc>
          <w:tcPr>
            <w:tcW w:w="1710" w:type="dxa"/>
            <w:tcBorders>
              <w:bottom w:val="single" w:sz="4" w:space="0" w:color="auto"/>
            </w:tcBorders>
            <w:vAlign w:val="center"/>
            <w:hideMark/>
          </w:tcPr>
          <w:p w:rsidR="00E331A6" w:rsidRPr="007C045A" w:rsidRDefault="00E331A6" w:rsidP="00E331A6">
            <w:pPr>
              <w:autoSpaceDE w:val="0"/>
              <w:autoSpaceDN w:val="0"/>
              <w:adjustRightInd w:val="0"/>
              <w:spacing w:before="20" w:after="20"/>
              <w:jc w:val="center"/>
              <w:rPr>
                <w:bCs/>
              </w:rPr>
            </w:pPr>
            <w:r w:rsidRPr="007C045A">
              <w:rPr>
                <w:bCs/>
              </w:rPr>
              <w:t>8.5</w:t>
            </w:r>
          </w:p>
        </w:tc>
      </w:tr>
      <w:tr w:rsidR="00E331A6" w:rsidRPr="00A105FB" w:rsidTr="002E7738">
        <w:trPr>
          <w:trHeight w:val="144"/>
        </w:trPr>
        <w:tc>
          <w:tcPr>
            <w:tcW w:w="3037" w:type="dxa"/>
            <w:tcBorders>
              <w:bottom w:val="single" w:sz="4" w:space="0" w:color="auto"/>
            </w:tcBorders>
            <w:vAlign w:val="center"/>
            <w:hideMark/>
          </w:tcPr>
          <w:p w:rsidR="00E331A6" w:rsidRPr="007C045A" w:rsidRDefault="00E331A6" w:rsidP="00E331A6">
            <w:pPr>
              <w:autoSpaceDE w:val="0"/>
              <w:autoSpaceDN w:val="0"/>
              <w:adjustRightInd w:val="0"/>
              <w:spacing w:before="20" w:after="20"/>
              <w:jc w:val="center"/>
              <w:rPr>
                <w:bCs/>
              </w:rPr>
            </w:pPr>
            <w:r w:rsidRPr="007C045A">
              <w:rPr>
                <w:bCs/>
              </w:rPr>
              <w:t>FP&amp;L</w:t>
            </w:r>
          </w:p>
        </w:tc>
        <w:tc>
          <w:tcPr>
            <w:tcW w:w="3420" w:type="dxa"/>
            <w:tcBorders>
              <w:bottom w:val="single" w:sz="4" w:space="0" w:color="auto"/>
            </w:tcBorders>
            <w:vAlign w:val="center"/>
            <w:hideMark/>
          </w:tcPr>
          <w:p w:rsidR="00E331A6" w:rsidRPr="007C045A" w:rsidRDefault="00E331A6" w:rsidP="00E331A6">
            <w:pPr>
              <w:autoSpaceDE w:val="0"/>
              <w:autoSpaceDN w:val="0"/>
              <w:adjustRightInd w:val="0"/>
              <w:spacing w:before="20" w:after="20"/>
              <w:jc w:val="center"/>
              <w:rPr>
                <w:bCs/>
              </w:rPr>
            </w:pPr>
            <w:r w:rsidRPr="007C045A">
              <w:rPr>
                <w:bCs/>
              </w:rPr>
              <w:t>Port Everglades Power Plant</w:t>
            </w:r>
          </w:p>
        </w:tc>
        <w:tc>
          <w:tcPr>
            <w:tcW w:w="1170" w:type="dxa"/>
            <w:tcBorders>
              <w:bottom w:val="single" w:sz="4" w:space="0" w:color="auto"/>
            </w:tcBorders>
            <w:vAlign w:val="center"/>
            <w:hideMark/>
          </w:tcPr>
          <w:p w:rsidR="00E331A6" w:rsidRPr="007C045A" w:rsidRDefault="00E331A6" w:rsidP="00E331A6">
            <w:pPr>
              <w:autoSpaceDE w:val="0"/>
              <w:autoSpaceDN w:val="0"/>
              <w:adjustRightInd w:val="0"/>
              <w:spacing w:before="20" w:after="20"/>
              <w:jc w:val="center"/>
              <w:rPr>
                <w:bCs/>
              </w:rPr>
            </w:pPr>
            <w:r w:rsidRPr="007C045A">
              <w:rPr>
                <w:bCs/>
              </w:rPr>
              <w:t>Broward</w:t>
            </w:r>
          </w:p>
        </w:tc>
        <w:tc>
          <w:tcPr>
            <w:tcW w:w="1710" w:type="dxa"/>
            <w:tcBorders>
              <w:bottom w:val="single" w:sz="4" w:space="0" w:color="auto"/>
            </w:tcBorders>
            <w:vAlign w:val="center"/>
            <w:hideMark/>
          </w:tcPr>
          <w:p w:rsidR="00E331A6" w:rsidRPr="007C045A" w:rsidRDefault="00E331A6" w:rsidP="00E331A6">
            <w:pPr>
              <w:autoSpaceDE w:val="0"/>
              <w:autoSpaceDN w:val="0"/>
              <w:adjustRightInd w:val="0"/>
              <w:spacing w:before="20" w:after="20"/>
              <w:jc w:val="center"/>
              <w:rPr>
                <w:bCs/>
              </w:rPr>
            </w:pPr>
            <w:r w:rsidRPr="007C045A">
              <w:rPr>
                <w:bCs/>
              </w:rPr>
              <w:t>7.8</w:t>
            </w:r>
          </w:p>
        </w:tc>
      </w:tr>
      <w:tr w:rsidR="00E331A6" w:rsidRPr="00A105FB" w:rsidTr="002E7738">
        <w:trPr>
          <w:trHeight w:val="144"/>
        </w:trPr>
        <w:tc>
          <w:tcPr>
            <w:tcW w:w="3037" w:type="dxa"/>
            <w:shd w:val="clear" w:color="auto" w:fill="auto"/>
            <w:vAlign w:val="center"/>
            <w:hideMark/>
          </w:tcPr>
          <w:p w:rsidR="00E331A6" w:rsidRPr="007C045A" w:rsidRDefault="00E331A6" w:rsidP="00E331A6">
            <w:pPr>
              <w:autoSpaceDE w:val="0"/>
              <w:autoSpaceDN w:val="0"/>
              <w:adjustRightInd w:val="0"/>
              <w:spacing w:before="20" w:after="20"/>
              <w:jc w:val="center"/>
              <w:rPr>
                <w:bCs/>
              </w:rPr>
            </w:pPr>
            <w:r w:rsidRPr="007C045A">
              <w:rPr>
                <w:bCs/>
              </w:rPr>
              <w:t>G &amp; K Services</w:t>
            </w:r>
          </w:p>
        </w:tc>
        <w:tc>
          <w:tcPr>
            <w:tcW w:w="3420" w:type="dxa"/>
            <w:shd w:val="clear" w:color="auto" w:fill="auto"/>
            <w:vAlign w:val="center"/>
            <w:hideMark/>
          </w:tcPr>
          <w:p w:rsidR="00E331A6" w:rsidRPr="007C045A" w:rsidRDefault="00E331A6" w:rsidP="00E331A6">
            <w:pPr>
              <w:autoSpaceDE w:val="0"/>
              <w:autoSpaceDN w:val="0"/>
              <w:adjustRightInd w:val="0"/>
              <w:spacing w:before="20" w:after="20"/>
              <w:jc w:val="center"/>
              <w:rPr>
                <w:bCs/>
              </w:rPr>
            </w:pPr>
            <w:r w:rsidRPr="007C045A">
              <w:rPr>
                <w:bCs/>
              </w:rPr>
              <w:t>G &amp; K Services</w:t>
            </w:r>
          </w:p>
        </w:tc>
        <w:tc>
          <w:tcPr>
            <w:tcW w:w="1170" w:type="dxa"/>
            <w:shd w:val="clear" w:color="auto" w:fill="auto"/>
            <w:vAlign w:val="center"/>
            <w:hideMark/>
          </w:tcPr>
          <w:p w:rsidR="00E331A6" w:rsidRPr="007C045A" w:rsidRDefault="00E331A6" w:rsidP="00E331A6">
            <w:pPr>
              <w:autoSpaceDE w:val="0"/>
              <w:autoSpaceDN w:val="0"/>
              <w:adjustRightInd w:val="0"/>
              <w:spacing w:before="20" w:after="20"/>
              <w:jc w:val="center"/>
              <w:rPr>
                <w:bCs/>
              </w:rPr>
            </w:pPr>
            <w:r w:rsidRPr="007C045A">
              <w:rPr>
                <w:bCs/>
              </w:rPr>
              <w:t>Broward</w:t>
            </w:r>
          </w:p>
        </w:tc>
        <w:tc>
          <w:tcPr>
            <w:tcW w:w="1710" w:type="dxa"/>
            <w:shd w:val="clear" w:color="auto" w:fill="auto"/>
            <w:vAlign w:val="center"/>
            <w:hideMark/>
          </w:tcPr>
          <w:p w:rsidR="00E331A6" w:rsidRPr="007C045A" w:rsidRDefault="00E331A6" w:rsidP="00E331A6">
            <w:pPr>
              <w:autoSpaceDE w:val="0"/>
              <w:autoSpaceDN w:val="0"/>
              <w:adjustRightInd w:val="0"/>
              <w:spacing w:before="20" w:after="20"/>
              <w:jc w:val="center"/>
              <w:rPr>
                <w:bCs/>
              </w:rPr>
            </w:pPr>
            <w:r w:rsidRPr="007C045A">
              <w:rPr>
                <w:bCs/>
              </w:rPr>
              <w:t>1.9</w:t>
            </w:r>
          </w:p>
        </w:tc>
      </w:tr>
      <w:tr w:rsidR="00E331A6" w:rsidRPr="007C045A" w:rsidTr="002E7738">
        <w:trPr>
          <w:trHeight w:val="288"/>
        </w:trPr>
        <w:tc>
          <w:tcPr>
            <w:tcW w:w="9337" w:type="dxa"/>
            <w:gridSpan w:val="4"/>
            <w:tcBorders>
              <w:bottom w:val="single" w:sz="4" w:space="0" w:color="auto"/>
            </w:tcBorders>
            <w:vAlign w:val="center"/>
            <w:hideMark/>
          </w:tcPr>
          <w:p w:rsidR="00E331A6" w:rsidRPr="007C045A" w:rsidRDefault="00E331A6" w:rsidP="00E331A6">
            <w:pPr>
              <w:pStyle w:val="ListParagraph"/>
              <w:numPr>
                <w:ilvl w:val="0"/>
                <w:numId w:val="22"/>
              </w:numPr>
              <w:autoSpaceDE w:val="0"/>
              <w:autoSpaceDN w:val="0"/>
              <w:adjustRightInd w:val="0"/>
              <w:spacing w:before="20" w:after="20" w:line="276" w:lineRule="auto"/>
              <w:ind w:hanging="270"/>
              <w:rPr>
                <w:bCs/>
                <w:sz w:val="18"/>
                <w:szCs w:val="18"/>
              </w:rPr>
            </w:pPr>
            <w:r w:rsidRPr="007C045A">
              <w:rPr>
                <w:bCs/>
                <w:sz w:val="18"/>
                <w:szCs w:val="18"/>
              </w:rPr>
              <w:t>Based upon maximum potential emissions. Used data from Siemens F5 turbine.</w:t>
            </w:r>
          </w:p>
        </w:tc>
      </w:tr>
    </w:tbl>
    <w:p w:rsidR="00E331A6" w:rsidRPr="007C045A" w:rsidRDefault="007C045A" w:rsidP="007C045A">
      <w:pPr>
        <w:spacing w:before="120" w:after="120"/>
        <w:jc w:val="center"/>
        <w:rPr>
          <w:b/>
          <w:caps/>
          <w:sz w:val="22"/>
          <w:szCs w:val="22"/>
        </w:rPr>
      </w:pPr>
      <w:bookmarkStart w:id="40" w:name="_Ref371664927"/>
      <w:r w:rsidRPr="007C045A">
        <w:rPr>
          <w:b/>
          <w:caps/>
          <w:sz w:val="22"/>
          <w:szCs w:val="22"/>
        </w:rPr>
        <w:t xml:space="preserve">Table </w:t>
      </w:r>
      <w:r w:rsidRPr="007C045A">
        <w:rPr>
          <w:b/>
          <w:caps/>
          <w:sz w:val="22"/>
          <w:szCs w:val="22"/>
        </w:rPr>
        <w:fldChar w:fldCharType="begin"/>
      </w:r>
      <w:r w:rsidRPr="007C045A">
        <w:rPr>
          <w:b/>
          <w:caps/>
          <w:sz w:val="22"/>
          <w:szCs w:val="22"/>
        </w:rPr>
        <w:instrText xml:space="preserve"> SEQ Table \* ARABIC </w:instrText>
      </w:r>
      <w:r w:rsidRPr="007C045A">
        <w:rPr>
          <w:b/>
          <w:caps/>
          <w:sz w:val="22"/>
          <w:szCs w:val="22"/>
        </w:rPr>
        <w:fldChar w:fldCharType="separate"/>
      </w:r>
      <w:r w:rsidR="007F3589">
        <w:rPr>
          <w:b/>
          <w:caps/>
          <w:noProof/>
          <w:sz w:val="22"/>
          <w:szCs w:val="22"/>
        </w:rPr>
        <w:t>18</w:t>
      </w:r>
      <w:r w:rsidRPr="007C045A">
        <w:rPr>
          <w:b/>
          <w:caps/>
          <w:sz w:val="22"/>
          <w:szCs w:val="22"/>
        </w:rPr>
        <w:fldChar w:fldCharType="end"/>
      </w:r>
      <w:bookmarkEnd w:id="40"/>
      <w:r w:rsidRPr="007C045A">
        <w:rPr>
          <w:b/>
          <w:caps/>
          <w:sz w:val="22"/>
          <w:szCs w:val="22"/>
        </w:rPr>
        <w:t xml:space="preserve"> –</w:t>
      </w:r>
      <w:r>
        <w:rPr>
          <w:b/>
          <w:caps/>
          <w:sz w:val="22"/>
          <w:szCs w:val="22"/>
        </w:rPr>
        <w:t xml:space="preserve"> largest s</w:t>
      </w:r>
      <w:r w:rsidR="00E331A6" w:rsidRPr="007C045A">
        <w:rPr>
          <w:b/>
          <w:caps/>
          <w:sz w:val="22"/>
          <w:szCs w:val="22"/>
        </w:rPr>
        <w:t xml:space="preserve">ources of </w:t>
      </w:r>
      <w:r w:rsidRPr="007C045A">
        <w:rPr>
          <w:b/>
          <w:caps/>
          <w:sz w:val="22"/>
          <w:szCs w:val="22"/>
        </w:rPr>
        <w:t>vo</w:t>
      </w:r>
      <w:r>
        <w:rPr>
          <w:b/>
          <w:caps/>
          <w:sz w:val="22"/>
          <w:szCs w:val="22"/>
        </w:rPr>
        <w:t xml:space="preserve">c </w:t>
      </w:r>
      <w:r w:rsidR="00E331A6" w:rsidRPr="007C045A">
        <w:rPr>
          <w:b/>
          <w:caps/>
          <w:sz w:val="22"/>
          <w:szCs w:val="22"/>
        </w:rPr>
        <w:t xml:space="preserve">(2012) near the </w:t>
      </w:r>
      <w:r w:rsidRPr="007C045A">
        <w:rPr>
          <w:b/>
          <w:caps/>
          <w:sz w:val="22"/>
          <w:szCs w:val="22"/>
        </w:rPr>
        <w:t>lauderdale plant.</w:t>
      </w:r>
    </w:p>
    <w:tbl>
      <w:tblPr>
        <w:tblW w:w="93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7"/>
        <w:gridCol w:w="3420"/>
        <w:gridCol w:w="1170"/>
        <w:gridCol w:w="1710"/>
      </w:tblGrid>
      <w:tr w:rsidR="00D94C25" w:rsidRPr="003A3B75" w:rsidTr="002E7738">
        <w:trPr>
          <w:trHeight w:val="144"/>
        </w:trPr>
        <w:tc>
          <w:tcPr>
            <w:tcW w:w="3037" w:type="dxa"/>
            <w:shd w:val="clear" w:color="auto" w:fill="B8CCE4"/>
            <w:vAlign w:val="center"/>
            <w:hideMark/>
          </w:tcPr>
          <w:p w:rsidR="00D94C25" w:rsidRPr="00D94C25" w:rsidRDefault="00D94C25" w:rsidP="00D94C25">
            <w:pPr>
              <w:autoSpaceDE w:val="0"/>
              <w:autoSpaceDN w:val="0"/>
              <w:adjustRightInd w:val="0"/>
              <w:spacing w:before="20" w:after="20"/>
              <w:jc w:val="center"/>
              <w:rPr>
                <w:b/>
                <w:bCs/>
                <w:u w:val="single"/>
              </w:rPr>
            </w:pPr>
            <w:r w:rsidRPr="00D94C25">
              <w:rPr>
                <w:b/>
                <w:bCs/>
                <w:u w:val="single"/>
              </w:rPr>
              <w:t>Owner/Company Name</w:t>
            </w:r>
          </w:p>
        </w:tc>
        <w:tc>
          <w:tcPr>
            <w:tcW w:w="3420" w:type="dxa"/>
            <w:shd w:val="clear" w:color="auto" w:fill="B8CCE4"/>
            <w:vAlign w:val="center"/>
            <w:hideMark/>
          </w:tcPr>
          <w:p w:rsidR="00D94C25" w:rsidRPr="00D94C25" w:rsidRDefault="00D94C25" w:rsidP="00D94C25">
            <w:pPr>
              <w:autoSpaceDE w:val="0"/>
              <w:autoSpaceDN w:val="0"/>
              <w:adjustRightInd w:val="0"/>
              <w:spacing w:before="20" w:after="20"/>
              <w:jc w:val="center"/>
              <w:rPr>
                <w:b/>
                <w:bCs/>
                <w:u w:val="single"/>
              </w:rPr>
            </w:pPr>
            <w:r w:rsidRPr="00D94C25">
              <w:rPr>
                <w:b/>
                <w:bCs/>
                <w:u w:val="single"/>
              </w:rPr>
              <w:t>Site Name</w:t>
            </w:r>
          </w:p>
        </w:tc>
        <w:tc>
          <w:tcPr>
            <w:tcW w:w="1170" w:type="dxa"/>
            <w:shd w:val="clear" w:color="auto" w:fill="B8CCE4"/>
            <w:vAlign w:val="center"/>
            <w:hideMark/>
          </w:tcPr>
          <w:p w:rsidR="00D94C25" w:rsidRPr="00D94C25" w:rsidRDefault="00D94C25" w:rsidP="00D94C25">
            <w:pPr>
              <w:autoSpaceDE w:val="0"/>
              <w:autoSpaceDN w:val="0"/>
              <w:adjustRightInd w:val="0"/>
              <w:spacing w:before="20" w:after="20"/>
              <w:jc w:val="center"/>
              <w:rPr>
                <w:b/>
                <w:bCs/>
                <w:u w:val="single"/>
              </w:rPr>
            </w:pPr>
            <w:r w:rsidRPr="00D94C25">
              <w:rPr>
                <w:b/>
                <w:bCs/>
                <w:u w:val="single"/>
              </w:rPr>
              <w:t>County</w:t>
            </w:r>
          </w:p>
        </w:tc>
        <w:tc>
          <w:tcPr>
            <w:tcW w:w="1710" w:type="dxa"/>
            <w:shd w:val="clear" w:color="auto" w:fill="B8CCE4"/>
            <w:vAlign w:val="center"/>
            <w:hideMark/>
          </w:tcPr>
          <w:p w:rsidR="00D94C25" w:rsidRPr="00D94C25" w:rsidRDefault="00D94C25" w:rsidP="00D94C25">
            <w:pPr>
              <w:autoSpaceDE w:val="0"/>
              <w:autoSpaceDN w:val="0"/>
              <w:adjustRightInd w:val="0"/>
              <w:spacing w:before="20" w:after="20"/>
              <w:jc w:val="center"/>
              <w:rPr>
                <w:b/>
                <w:bCs/>
                <w:u w:val="single"/>
              </w:rPr>
            </w:pPr>
            <w:r w:rsidRPr="00D94C25">
              <w:rPr>
                <w:b/>
                <w:bCs/>
                <w:u w:val="single"/>
              </w:rPr>
              <w:t>Emissions (TPY)</w:t>
            </w:r>
          </w:p>
        </w:tc>
      </w:tr>
      <w:tr w:rsidR="00D94C25" w:rsidRPr="003A3B75" w:rsidTr="002E7738">
        <w:trPr>
          <w:trHeight w:val="144"/>
        </w:trPr>
        <w:tc>
          <w:tcPr>
            <w:tcW w:w="3037" w:type="dxa"/>
            <w:tcBorders>
              <w:bottom w:val="single" w:sz="4" w:space="0" w:color="auto"/>
            </w:tcBorders>
            <w:shd w:val="clear" w:color="auto" w:fill="auto"/>
            <w:vAlign w:val="center"/>
            <w:hideMark/>
          </w:tcPr>
          <w:p w:rsidR="00D94C25" w:rsidRPr="00D94C25" w:rsidRDefault="00D94C25" w:rsidP="00D94C25">
            <w:pPr>
              <w:autoSpaceDE w:val="0"/>
              <w:autoSpaceDN w:val="0"/>
              <w:adjustRightInd w:val="0"/>
              <w:spacing w:before="20" w:after="20"/>
              <w:jc w:val="center"/>
              <w:rPr>
                <w:bCs/>
              </w:rPr>
            </w:pPr>
            <w:r w:rsidRPr="00D94C25">
              <w:rPr>
                <w:bCs/>
              </w:rPr>
              <w:t>FP&amp;L</w:t>
            </w:r>
          </w:p>
        </w:tc>
        <w:tc>
          <w:tcPr>
            <w:tcW w:w="3420" w:type="dxa"/>
            <w:tcBorders>
              <w:bottom w:val="single" w:sz="4" w:space="0" w:color="auto"/>
            </w:tcBorders>
            <w:shd w:val="clear" w:color="auto" w:fill="auto"/>
            <w:vAlign w:val="center"/>
            <w:hideMark/>
          </w:tcPr>
          <w:p w:rsidR="00D94C25" w:rsidRPr="00D94C25" w:rsidRDefault="00D94C25" w:rsidP="00D94C25">
            <w:pPr>
              <w:autoSpaceDE w:val="0"/>
              <w:autoSpaceDN w:val="0"/>
              <w:adjustRightInd w:val="0"/>
              <w:spacing w:before="20" w:after="20"/>
              <w:jc w:val="center"/>
              <w:rPr>
                <w:bCs/>
              </w:rPr>
            </w:pPr>
            <w:r w:rsidRPr="00D94C25">
              <w:rPr>
                <w:bCs/>
              </w:rPr>
              <w:t>Port Everglades Power Plant</w:t>
            </w:r>
          </w:p>
        </w:tc>
        <w:tc>
          <w:tcPr>
            <w:tcW w:w="1170" w:type="dxa"/>
            <w:tcBorders>
              <w:bottom w:val="single" w:sz="4" w:space="0" w:color="auto"/>
            </w:tcBorders>
            <w:shd w:val="clear" w:color="auto" w:fill="auto"/>
            <w:vAlign w:val="center"/>
            <w:hideMark/>
          </w:tcPr>
          <w:p w:rsidR="00D94C25" w:rsidRPr="00D94C25" w:rsidRDefault="00D94C25" w:rsidP="00D94C25">
            <w:pPr>
              <w:autoSpaceDE w:val="0"/>
              <w:autoSpaceDN w:val="0"/>
              <w:adjustRightInd w:val="0"/>
              <w:spacing w:before="20" w:after="20"/>
              <w:jc w:val="center"/>
              <w:rPr>
                <w:bCs/>
              </w:rPr>
            </w:pPr>
            <w:r w:rsidRPr="00D94C25">
              <w:rPr>
                <w:bCs/>
              </w:rPr>
              <w:t>Broward</w:t>
            </w:r>
          </w:p>
        </w:tc>
        <w:tc>
          <w:tcPr>
            <w:tcW w:w="1710" w:type="dxa"/>
            <w:tcBorders>
              <w:bottom w:val="single" w:sz="4" w:space="0" w:color="auto"/>
            </w:tcBorders>
            <w:shd w:val="clear" w:color="auto" w:fill="auto"/>
            <w:vAlign w:val="center"/>
            <w:hideMark/>
          </w:tcPr>
          <w:p w:rsidR="00D94C25" w:rsidRPr="00D94C25" w:rsidRDefault="00D94C25" w:rsidP="00D94C25">
            <w:pPr>
              <w:autoSpaceDE w:val="0"/>
              <w:autoSpaceDN w:val="0"/>
              <w:adjustRightInd w:val="0"/>
              <w:spacing w:before="20" w:after="20"/>
              <w:jc w:val="center"/>
              <w:rPr>
                <w:bCs/>
              </w:rPr>
            </w:pPr>
            <w:r w:rsidRPr="00D94C25">
              <w:rPr>
                <w:bCs/>
              </w:rPr>
              <w:t>384.1</w:t>
            </w:r>
          </w:p>
        </w:tc>
      </w:tr>
      <w:tr w:rsidR="00CF6969" w:rsidRPr="003A3B75" w:rsidTr="002E7738">
        <w:trPr>
          <w:trHeight w:val="144"/>
        </w:trPr>
        <w:tc>
          <w:tcPr>
            <w:tcW w:w="3037" w:type="dxa"/>
            <w:tcBorders>
              <w:bottom w:val="single" w:sz="4" w:space="0" w:color="auto"/>
            </w:tcBorders>
            <w:shd w:val="clear" w:color="auto" w:fill="auto"/>
            <w:vAlign w:val="center"/>
          </w:tcPr>
          <w:p w:rsidR="00CF6969" w:rsidRPr="00D94C25" w:rsidRDefault="00CF6969" w:rsidP="00CF6969">
            <w:pPr>
              <w:autoSpaceDE w:val="0"/>
              <w:autoSpaceDN w:val="0"/>
              <w:adjustRightInd w:val="0"/>
              <w:spacing w:before="20" w:after="20"/>
              <w:jc w:val="center"/>
              <w:rPr>
                <w:bCs/>
              </w:rPr>
            </w:pPr>
            <w:r w:rsidRPr="00D94C25">
              <w:rPr>
                <w:bCs/>
              </w:rPr>
              <w:t>Wheelabrator South Broward, INC</w:t>
            </w:r>
          </w:p>
        </w:tc>
        <w:tc>
          <w:tcPr>
            <w:tcW w:w="3420" w:type="dxa"/>
            <w:tcBorders>
              <w:bottom w:val="single" w:sz="4" w:space="0" w:color="auto"/>
            </w:tcBorders>
            <w:shd w:val="clear" w:color="auto" w:fill="auto"/>
            <w:vAlign w:val="center"/>
          </w:tcPr>
          <w:p w:rsidR="00CF6969" w:rsidRPr="00D94C25" w:rsidRDefault="00CF6969" w:rsidP="00CF6969">
            <w:pPr>
              <w:autoSpaceDE w:val="0"/>
              <w:autoSpaceDN w:val="0"/>
              <w:adjustRightInd w:val="0"/>
              <w:spacing w:before="20" w:after="20"/>
              <w:jc w:val="center"/>
              <w:rPr>
                <w:bCs/>
              </w:rPr>
            </w:pPr>
            <w:r w:rsidRPr="00D94C25">
              <w:rPr>
                <w:bCs/>
              </w:rPr>
              <w:t>Wheelabrator South Broward</w:t>
            </w:r>
          </w:p>
        </w:tc>
        <w:tc>
          <w:tcPr>
            <w:tcW w:w="1170" w:type="dxa"/>
            <w:tcBorders>
              <w:bottom w:val="single" w:sz="4" w:space="0" w:color="auto"/>
            </w:tcBorders>
            <w:shd w:val="clear" w:color="auto" w:fill="auto"/>
            <w:vAlign w:val="center"/>
          </w:tcPr>
          <w:p w:rsidR="00CF6969" w:rsidRPr="00D94C25" w:rsidRDefault="00CF6969" w:rsidP="00CF6969">
            <w:pPr>
              <w:autoSpaceDE w:val="0"/>
              <w:autoSpaceDN w:val="0"/>
              <w:adjustRightInd w:val="0"/>
              <w:spacing w:before="20" w:after="20"/>
              <w:jc w:val="center"/>
              <w:rPr>
                <w:bCs/>
              </w:rPr>
            </w:pPr>
            <w:r w:rsidRPr="00D94C25">
              <w:rPr>
                <w:bCs/>
              </w:rPr>
              <w:t>Broward</w:t>
            </w:r>
          </w:p>
        </w:tc>
        <w:tc>
          <w:tcPr>
            <w:tcW w:w="1710" w:type="dxa"/>
            <w:tcBorders>
              <w:bottom w:val="single" w:sz="4" w:space="0" w:color="auto"/>
            </w:tcBorders>
            <w:shd w:val="clear" w:color="auto" w:fill="auto"/>
            <w:vAlign w:val="center"/>
          </w:tcPr>
          <w:p w:rsidR="00CF6969" w:rsidRPr="00D94C25" w:rsidRDefault="00CF6969" w:rsidP="00CF6969">
            <w:pPr>
              <w:autoSpaceDE w:val="0"/>
              <w:autoSpaceDN w:val="0"/>
              <w:adjustRightInd w:val="0"/>
              <w:spacing w:before="20" w:after="20"/>
              <w:jc w:val="center"/>
              <w:rPr>
                <w:bCs/>
              </w:rPr>
            </w:pPr>
            <w:r w:rsidRPr="00D94C25">
              <w:rPr>
                <w:bCs/>
              </w:rPr>
              <w:t>77.8</w:t>
            </w:r>
          </w:p>
        </w:tc>
      </w:tr>
      <w:tr w:rsidR="00CF6969" w:rsidRPr="003A3B75" w:rsidTr="002E7738">
        <w:trPr>
          <w:trHeight w:val="144"/>
        </w:trPr>
        <w:tc>
          <w:tcPr>
            <w:tcW w:w="3037" w:type="dxa"/>
            <w:tcBorders>
              <w:bottom w:val="single" w:sz="4" w:space="0" w:color="auto"/>
            </w:tcBorders>
            <w:shd w:val="clear" w:color="auto" w:fill="auto"/>
            <w:vAlign w:val="center"/>
            <w:hideMark/>
          </w:tcPr>
          <w:p w:rsidR="00CF6969" w:rsidRPr="00D94C25" w:rsidRDefault="00CF6969" w:rsidP="00CF6969">
            <w:pPr>
              <w:autoSpaceDE w:val="0"/>
              <w:autoSpaceDN w:val="0"/>
              <w:adjustRightInd w:val="0"/>
              <w:spacing w:before="20" w:after="20"/>
              <w:jc w:val="center"/>
              <w:rPr>
                <w:b/>
                <w:bCs/>
              </w:rPr>
            </w:pPr>
            <w:r w:rsidRPr="00D94C25">
              <w:rPr>
                <w:b/>
                <w:bCs/>
              </w:rPr>
              <w:t>FP&amp;L</w:t>
            </w:r>
          </w:p>
        </w:tc>
        <w:tc>
          <w:tcPr>
            <w:tcW w:w="3420" w:type="dxa"/>
            <w:tcBorders>
              <w:bottom w:val="single" w:sz="4" w:space="0" w:color="auto"/>
            </w:tcBorders>
            <w:shd w:val="clear" w:color="auto" w:fill="auto"/>
            <w:vAlign w:val="center"/>
            <w:hideMark/>
          </w:tcPr>
          <w:p w:rsidR="00CF6969" w:rsidRPr="00D94C25" w:rsidRDefault="00CF6969" w:rsidP="00CF6969">
            <w:pPr>
              <w:autoSpaceDE w:val="0"/>
              <w:autoSpaceDN w:val="0"/>
              <w:adjustRightInd w:val="0"/>
              <w:spacing w:before="20" w:after="20"/>
              <w:jc w:val="center"/>
              <w:rPr>
                <w:b/>
                <w:bCs/>
              </w:rPr>
            </w:pPr>
            <w:r w:rsidRPr="00D94C25">
              <w:rPr>
                <w:b/>
                <w:bCs/>
              </w:rPr>
              <w:t>Lauderdale Project</w:t>
            </w:r>
          </w:p>
        </w:tc>
        <w:tc>
          <w:tcPr>
            <w:tcW w:w="1170" w:type="dxa"/>
            <w:tcBorders>
              <w:bottom w:val="single" w:sz="4" w:space="0" w:color="auto"/>
            </w:tcBorders>
            <w:shd w:val="clear" w:color="auto" w:fill="auto"/>
            <w:vAlign w:val="center"/>
            <w:hideMark/>
          </w:tcPr>
          <w:p w:rsidR="00CF6969" w:rsidRPr="00D94C25" w:rsidRDefault="00CF6969" w:rsidP="00CF6969">
            <w:pPr>
              <w:autoSpaceDE w:val="0"/>
              <w:autoSpaceDN w:val="0"/>
              <w:adjustRightInd w:val="0"/>
              <w:spacing w:before="20" w:after="20"/>
              <w:jc w:val="center"/>
              <w:rPr>
                <w:b/>
                <w:bCs/>
              </w:rPr>
            </w:pPr>
            <w:r w:rsidRPr="00D94C25">
              <w:rPr>
                <w:b/>
                <w:bCs/>
              </w:rPr>
              <w:t>Broward</w:t>
            </w:r>
          </w:p>
        </w:tc>
        <w:tc>
          <w:tcPr>
            <w:tcW w:w="1710" w:type="dxa"/>
            <w:tcBorders>
              <w:bottom w:val="single" w:sz="4" w:space="0" w:color="auto"/>
            </w:tcBorders>
            <w:shd w:val="clear" w:color="auto" w:fill="auto"/>
            <w:vAlign w:val="center"/>
            <w:hideMark/>
          </w:tcPr>
          <w:p w:rsidR="00CF6969" w:rsidRPr="00D94C25" w:rsidRDefault="00CF6969" w:rsidP="00CF6969">
            <w:pPr>
              <w:autoSpaceDE w:val="0"/>
              <w:autoSpaceDN w:val="0"/>
              <w:adjustRightInd w:val="0"/>
              <w:spacing w:before="20" w:after="20"/>
              <w:jc w:val="center"/>
              <w:rPr>
                <w:b/>
                <w:bCs/>
              </w:rPr>
            </w:pPr>
            <w:r>
              <w:rPr>
                <w:b/>
                <w:bCs/>
              </w:rPr>
              <w:t>69.9</w:t>
            </w:r>
            <w:r w:rsidRPr="00D94C25">
              <w:rPr>
                <w:b/>
                <w:bCs/>
              </w:rPr>
              <w:t xml:space="preserve"> </w:t>
            </w:r>
            <w:r w:rsidRPr="00D94C25">
              <w:rPr>
                <w:b/>
                <w:bCs/>
                <w:vertAlign w:val="superscript"/>
              </w:rPr>
              <w:t>a</w:t>
            </w:r>
          </w:p>
        </w:tc>
      </w:tr>
      <w:tr w:rsidR="00CF6969" w:rsidRPr="003A3B75" w:rsidTr="002E7738">
        <w:trPr>
          <w:trHeight w:val="144"/>
        </w:trPr>
        <w:tc>
          <w:tcPr>
            <w:tcW w:w="3037" w:type="dxa"/>
            <w:tcBorders>
              <w:bottom w:val="single" w:sz="4" w:space="0" w:color="auto"/>
            </w:tcBorders>
            <w:vAlign w:val="center"/>
            <w:hideMark/>
          </w:tcPr>
          <w:p w:rsidR="00CF6969" w:rsidRPr="00D94C25" w:rsidRDefault="00CF6969" w:rsidP="00CF6969">
            <w:pPr>
              <w:autoSpaceDE w:val="0"/>
              <w:autoSpaceDN w:val="0"/>
              <w:adjustRightInd w:val="0"/>
              <w:spacing w:before="20" w:after="20"/>
              <w:jc w:val="center"/>
              <w:rPr>
                <w:bCs/>
              </w:rPr>
            </w:pPr>
            <w:r w:rsidRPr="00D94C25">
              <w:rPr>
                <w:bCs/>
              </w:rPr>
              <w:t>FP&amp;L</w:t>
            </w:r>
          </w:p>
        </w:tc>
        <w:tc>
          <w:tcPr>
            <w:tcW w:w="3420" w:type="dxa"/>
            <w:tcBorders>
              <w:bottom w:val="single" w:sz="4" w:space="0" w:color="auto"/>
            </w:tcBorders>
            <w:vAlign w:val="center"/>
            <w:hideMark/>
          </w:tcPr>
          <w:p w:rsidR="00CF6969" w:rsidRPr="00D94C25" w:rsidRDefault="00CF6969" w:rsidP="00CF6969">
            <w:pPr>
              <w:autoSpaceDE w:val="0"/>
              <w:autoSpaceDN w:val="0"/>
              <w:adjustRightInd w:val="0"/>
              <w:spacing w:before="20" w:after="20"/>
              <w:jc w:val="center"/>
              <w:rPr>
                <w:bCs/>
              </w:rPr>
            </w:pPr>
            <w:r w:rsidRPr="00D94C25">
              <w:rPr>
                <w:bCs/>
              </w:rPr>
              <w:t>Fort Lauderdale Power Plant (Existing)</w:t>
            </w:r>
          </w:p>
        </w:tc>
        <w:tc>
          <w:tcPr>
            <w:tcW w:w="1170" w:type="dxa"/>
            <w:tcBorders>
              <w:bottom w:val="single" w:sz="4" w:space="0" w:color="auto"/>
            </w:tcBorders>
            <w:vAlign w:val="center"/>
            <w:hideMark/>
          </w:tcPr>
          <w:p w:rsidR="00CF6969" w:rsidRPr="00D94C25" w:rsidRDefault="00CF6969" w:rsidP="00CF6969">
            <w:pPr>
              <w:autoSpaceDE w:val="0"/>
              <w:autoSpaceDN w:val="0"/>
              <w:adjustRightInd w:val="0"/>
              <w:spacing w:before="20" w:after="20"/>
              <w:jc w:val="center"/>
              <w:rPr>
                <w:bCs/>
              </w:rPr>
            </w:pPr>
            <w:r w:rsidRPr="00D94C25">
              <w:rPr>
                <w:bCs/>
              </w:rPr>
              <w:t>Broward</w:t>
            </w:r>
          </w:p>
        </w:tc>
        <w:tc>
          <w:tcPr>
            <w:tcW w:w="1710" w:type="dxa"/>
            <w:tcBorders>
              <w:bottom w:val="single" w:sz="4" w:space="0" w:color="auto"/>
            </w:tcBorders>
            <w:vAlign w:val="center"/>
            <w:hideMark/>
          </w:tcPr>
          <w:p w:rsidR="00CF6969" w:rsidRPr="00D94C25" w:rsidRDefault="00CF6969" w:rsidP="00CF6969">
            <w:pPr>
              <w:autoSpaceDE w:val="0"/>
              <w:autoSpaceDN w:val="0"/>
              <w:adjustRightInd w:val="0"/>
              <w:spacing w:before="20" w:after="20"/>
              <w:jc w:val="center"/>
              <w:rPr>
                <w:bCs/>
              </w:rPr>
            </w:pPr>
            <w:r w:rsidRPr="00D94C25">
              <w:rPr>
                <w:bCs/>
              </w:rPr>
              <w:t>11.0</w:t>
            </w:r>
          </w:p>
        </w:tc>
      </w:tr>
      <w:tr w:rsidR="00CF6969" w:rsidRPr="003A3B75" w:rsidTr="002E7738">
        <w:trPr>
          <w:trHeight w:val="144"/>
        </w:trPr>
        <w:tc>
          <w:tcPr>
            <w:tcW w:w="3037" w:type="dxa"/>
            <w:vAlign w:val="center"/>
            <w:hideMark/>
          </w:tcPr>
          <w:p w:rsidR="00CF6969" w:rsidRPr="00D94C25" w:rsidRDefault="00CF6969" w:rsidP="00CF6969">
            <w:pPr>
              <w:autoSpaceDE w:val="0"/>
              <w:autoSpaceDN w:val="0"/>
              <w:adjustRightInd w:val="0"/>
              <w:spacing w:before="20" w:after="20"/>
              <w:jc w:val="center"/>
              <w:rPr>
                <w:bCs/>
              </w:rPr>
            </w:pPr>
            <w:r w:rsidRPr="00D94C25">
              <w:rPr>
                <w:bCs/>
              </w:rPr>
              <w:t>High Sierra Terminaling LLC</w:t>
            </w:r>
          </w:p>
        </w:tc>
        <w:tc>
          <w:tcPr>
            <w:tcW w:w="3420" w:type="dxa"/>
            <w:vAlign w:val="center"/>
            <w:hideMark/>
          </w:tcPr>
          <w:p w:rsidR="00CF6969" w:rsidRPr="00D94C25" w:rsidRDefault="00CF6969" w:rsidP="00CF6969">
            <w:pPr>
              <w:autoSpaceDE w:val="0"/>
              <w:autoSpaceDN w:val="0"/>
              <w:adjustRightInd w:val="0"/>
              <w:spacing w:before="20" w:after="20"/>
              <w:jc w:val="center"/>
              <w:rPr>
                <w:bCs/>
              </w:rPr>
            </w:pPr>
            <w:r w:rsidRPr="00D94C25">
              <w:rPr>
                <w:bCs/>
              </w:rPr>
              <w:t>High Sierra Terminaling LLC</w:t>
            </w:r>
          </w:p>
        </w:tc>
        <w:tc>
          <w:tcPr>
            <w:tcW w:w="1170" w:type="dxa"/>
            <w:vAlign w:val="center"/>
            <w:hideMark/>
          </w:tcPr>
          <w:p w:rsidR="00CF6969" w:rsidRPr="00D94C25" w:rsidRDefault="00CF6969" w:rsidP="00CF6969">
            <w:pPr>
              <w:autoSpaceDE w:val="0"/>
              <w:autoSpaceDN w:val="0"/>
              <w:adjustRightInd w:val="0"/>
              <w:spacing w:before="20" w:after="20"/>
              <w:jc w:val="center"/>
              <w:rPr>
                <w:bCs/>
              </w:rPr>
            </w:pPr>
            <w:r w:rsidRPr="00D94C25">
              <w:rPr>
                <w:bCs/>
              </w:rPr>
              <w:t>Broward</w:t>
            </w:r>
          </w:p>
        </w:tc>
        <w:tc>
          <w:tcPr>
            <w:tcW w:w="1710" w:type="dxa"/>
            <w:vAlign w:val="center"/>
            <w:hideMark/>
          </w:tcPr>
          <w:p w:rsidR="00CF6969" w:rsidRPr="00D94C25" w:rsidRDefault="00CF6969" w:rsidP="00CF6969">
            <w:pPr>
              <w:autoSpaceDE w:val="0"/>
              <w:autoSpaceDN w:val="0"/>
              <w:adjustRightInd w:val="0"/>
              <w:spacing w:before="20" w:after="20"/>
              <w:jc w:val="center"/>
              <w:rPr>
                <w:bCs/>
              </w:rPr>
            </w:pPr>
            <w:r w:rsidRPr="00D94C25">
              <w:rPr>
                <w:bCs/>
              </w:rPr>
              <w:t>3.4</w:t>
            </w:r>
          </w:p>
        </w:tc>
      </w:tr>
      <w:tr w:rsidR="00CF6969" w:rsidRPr="003A3B75" w:rsidTr="002E7738">
        <w:trPr>
          <w:trHeight w:val="288"/>
        </w:trPr>
        <w:tc>
          <w:tcPr>
            <w:tcW w:w="9337" w:type="dxa"/>
            <w:gridSpan w:val="4"/>
            <w:tcBorders>
              <w:bottom w:val="single" w:sz="4" w:space="0" w:color="auto"/>
            </w:tcBorders>
            <w:vAlign w:val="center"/>
            <w:hideMark/>
          </w:tcPr>
          <w:p w:rsidR="00CF6969" w:rsidRPr="00D94C25" w:rsidRDefault="00CF6969" w:rsidP="00CF6969">
            <w:pPr>
              <w:pStyle w:val="ListParagraph"/>
              <w:numPr>
                <w:ilvl w:val="0"/>
                <w:numId w:val="23"/>
              </w:numPr>
              <w:autoSpaceDE w:val="0"/>
              <w:autoSpaceDN w:val="0"/>
              <w:adjustRightInd w:val="0"/>
              <w:spacing w:before="20" w:after="20" w:line="276" w:lineRule="auto"/>
              <w:ind w:hanging="270"/>
              <w:rPr>
                <w:bCs/>
                <w:sz w:val="18"/>
                <w:szCs w:val="18"/>
              </w:rPr>
            </w:pPr>
            <w:r w:rsidRPr="00D94C25">
              <w:rPr>
                <w:bCs/>
                <w:sz w:val="18"/>
                <w:szCs w:val="18"/>
              </w:rPr>
              <w:t>Based upon maximum potential emissions. Us</w:t>
            </w:r>
            <w:r>
              <w:rPr>
                <w:bCs/>
                <w:sz w:val="18"/>
                <w:szCs w:val="18"/>
              </w:rPr>
              <w:t>ed data from Siemens F5 turbine</w:t>
            </w:r>
            <w:r w:rsidRPr="00D94C25">
              <w:rPr>
                <w:bCs/>
                <w:sz w:val="18"/>
                <w:szCs w:val="18"/>
              </w:rPr>
              <w:t>.</w:t>
            </w:r>
          </w:p>
        </w:tc>
      </w:tr>
    </w:tbl>
    <w:p w:rsidR="00E331A6" w:rsidRPr="00A105FB" w:rsidRDefault="00D94C25" w:rsidP="0074001E">
      <w:pPr>
        <w:autoSpaceDE w:val="0"/>
        <w:autoSpaceDN w:val="0"/>
        <w:adjustRightInd w:val="0"/>
        <w:spacing w:before="120" w:after="120"/>
        <w:rPr>
          <w:sz w:val="22"/>
          <w:szCs w:val="22"/>
        </w:rPr>
      </w:pPr>
      <w:r w:rsidRPr="00D94C25">
        <w:rPr>
          <w:sz w:val="22"/>
          <w:szCs w:val="22"/>
        </w:rPr>
        <w:t>In order to determine which sources could s</w:t>
      </w:r>
      <w:r w:rsidR="003807DD">
        <w:rPr>
          <w:sz w:val="22"/>
          <w:szCs w:val="22"/>
        </w:rPr>
        <w:t>ignificantly interact with the p</w:t>
      </w:r>
      <w:r w:rsidRPr="00D94C25">
        <w:rPr>
          <w:sz w:val="22"/>
          <w:szCs w:val="22"/>
        </w:rPr>
        <w:t>roject’s PM</w:t>
      </w:r>
      <w:r w:rsidRPr="00D94C25">
        <w:rPr>
          <w:sz w:val="22"/>
          <w:szCs w:val="22"/>
          <w:vertAlign w:val="subscript"/>
        </w:rPr>
        <w:t xml:space="preserve">2.5 </w:t>
      </w:r>
      <w:r w:rsidRPr="00D94C25">
        <w:rPr>
          <w:sz w:val="22"/>
          <w:szCs w:val="22"/>
        </w:rPr>
        <w:t xml:space="preserve">emissions, a screening technique called the “20D approach” was used. </w:t>
      </w:r>
      <w:r>
        <w:rPr>
          <w:sz w:val="22"/>
          <w:szCs w:val="22"/>
        </w:rPr>
        <w:t xml:space="preserve"> </w:t>
      </w:r>
      <w:r w:rsidRPr="00D94C25">
        <w:rPr>
          <w:sz w:val="22"/>
          <w:szCs w:val="22"/>
        </w:rPr>
        <w:t>This technique is a quantifiable approach to relate a source’s emis</w:t>
      </w:r>
      <w:r w:rsidR="003807DD">
        <w:rPr>
          <w:sz w:val="22"/>
          <w:szCs w:val="22"/>
        </w:rPr>
        <w:t>sions to the distance from the p</w:t>
      </w:r>
      <w:r w:rsidRPr="00D94C25">
        <w:rPr>
          <w:sz w:val="22"/>
          <w:szCs w:val="22"/>
        </w:rPr>
        <w:t xml:space="preserve">roject site. </w:t>
      </w:r>
      <w:r>
        <w:rPr>
          <w:sz w:val="22"/>
          <w:szCs w:val="22"/>
        </w:rPr>
        <w:t xml:space="preserve"> </w:t>
      </w:r>
      <w:r w:rsidRPr="00D94C25">
        <w:rPr>
          <w:sz w:val="22"/>
          <w:szCs w:val="22"/>
        </w:rPr>
        <w:t xml:space="preserve">Facilities whose annual emissions are greater than a threshold value are included in the cumulative modeling analysis. </w:t>
      </w:r>
      <w:r>
        <w:rPr>
          <w:sz w:val="22"/>
          <w:szCs w:val="22"/>
        </w:rPr>
        <w:t xml:space="preserve"> </w:t>
      </w:r>
      <w:r w:rsidRPr="00D94C25">
        <w:rPr>
          <w:sz w:val="22"/>
          <w:szCs w:val="22"/>
        </w:rPr>
        <w:t xml:space="preserve">The facilities that exceed this level are deemed “major sources”, and are included in the cumulative modeling analysis.  In addition, the department evaluated other sources outside the “20D” criteria in making the final determination of sources to include in the modeling.  No other sources were predicted to have a significant </w:t>
      </w:r>
      <w:r w:rsidR="005A6E9C">
        <w:rPr>
          <w:sz w:val="22"/>
          <w:szCs w:val="22"/>
        </w:rPr>
        <w:t>impact in conjunction with the p</w:t>
      </w:r>
      <w:r w:rsidRPr="00D94C25">
        <w:rPr>
          <w:sz w:val="22"/>
          <w:szCs w:val="22"/>
        </w:rPr>
        <w:t>roject’s emissions.  The sources included in the NO</w:t>
      </w:r>
      <w:r w:rsidRPr="00D94C25">
        <w:rPr>
          <w:sz w:val="22"/>
          <w:szCs w:val="22"/>
          <w:vertAlign w:val="subscript"/>
        </w:rPr>
        <w:t>2</w:t>
      </w:r>
      <w:r w:rsidRPr="00D94C25">
        <w:rPr>
          <w:sz w:val="22"/>
          <w:szCs w:val="22"/>
        </w:rPr>
        <w:t xml:space="preserve"> and PM</w:t>
      </w:r>
      <w:r w:rsidRPr="00D94C25">
        <w:rPr>
          <w:sz w:val="22"/>
          <w:szCs w:val="22"/>
          <w:vertAlign w:val="subscript"/>
        </w:rPr>
        <w:t>2.5</w:t>
      </w:r>
      <w:r w:rsidRPr="00D94C25">
        <w:rPr>
          <w:sz w:val="22"/>
          <w:szCs w:val="22"/>
        </w:rPr>
        <w:t xml:space="preserve"> modeling analysis are shown in</w:t>
      </w:r>
      <w:r w:rsidR="00E331A6" w:rsidRPr="00A105FB">
        <w:rPr>
          <w:sz w:val="22"/>
          <w:szCs w:val="22"/>
        </w:rPr>
        <w:t xml:space="preserve"> </w:t>
      </w:r>
      <w:r w:rsidR="007C045A">
        <w:rPr>
          <w:sz w:val="22"/>
          <w:szCs w:val="22"/>
        </w:rPr>
        <w:fldChar w:fldCharType="begin"/>
      </w:r>
      <w:r w:rsidR="007C045A">
        <w:rPr>
          <w:sz w:val="22"/>
          <w:szCs w:val="22"/>
        </w:rPr>
        <w:instrText xml:space="preserve"> REF _Ref371664891 \h </w:instrText>
      </w:r>
      <w:r w:rsidR="007C045A">
        <w:rPr>
          <w:sz w:val="22"/>
          <w:szCs w:val="22"/>
        </w:rPr>
      </w:r>
      <w:r w:rsidR="007C045A">
        <w:rPr>
          <w:sz w:val="22"/>
          <w:szCs w:val="22"/>
        </w:rPr>
        <w:fldChar w:fldCharType="separate"/>
      </w:r>
      <w:r w:rsidR="007F3589" w:rsidRPr="007C045A">
        <w:rPr>
          <w:b/>
          <w:sz w:val="22"/>
          <w:szCs w:val="22"/>
        </w:rPr>
        <w:t xml:space="preserve">Figure </w:t>
      </w:r>
      <w:r w:rsidR="007F3589">
        <w:rPr>
          <w:b/>
          <w:noProof/>
          <w:sz w:val="22"/>
          <w:szCs w:val="22"/>
        </w:rPr>
        <w:t>20</w:t>
      </w:r>
      <w:r w:rsidR="007C045A">
        <w:rPr>
          <w:sz w:val="22"/>
          <w:szCs w:val="22"/>
        </w:rPr>
        <w:fldChar w:fldCharType="end"/>
      </w:r>
      <w:r w:rsidR="007C045A">
        <w:rPr>
          <w:sz w:val="22"/>
          <w:szCs w:val="22"/>
        </w:rPr>
        <w:t xml:space="preserve"> </w:t>
      </w:r>
      <w:r w:rsidR="00E331A6" w:rsidRPr="00A105FB">
        <w:rPr>
          <w:sz w:val="22"/>
          <w:szCs w:val="22"/>
        </w:rPr>
        <w:t>below.</w:t>
      </w:r>
    </w:p>
    <w:p w:rsidR="00E331A6" w:rsidRPr="00A105FB" w:rsidRDefault="00927CE6" w:rsidP="00E331A6">
      <w:pPr>
        <w:autoSpaceDE w:val="0"/>
        <w:autoSpaceDN w:val="0"/>
        <w:adjustRightInd w:val="0"/>
        <w:spacing w:before="120" w:after="120"/>
        <w:jc w:val="center"/>
        <w:rPr>
          <w:sz w:val="22"/>
          <w:szCs w:val="22"/>
        </w:rPr>
      </w:pPr>
      <w:r w:rsidRPr="00E331A6">
        <w:rPr>
          <w:noProof/>
          <w:sz w:val="22"/>
          <w:szCs w:val="22"/>
        </w:rPr>
        <w:drawing>
          <wp:inline distT="0" distB="0" distL="0" distR="0">
            <wp:extent cx="4368671" cy="3354054"/>
            <wp:effectExtent l="0" t="0" r="0" b="0"/>
            <wp:docPr id="26" name="Picture 2" descr="C:\Users\rivard_j\Desktop\Facilities Ma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ivard_j\Desktop\Facilities Map3.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98504" cy="3376958"/>
                    </a:xfrm>
                    <a:prstGeom prst="rect">
                      <a:avLst/>
                    </a:prstGeom>
                    <a:noFill/>
                    <a:ln>
                      <a:noFill/>
                    </a:ln>
                  </pic:spPr>
                </pic:pic>
              </a:graphicData>
            </a:graphic>
          </wp:inline>
        </w:drawing>
      </w:r>
      <w:r w:rsidR="00E331A6" w:rsidRPr="00A105FB">
        <w:rPr>
          <w:noProof/>
          <w:sz w:val="22"/>
          <w:szCs w:val="22"/>
        </w:rPr>
        <w:t xml:space="preserve">  </w:t>
      </w:r>
    </w:p>
    <w:p w:rsidR="007C045A" w:rsidRPr="007C045A" w:rsidRDefault="007C045A" w:rsidP="00D94C25">
      <w:pPr>
        <w:autoSpaceDE w:val="0"/>
        <w:autoSpaceDN w:val="0"/>
        <w:adjustRightInd w:val="0"/>
        <w:spacing w:after="120"/>
        <w:jc w:val="center"/>
        <w:rPr>
          <w:b/>
          <w:noProof/>
          <w:sz w:val="22"/>
          <w:szCs w:val="22"/>
        </w:rPr>
      </w:pPr>
      <w:bookmarkStart w:id="41" w:name="_Ref371664891"/>
      <w:r w:rsidRPr="007C045A">
        <w:rPr>
          <w:b/>
          <w:sz w:val="22"/>
          <w:szCs w:val="22"/>
        </w:rPr>
        <w:t xml:space="preserve">Figure </w:t>
      </w:r>
      <w:r w:rsidRPr="007C045A">
        <w:rPr>
          <w:b/>
          <w:sz w:val="22"/>
          <w:szCs w:val="22"/>
        </w:rPr>
        <w:fldChar w:fldCharType="begin"/>
      </w:r>
      <w:r w:rsidRPr="007C045A">
        <w:rPr>
          <w:b/>
          <w:sz w:val="22"/>
          <w:szCs w:val="22"/>
        </w:rPr>
        <w:instrText xml:space="preserve"> SEQ Figure \* ARABIC </w:instrText>
      </w:r>
      <w:r w:rsidRPr="007C045A">
        <w:rPr>
          <w:b/>
          <w:sz w:val="22"/>
          <w:szCs w:val="22"/>
        </w:rPr>
        <w:fldChar w:fldCharType="separate"/>
      </w:r>
      <w:r w:rsidR="007F3589">
        <w:rPr>
          <w:b/>
          <w:noProof/>
          <w:sz w:val="22"/>
          <w:szCs w:val="22"/>
        </w:rPr>
        <w:t>20</w:t>
      </w:r>
      <w:r w:rsidRPr="007C045A">
        <w:rPr>
          <w:b/>
          <w:sz w:val="22"/>
          <w:szCs w:val="22"/>
        </w:rPr>
        <w:fldChar w:fldCharType="end"/>
      </w:r>
      <w:bookmarkEnd w:id="41"/>
      <w:r w:rsidR="00D94C25">
        <w:rPr>
          <w:b/>
          <w:sz w:val="22"/>
          <w:szCs w:val="22"/>
        </w:rPr>
        <w:t>.</w:t>
      </w:r>
      <w:r w:rsidRPr="007C045A">
        <w:rPr>
          <w:b/>
          <w:sz w:val="22"/>
          <w:szCs w:val="22"/>
        </w:rPr>
        <w:t xml:space="preserve">  Background NO</w:t>
      </w:r>
      <w:r w:rsidRPr="007C045A">
        <w:rPr>
          <w:b/>
          <w:sz w:val="22"/>
          <w:szCs w:val="22"/>
          <w:vertAlign w:val="subscript"/>
        </w:rPr>
        <w:t>X</w:t>
      </w:r>
      <w:r w:rsidRPr="007C045A">
        <w:rPr>
          <w:b/>
          <w:sz w:val="22"/>
          <w:szCs w:val="22"/>
        </w:rPr>
        <w:t xml:space="preserve"> (&gt;25 TPY) and PM</w:t>
      </w:r>
      <w:r w:rsidRPr="007C045A">
        <w:rPr>
          <w:b/>
          <w:sz w:val="22"/>
          <w:szCs w:val="22"/>
          <w:vertAlign w:val="subscript"/>
        </w:rPr>
        <w:t>2.5</w:t>
      </w:r>
      <w:r w:rsidRPr="007C045A">
        <w:rPr>
          <w:b/>
          <w:sz w:val="22"/>
          <w:szCs w:val="22"/>
        </w:rPr>
        <w:t xml:space="preserve"> Emission Sources Included in Modeling within 10 km of the </w:t>
      </w:r>
      <w:r>
        <w:rPr>
          <w:b/>
          <w:sz w:val="22"/>
          <w:szCs w:val="22"/>
        </w:rPr>
        <w:t>Lauderdale Plant</w:t>
      </w:r>
      <w:r>
        <w:rPr>
          <w:b/>
          <w:noProof/>
          <w:sz w:val="22"/>
          <w:szCs w:val="22"/>
        </w:rPr>
        <w:t>.</w:t>
      </w:r>
    </w:p>
    <w:p w:rsidR="00E331A6" w:rsidRPr="00D94C25" w:rsidRDefault="00D94C25" w:rsidP="00D94C25">
      <w:pPr>
        <w:widowControl w:val="0"/>
        <w:numPr>
          <w:ilvl w:val="1"/>
          <w:numId w:val="2"/>
        </w:numPr>
        <w:tabs>
          <w:tab w:val="left" w:pos="720"/>
        </w:tabs>
        <w:spacing w:after="120"/>
        <w:ind w:left="720" w:hanging="720"/>
        <w:rPr>
          <w:rFonts w:ascii="Times New Roman Bold" w:hAnsi="Times New Roman Bold"/>
          <w:b/>
          <w:sz w:val="22"/>
          <w:szCs w:val="22"/>
        </w:rPr>
      </w:pPr>
      <w:r w:rsidRPr="00D94C25">
        <w:rPr>
          <w:rFonts w:ascii="Times New Roman Bold" w:hAnsi="Times New Roman Bold"/>
          <w:b/>
          <w:sz w:val="22"/>
          <w:szCs w:val="22"/>
        </w:rPr>
        <w:lastRenderedPageBreak/>
        <w:t xml:space="preserve">Ambient </w:t>
      </w:r>
      <w:r w:rsidRPr="00D94C25">
        <w:rPr>
          <w:rFonts w:ascii="Times New Roman Bold" w:hAnsi="Times New Roman Bold"/>
          <w:b/>
          <w:bCs/>
          <w:sz w:val="22"/>
          <w:szCs w:val="22"/>
        </w:rPr>
        <w:t>Air</w:t>
      </w:r>
      <w:r w:rsidRPr="00D94C25">
        <w:rPr>
          <w:rFonts w:ascii="Times New Roman Bold" w:hAnsi="Times New Roman Bold"/>
          <w:b/>
          <w:sz w:val="22"/>
          <w:szCs w:val="22"/>
        </w:rPr>
        <w:t xml:space="preserve"> Monitoring Surrounding the </w:t>
      </w:r>
      <w:r w:rsidR="003807DD">
        <w:rPr>
          <w:rFonts w:ascii="Times New Roman Bold" w:hAnsi="Times New Roman Bold"/>
          <w:b/>
          <w:sz w:val="22"/>
          <w:szCs w:val="22"/>
        </w:rPr>
        <w:t>Project</w:t>
      </w:r>
      <w:r w:rsidRPr="00D94C25">
        <w:rPr>
          <w:rFonts w:ascii="Times New Roman Bold" w:hAnsi="Times New Roman Bold"/>
          <w:b/>
          <w:sz w:val="22"/>
          <w:szCs w:val="22"/>
        </w:rPr>
        <w:t xml:space="preserve"> Site</w:t>
      </w:r>
    </w:p>
    <w:p w:rsidR="00D94C25" w:rsidRDefault="00D94C25" w:rsidP="00D94C25">
      <w:pPr>
        <w:autoSpaceDE w:val="0"/>
        <w:autoSpaceDN w:val="0"/>
        <w:adjustRightInd w:val="0"/>
        <w:spacing w:after="120"/>
        <w:rPr>
          <w:sz w:val="22"/>
          <w:szCs w:val="22"/>
        </w:rPr>
      </w:pPr>
      <w:r w:rsidRPr="00D94C25">
        <w:rPr>
          <w:sz w:val="22"/>
          <w:szCs w:val="22"/>
        </w:rPr>
        <w:t xml:space="preserve">The State of Florida ambient air monitoring network operated by the Department and its partners (local air pollution control programs) includes monitors in many Florida counties. </w:t>
      </w:r>
      <w:r w:rsidR="00B74C20">
        <w:rPr>
          <w:sz w:val="22"/>
          <w:szCs w:val="22"/>
        </w:rPr>
        <w:t xml:space="preserve"> </w:t>
      </w:r>
      <w:r w:rsidRPr="00D94C25">
        <w:rPr>
          <w:sz w:val="22"/>
          <w:szCs w:val="22"/>
        </w:rPr>
        <w:t xml:space="preserve">The chosen monitors shown in </w:t>
      </w:r>
      <w:r w:rsidRPr="00D94C25">
        <w:rPr>
          <w:b/>
          <w:sz w:val="22"/>
          <w:szCs w:val="22"/>
        </w:rPr>
        <w:fldChar w:fldCharType="begin"/>
      </w:r>
      <w:r w:rsidRPr="00D94C25">
        <w:rPr>
          <w:b/>
          <w:sz w:val="22"/>
          <w:szCs w:val="22"/>
        </w:rPr>
        <w:instrText xml:space="preserve"> REF _Ref372019210 \h  \* MERGEFORMAT </w:instrText>
      </w:r>
      <w:r w:rsidRPr="00D94C25">
        <w:rPr>
          <w:b/>
          <w:sz w:val="22"/>
          <w:szCs w:val="22"/>
        </w:rPr>
      </w:r>
      <w:r w:rsidRPr="00D94C25">
        <w:rPr>
          <w:b/>
          <w:sz w:val="22"/>
          <w:szCs w:val="22"/>
        </w:rPr>
        <w:fldChar w:fldCharType="separate"/>
      </w:r>
      <w:r w:rsidR="007F3589" w:rsidRPr="007F3589">
        <w:rPr>
          <w:b/>
          <w:sz w:val="22"/>
          <w:szCs w:val="22"/>
        </w:rPr>
        <w:t xml:space="preserve">Figure </w:t>
      </w:r>
      <w:r w:rsidR="007F3589" w:rsidRPr="007F3589">
        <w:rPr>
          <w:b/>
          <w:noProof/>
          <w:sz w:val="22"/>
          <w:szCs w:val="22"/>
        </w:rPr>
        <w:t>21</w:t>
      </w:r>
      <w:r w:rsidRPr="00D94C25">
        <w:rPr>
          <w:b/>
          <w:sz w:val="22"/>
          <w:szCs w:val="22"/>
        </w:rPr>
        <w:fldChar w:fldCharType="end"/>
      </w:r>
      <w:r w:rsidR="005A6E9C" w:rsidRPr="005A6E9C">
        <w:rPr>
          <w:sz w:val="22"/>
          <w:szCs w:val="22"/>
        </w:rPr>
        <w:t xml:space="preserve"> </w:t>
      </w:r>
      <w:r w:rsidRPr="00D94C25">
        <w:rPr>
          <w:sz w:val="22"/>
          <w:szCs w:val="22"/>
        </w:rPr>
        <w:t xml:space="preserve">are conservatively representative of the project site.  These monitors are used to estimate the existing air quality in the area and to satisfy pre-construction monitoring requirements.  </w:t>
      </w:r>
      <w:r w:rsidR="005A6E9C" w:rsidRPr="005A6E9C">
        <w:rPr>
          <w:b/>
          <w:sz w:val="22"/>
          <w:szCs w:val="22"/>
        </w:rPr>
        <w:fldChar w:fldCharType="begin"/>
      </w:r>
      <w:r w:rsidR="005A6E9C" w:rsidRPr="005A6E9C">
        <w:rPr>
          <w:b/>
          <w:sz w:val="22"/>
          <w:szCs w:val="22"/>
        </w:rPr>
        <w:instrText xml:space="preserve"> REF _Ref372024082 \h  \* MERGEFORMAT </w:instrText>
      </w:r>
      <w:r w:rsidR="005A6E9C" w:rsidRPr="005A6E9C">
        <w:rPr>
          <w:b/>
          <w:sz w:val="22"/>
          <w:szCs w:val="22"/>
        </w:rPr>
      </w:r>
      <w:r w:rsidR="005A6E9C" w:rsidRPr="005A6E9C">
        <w:rPr>
          <w:b/>
          <w:sz w:val="22"/>
          <w:szCs w:val="22"/>
        </w:rPr>
        <w:fldChar w:fldCharType="separate"/>
      </w:r>
      <w:r w:rsidR="007F3589" w:rsidRPr="007F3589">
        <w:rPr>
          <w:b/>
          <w:sz w:val="22"/>
          <w:szCs w:val="22"/>
        </w:rPr>
        <w:t xml:space="preserve">Table </w:t>
      </w:r>
      <w:r w:rsidR="007F3589" w:rsidRPr="007F3589">
        <w:rPr>
          <w:b/>
          <w:noProof/>
          <w:sz w:val="22"/>
          <w:szCs w:val="22"/>
        </w:rPr>
        <w:t>19</w:t>
      </w:r>
      <w:r w:rsidR="005A6E9C" w:rsidRPr="005A6E9C">
        <w:rPr>
          <w:b/>
          <w:sz w:val="22"/>
          <w:szCs w:val="22"/>
        </w:rPr>
        <w:fldChar w:fldCharType="end"/>
      </w:r>
      <w:r w:rsidRPr="00D94C25">
        <w:rPr>
          <w:sz w:val="22"/>
          <w:szCs w:val="22"/>
        </w:rPr>
        <w:t xml:space="preserve"> </w:t>
      </w:r>
      <w:r w:rsidR="005A6E9C">
        <w:rPr>
          <w:sz w:val="22"/>
          <w:szCs w:val="22"/>
        </w:rPr>
        <w:t xml:space="preserve">below </w:t>
      </w:r>
      <w:r w:rsidRPr="00D94C25">
        <w:rPr>
          <w:sz w:val="22"/>
          <w:szCs w:val="22"/>
        </w:rPr>
        <w:t xml:space="preserve">provides the ambient air quality design values for the selected monitors.  </w:t>
      </w:r>
    </w:p>
    <w:p w:rsidR="005A6E9C" w:rsidRPr="00D94C25" w:rsidRDefault="005A6E9C" w:rsidP="00D94C25">
      <w:pPr>
        <w:autoSpaceDE w:val="0"/>
        <w:autoSpaceDN w:val="0"/>
        <w:adjustRightInd w:val="0"/>
        <w:spacing w:after="120"/>
        <w:rPr>
          <w:sz w:val="22"/>
          <w:szCs w:val="22"/>
        </w:rPr>
      </w:pPr>
      <w:r w:rsidRPr="00E26245">
        <w:rPr>
          <w:sz w:val="22"/>
          <w:szCs w:val="22"/>
        </w:rPr>
        <w:t xml:space="preserve">The ambient air measurements listed </w:t>
      </w:r>
      <w:r>
        <w:rPr>
          <w:sz w:val="22"/>
          <w:szCs w:val="22"/>
        </w:rPr>
        <w:t xml:space="preserve">in </w:t>
      </w:r>
      <w:r w:rsidRPr="005A6E9C">
        <w:rPr>
          <w:b/>
          <w:sz w:val="22"/>
          <w:szCs w:val="22"/>
        </w:rPr>
        <w:fldChar w:fldCharType="begin"/>
      </w:r>
      <w:r w:rsidRPr="005A6E9C">
        <w:rPr>
          <w:b/>
          <w:sz w:val="22"/>
          <w:szCs w:val="22"/>
        </w:rPr>
        <w:instrText xml:space="preserve"> REF _Ref372024082 \h  \* MERGEFORMAT </w:instrText>
      </w:r>
      <w:r w:rsidRPr="005A6E9C">
        <w:rPr>
          <w:b/>
          <w:sz w:val="22"/>
          <w:szCs w:val="22"/>
        </w:rPr>
      </w:r>
      <w:r w:rsidRPr="005A6E9C">
        <w:rPr>
          <w:b/>
          <w:sz w:val="22"/>
          <w:szCs w:val="22"/>
        </w:rPr>
        <w:fldChar w:fldCharType="separate"/>
      </w:r>
      <w:r w:rsidR="007F3589" w:rsidRPr="007F3589">
        <w:rPr>
          <w:b/>
          <w:sz w:val="22"/>
          <w:szCs w:val="22"/>
        </w:rPr>
        <w:t xml:space="preserve">Table </w:t>
      </w:r>
      <w:r w:rsidR="007F3589" w:rsidRPr="007F3589">
        <w:rPr>
          <w:b/>
          <w:noProof/>
          <w:sz w:val="22"/>
          <w:szCs w:val="22"/>
        </w:rPr>
        <w:t>19</w:t>
      </w:r>
      <w:r w:rsidRPr="005A6E9C">
        <w:rPr>
          <w:b/>
          <w:sz w:val="22"/>
          <w:szCs w:val="22"/>
        </w:rPr>
        <w:fldChar w:fldCharType="end"/>
      </w:r>
      <w:r w:rsidRPr="00E26245">
        <w:rPr>
          <w:sz w:val="22"/>
          <w:szCs w:val="22"/>
        </w:rPr>
        <w:t xml:space="preserve"> are values that do not contain ‘exceptional events’.  An ‘exceptional event’ is defined by EPA in accordance with 40 CFR 50.14 as an event that affects air quality, is not reasonably controlled or preventable, and is an event caused by human activity that is unlikely to recur at a particular location or natural event.</w:t>
      </w:r>
    </w:p>
    <w:p w:rsidR="00E331A6" w:rsidRDefault="00927CE6" w:rsidP="00D94C25">
      <w:pPr>
        <w:widowControl w:val="0"/>
        <w:tabs>
          <w:tab w:val="left" w:pos="720"/>
        </w:tabs>
        <w:spacing w:after="120"/>
        <w:jc w:val="center"/>
        <w:rPr>
          <w:sz w:val="22"/>
          <w:szCs w:val="22"/>
        </w:rPr>
      </w:pPr>
      <w:r w:rsidRPr="00D94C25">
        <w:rPr>
          <w:noProof/>
          <w:sz w:val="22"/>
          <w:szCs w:val="22"/>
        </w:rPr>
        <w:drawing>
          <wp:inline distT="0" distB="0" distL="0" distR="0">
            <wp:extent cx="5935789" cy="4606506"/>
            <wp:effectExtent l="0" t="0" r="8255" b="3810"/>
            <wp:docPr id="27" name="Picture 3" descr="C:\Users\rivard_j\Desktop\Facilities Ma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ivard_j\Desktop\Facilities Map4.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67888" cy="4631417"/>
                    </a:xfrm>
                    <a:prstGeom prst="rect">
                      <a:avLst/>
                    </a:prstGeom>
                    <a:noFill/>
                    <a:ln>
                      <a:noFill/>
                    </a:ln>
                  </pic:spPr>
                </pic:pic>
              </a:graphicData>
            </a:graphic>
          </wp:inline>
        </w:drawing>
      </w:r>
    </w:p>
    <w:p w:rsidR="00E331A6" w:rsidRPr="00D94C25" w:rsidRDefault="00D94C25" w:rsidP="00B74C20">
      <w:pPr>
        <w:pStyle w:val="Caption"/>
        <w:spacing w:before="120"/>
        <w:jc w:val="center"/>
        <w:rPr>
          <w:rFonts w:ascii="Times New Roman Bold" w:hAnsi="Times New Roman Bold"/>
          <w:caps w:val="0"/>
          <w:szCs w:val="22"/>
        </w:rPr>
      </w:pPr>
      <w:bookmarkStart w:id="42" w:name="_Ref372019210"/>
      <w:r w:rsidRPr="00D94C25">
        <w:rPr>
          <w:rFonts w:ascii="Times New Roman Bold" w:hAnsi="Times New Roman Bold"/>
          <w:caps w:val="0"/>
        </w:rPr>
        <w:t xml:space="preserve">Figure </w:t>
      </w:r>
      <w:r w:rsidRPr="00D94C25">
        <w:rPr>
          <w:rFonts w:ascii="Times New Roman Bold" w:hAnsi="Times New Roman Bold"/>
          <w:caps w:val="0"/>
        </w:rPr>
        <w:fldChar w:fldCharType="begin"/>
      </w:r>
      <w:r w:rsidRPr="00D94C25">
        <w:rPr>
          <w:rFonts w:ascii="Times New Roman Bold" w:hAnsi="Times New Roman Bold"/>
          <w:caps w:val="0"/>
        </w:rPr>
        <w:instrText xml:space="preserve"> SEQ Figure \* ARABIC </w:instrText>
      </w:r>
      <w:r w:rsidRPr="00D94C25">
        <w:rPr>
          <w:rFonts w:ascii="Times New Roman Bold" w:hAnsi="Times New Roman Bold"/>
          <w:caps w:val="0"/>
        </w:rPr>
        <w:fldChar w:fldCharType="separate"/>
      </w:r>
      <w:r w:rsidR="007F3589">
        <w:rPr>
          <w:rFonts w:ascii="Times New Roman Bold" w:hAnsi="Times New Roman Bold"/>
          <w:caps w:val="0"/>
          <w:noProof/>
        </w:rPr>
        <w:t>21</w:t>
      </w:r>
      <w:r w:rsidRPr="00D94C25">
        <w:rPr>
          <w:rFonts w:ascii="Times New Roman Bold" w:hAnsi="Times New Roman Bold"/>
          <w:caps w:val="0"/>
        </w:rPr>
        <w:fldChar w:fldCharType="end"/>
      </w:r>
      <w:bookmarkEnd w:id="42"/>
      <w:r>
        <w:rPr>
          <w:rFonts w:ascii="Times New Roman Bold" w:hAnsi="Times New Roman Bold"/>
          <w:caps w:val="0"/>
        </w:rPr>
        <w:t xml:space="preserve">.  </w:t>
      </w:r>
      <w:r w:rsidRPr="00D94C25">
        <w:rPr>
          <w:rFonts w:ascii="Times New Roman Bold" w:hAnsi="Times New Roman Bold"/>
          <w:caps w:val="0"/>
        </w:rPr>
        <w:t xml:space="preserve">Ambient Air Quality Measurements </w:t>
      </w:r>
      <w:r w:rsidR="00B74C20">
        <w:rPr>
          <w:rFonts w:ascii="Times New Roman Bold" w:hAnsi="Times New Roman Bold"/>
          <w:caps w:val="0"/>
        </w:rPr>
        <w:t>N</w:t>
      </w:r>
      <w:r w:rsidRPr="00D94C25">
        <w:rPr>
          <w:rFonts w:ascii="Times New Roman Bold" w:hAnsi="Times New Roman Bold"/>
          <w:caps w:val="0"/>
        </w:rPr>
        <w:t xml:space="preserve">earest to the </w:t>
      </w:r>
      <w:r w:rsidR="00B74C20">
        <w:rPr>
          <w:rFonts w:ascii="Times New Roman Bold" w:hAnsi="Times New Roman Bold"/>
          <w:caps w:val="0"/>
        </w:rPr>
        <w:t>Lauderdale Plant</w:t>
      </w:r>
      <w:r w:rsidRPr="00D94C25">
        <w:rPr>
          <w:rFonts w:ascii="Times New Roman Bold" w:hAnsi="Times New Roman Bold"/>
          <w:caps w:val="0"/>
        </w:rPr>
        <w:t xml:space="preserve"> (2010-2012).</w:t>
      </w:r>
    </w:p>
    <w:p w:rsidR="00D94C25" w:rsidRPr="00B74C20" w:rsidRDefault="00B74C20" w:rsidP="00B74C20">
      <w:pPr>
        <w:pStyle w:val="Caption"/>
        <w:spacing w:before="120"/>
        <w:jc w:val="center"/>
        <w:rPr>
          <w:rFonts w:ascii="Times New Roman Bold" w:hAnsi="Times New Roman Bold"/>
          <w:szCs w:val="22"/>
        </w:rPr>
      </w:pPr>
      <w:bookmarkStart w:id="43" w:name="_Ref372024082"/>
      <w:r>
        <w:t xml:space="preserve">Table </w:t>
      </w:r>
      <w:fldSimple w:instr=" SEQ Table \* ARABIC ">
        <w:r w:rsidR="007F3589">
          <w:rPr>
            <w:noProof/>
          </w:rPr>
          <w:t>19</w:t>
        </w:r>
      </w:fldSimple>
      <w:bookmarkEnd w:id="43"/>
      <w:r w:rsidRPr="007C045A">
        <w:rPr>
          <w:b w:val="0"/>
          <w:caps w:val="0"/>
          <w:szCs w:val="22"/>
        </w:rPr>
        <w:t xml:space="preserve"> –</w:t>
      </w:r>
      <w:r>
        <w:rPr>
          <w:b w:val="0"/>
          <w:caps w:val="0"/>
          <w:szCs w:val="22"/>
        </w:rPr>
        <w:t xml:space="preserve"> </w:t>
      </w:r>
      <w:r w:rsidRPr="00B74C20">
        <w:rPr>
          <w:rFonts w:ascii="Times New Roman Bold" w:hAnsi="Times New Roman Bold"/>
          <w:szCs w:val="22"/>
        </w:rPr>
        <w:t xml:space="preserve">Ambient Air Quality Measurements nearest to the </w:t>
      </w:r>
      <w:r>
        <w:rPr>
          <w:rFonts w:ascii="Times New Roman Bold" w:hAnsi="Times New Roman Bold"/>
          <w:szCs w:val="22"/>
        </w:rPr>
        <w:t>lauderdale plant</w:t>
      </w:r>
      <w:r w:rsidRPr="00B74C20">
        <w:rPr>
          <w:rFonts w:ascii="Times New Roman Bold" w:hAnsi="Times New Roman Bold"/>
          <w:szCs w:val="22"/>
        </w:rPr>
        <w:t xml:space="preserve"> (2010-2012).</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8"/>
        <w:gridCol w:w="2175"/>
        <w:gridCol w:w="1450"/>
        <w:gridCol w:w="1812"/>
        <w:gridCol w:w="815"/>
        <w:gridCol w:w="1158"/>
        <w:gridCol w:w="909"/>
      </w:tblGrid>
      <w:tr w:rsidR="00E26245" w:rsidRPr="003A3B75" w:rsidTr="009B340E">
        <w:trPr>
          <w:trHeight w:val="20"/>
          <w:tblHeader/>
          <w:jc w:val="center"/>
        </w:trPr>
        <w:tc>
          <w:tcPr>
            <w:tcW w:w="1268" w:type="dxa"/>
            <w:vMerge w:val="restart"/>
            <w:shd w:val="clear" w:color="auto" w:fill="C6D9F1"/>
            <w:vAlign w:val="center"/>
          </w:tcPr>
          <w:p w:rsidR="00E26245" w:rsidRPr="00E26245" w:rsidRDefault="00E26245" w:rsidP="00E26245">
            <w:pPr>
              <w:autoSpaceDE w:val="0"/>
              <w:autoSpaceDN w:val="0"/>
              <w:adjustRightInd w:val="0"/>
              <w:spacing w:before="20" w:after="20"/>
              <w:jc w:val="center"/>
              <w:rPr>
                <w:b/>
                <w:bCs/>
              </w:rPr>
            </w:pPr>
            <w:r w:rsidRPr="00E26245">
              <w:rPr>
                <w:b/>
                <w:bCs/>
              </w:rPr>
              <w:t>Pollutant</w:t>
            </w:r>
          </w:p>
        </w:tc>
        <w:tc>
          <w:tcPr>
            <w:tcW w:w="2175" w:type="dxa"/>
            <w:vMerge w:val="restart"/>
            <w:shd w:val="clear" w:color="auto" w:fill="C6D9F1"/>
            <w:vAlign w:val="center"/>
          </w:tcPr>
          <w:p w:rsidR="00E26245" w:rsidRPr="00E26245" w:rsidRDefault="00E26245" w:rsidP="00E26245">
            <w:pPr>
              <w:autoSpaceDE w:val="0"/>
              <w:autoSpaceDN w:val="0"/>
              <w:adjustRightInd w:val="0"/>
              <w:spacing w:before="20" w:after="20"/>
              <w:jc w:val="center"/>
              <w:rPr>
                <w:b/>
                <w:bCs/>
              </w:rPr>
            </w:pPr>
            <w:r w:rsidRPr="00E26245">
              <w:rPr>
                <w:b/>
                <w:bCs/>
              </w:rPr>
              <w:t>Location</w:t>
            </w:r>
            <w:r w:rsidRPr="00E26245">
              <w:rPr>
                <w:b/>
                <w:bCs/>
              </w:rPr>
              <w:br/>
              <w:t>(Site Number)</w:t>
            </w:r>
          </w:p>
        </w:tc>
        <w:tc>
          <w:tcPr>
            <w:tcW w:w="1450" w:type="dxa"/>
            <w:vMerge w:val="restart"/>
            <w:shd w:val="clear" w:color="auto" w:fill="C6D9F1"/>
            <w:vAlign w:val="center"/>
          </w:tcPr>
          <w:p w:rsidR="00E26245" w:rsidRPr="00E26245" w:rsidRDefault="00E26245" w:rsidP="00E26245">
            <w:pPr>
              <w:autoSpaceDE w:val="0"/>
              <w:autoSpaceDN w:val="0"/>
              <w:adjustRightInd w:val="0"/>
              <w:spacing w:before="20" w:after="20"/>
              <w:jc w:val="center"/>
              <w:rPr>
                <w:b/>
                <w:bCs/>
              </w:rPr>
            </w:pPr>
            <w:r w:rsidRPr="00E26245">
              <w:rPr>
                <w:b/>
                <w:bCs/>
              </w:rPr>
              <w:t>Averaging</w:t>
            </w:r>
            <w:r w:rsidRPr="00E26245">
              <w:rPr>
                <w:b/>
                <w:bCs/>
              </w:rPr>
              <w:br/>
              <w:t>Period</w:t>
            </w:r>
          </w:p>
        </w:tc>
        <w:tc>
          <w:tcPr>
            <w:tcW w:w="4693" w:type="dxa"/>
            <w:gridSpan w:val="4"/>
            <w:shd w:val="clear" w:color="auto" w:fill="C6D9F1"/>
            <w:vAlign w:val="center"/>
          </w:tcPr>
          <w:p w:rsidR="00E26245" w:rsidRPr="00E26245" w:rsidRDefault="00E26245" w:rsidP="00E26245">
            <w:pPr>
              <w:autoSpaceDE w:val="0"/>
              <w:autoSpaceDN w:val="0"/>
              <w:adjustRightInd w:val="0"/>
              <w:spacing w:before="20" w:after="20"/>
              <w:jc w:val="center"/>
              <w:rPr>
                <w:b/>
                <w:bCs/>
              </w:rPr>
            </w:pPr>
            <w:r w:rsidRPr="00E26245">
              <w:rPr>
                <w:b/>
                <w:bCs/>
              </w:rPr>
              <w:t>Ambient Concentration</w:t>
            </w:r>
          </w:p>
        </w:tc>
      </w:tr>
      <w:tr w:rsidR="00E26245" w:rsidRPr="003A3B75" w:rsidTr="009B340E">
        <w:trPr>
          <w:trHeight w:val="20"/>
          <w:jc w:val="center"/>
        </w:trPr>
        <w:tc>
          <w:tcPr>
            <w:tcW w:w="1268" w:type="dxa"/>
            <w:vMerge/>
            <w:shd w:val="clear" w:color="auto" w:fill="C6D9F1"/>
            <w:vAlign w:val="center"/>
          </w:tcPr>
          <w:p w:rsidR="00E26245" w:rsidRPr="00E26245" w:rsidRDefault="00E26245" w:rsidP="00E26245">
            <w:pPr>
              <w:autoSpaceDE w:val="0"/>
              <w:autoSpaceDN w:val="0"/>
              <w:adjustRightInd w:val="0"/>
              <w:spacing w:before="20" w:after="20"/>
              <w:rPr>
                <w:b/>
                <w:bCs/>
              </w:rPr>
            </w:pPr>
          </w:p>
        </w:tc>
        <w:tc>
          <w:tcPr>
            <w:tcW w:w="2175" w:type="dxa"/>
            <w:vMerge/>
            <w:shd w:val="clear" w:color="auto" w:fill="C6D9F1"/>
            <w:vAlign w:val="center"/>
          </w:tcPr>
          <w:p w:rsidR="00E26245" w:rsidRPr="00E26245" w:rsidRDefault="00E26245" w:rsidP="00E26245">
            <w:pPr>
              <w:autoSpaceDE w:val="0"/>
              <w:autoSpaceDN w:val="0"/>
              <w:adjustRightInd w:val="0"/>
              <w:spacing w:before="20" w:after="20"/>
              <w:rPr>
                <w:b/>
                <w:bCs/>
              </w:rPr>
            </w:pPr>
          </w:p>
        </w:tc>
        <w:tc>
          <w:tcPr>
            <w:tcW w:w="1450" w:type="dxa"/>
            <w:vMerge/>
            <w:shd w:val="clear" w:color="auto" w:fill="C6D9F1"/>
            <w:vAlign w:val="center"/>
          </w:tcPr>
          <w:p w:rsidR="00E26245" w:rsidRPr="00E26245" w:rsidRDefault="00E26245" w:rsidP="00E26245">
            <w:pPr>
              <w:autoSpaceDE w:val="0"/>
              <w:autoSpaceDN w:val="0"/>
              <w:adjustRightInd w:val="0"/>
              <w:spacing w:before="20" w:after="20"/>
              <w:rPr>
                <w:b/>
                <w:bCs/>
              </w:rPr>
            </w:pPr>
          </w:p>
        </w:tc>
        <w:tc>
          <w:tcPr>
            <w:tcW w:w="1812" w:type="dxa"/>
            <w:shd w:val="clear" w:color="auto" w:fill="C6D9F1"/>
            <w:vAlign w:val="center"/>
          </w:tcPr>
          <w:p w:rsidR="00E26245" w:rsidRPr="00E26245" w:rsidRDefault="00E26245" w:rsidP="00E26245">
            <w:pPr>
              <w:autoSpaceDE w:val="0"/>
              <w:autoSpaceDN w:val="0"/>
              <w:adjustRightInd w:val="0"/>
              <w:spacing w:before="20" w:after="20"/>
              <w:jc w:val="center"/>
              <w:rPr>
                <w:b/>
                <w:bCs/>
              </w:rPr>
            </w:pPr>
            <w:r w:rsidRPr="00E26245">
              <w:rPr>
                <w:b/>
                <w:bCs/>
              </w:rPr>
              <w:t>Compliance Period</w:t>
            </w:r>
          </w:p>
        </w:tc>
        <w:tc>
          <w:tcPr>
            <w:tcW w:w="815" w:type="dxa"/>
            <w:shd w:val="clear" w:color="auto" w:fill="C6D9F1"/>
            <w:vAlign w:val="center"/>
          </w:tcPr>
          <w:p w:rsidR="00E26245" w:rsidRPr="00E26245" w:rsidRDefault="00E26245" w:rsidP="00E26245">
            <w:pPr>
              <w:autoSpaceDE w:val="0"/>
              <w:autoSpaceDN w:val="0"/>
              <w:adjustRightInd w:val="0"/>
              <w:spacing w:before="20" w:after="20"/>
              <w:jc w:val="center"/>
              <w:rPr>
                <w:b/>
                <w:bCs/>
              </w:rPr>
            </w:pPr>
            <w:r w:rsidRPr="00E26245">
              <w:rPr>
                <w:b/>
                <w:bCs/>
              </w:rPr>
              <w:t>Value</w:t>
            </w:r>
          </w:p>
        </w:tc>
        <w:tc>
          <w:tcPr>
            <w:tcW w:w="1158" w:type="dxa"/>
            <w:shd w:val="clear" w:color="auto" w:fill="C6D9F1"/>
            <w:vAlign w:val="center"/>
          </w:tcPr>
          <w:p w:rsidR="00E26245" w:rsidRPr="00E26245" w:rsidRDefault="00E26245" w:rsidP="00E26245">
            <w:pPr>
              <w:autoSpaceDE w:val="0"/>
              <w:autoSpaceDN w:val="0"/>
              <w:adjustRightInd w:val="0"/>
              <w:spacing w:before="20" w:after="20"/>
              <w:jc w:val="center"/>
              <w:rPr>
                <w:b/>
                <w:bCs/>
              </w:rPr>
            </w:pPr>
            <w:r w:rsidRPr="00E26245">
              <w:rPr>
                <w:b/>
                <w:bCs/>
              </w:rPr>
              <w:t>Standard</w:t>
            </w:r>
          </w:p>
        </w:tc>
        <w:tc>
          <w:tcPr>
            <w:tcW w:w="906" w:type="dxa"/>
            <w:shd w:val="clear" w:color="auto" w:fill="C6D9F1"/>
            <w:vAlign w:val="center"/>
          </w:tcPr>
          <w:p w:rsidR="00E26245" w:rsidRPr="00E26245" w:rsidRDefault="00E26245" w:rsidP="00E26245">
            <w:pPr>
              <w:autoSpaceDE w:val="0"/>
              <w:autoSpaceDN w:val="0"/>
              <w:adjustRightInd w:val="0"/>
              <w:spacing w:before="20" w:after="20"/>
              <w:jc w:val="center"/>
              <w:rPr>
                <w:b/>
                <w:bCs/>
              </w:rPr>
            </w:pPr>
            <w:r w:rsidRPr="00E26245">
              <w:rPr>
                <w:b/>
                <w:bCs/>
              </w:rPr>
              <w:t xml:space="preserve">Units </w:t>
            </w:r>
            <w:r w:rsidRPr="00E26245">
              <w:rPr>
                <w:b/>
                <w:vertAlign w:val="superscript"/>
              </w:rPr>
              <w:t>a</w:t>
            </w:r>
          </w:p>
        </w:tc>
      </w:tr>
      <w:tr w:rsidR="00E26245" w:rsidRPr="003A3B75" w:rsidTr="009B340E">
        <w:trPr>
          <w:trHeight w:val="20"/>
          <w:jc w:val="center"/>
        </w:trPr>
        <w:tc>
          <w:tcPr>
            <w:tcW w:w="1268" w:type="dxa"/>
            <w:vMerge w:val="restart"/>
            <w:vAlign w:val="center"/>
          </w:tcPr>
          <w:p w:rsidR="00E26245" w:rsidRPr="00E26245" w:rsidRDefault="00E26245" w:rsidP="00E26245">
            <w:pPr>
              <w:autoSpaceDE w:val="0"/>
              <w:autoSpaceDN w:val="0"/>
              <w:adjustRightInd w:val="0"/>
              <w:spacing w:before="20" w:after="20"/>
              <w:jc w:val="center"/>
              <w:rPr>
                <w:b/>
                <w:bCs/>
              </w:rPr>
            </w:pPr>
            <w:r w:rsidRPr="00E26245">
              <w:rPr>
                <w:bCs/>
              </w:rPr>
              <w:t>PM</w:t>
            </w:r>
            <w:r w:rsidRPr="00E26245">
              <w:rPr>
                <w:bCs/>
                <w:vertAlign w:val="subscript"/>
              </w:rPr>
              <w:t>2.5</w:t>
            </w:r>
          </w:p>
        </w:tc>
        <w:tc>
          <w:tcPr>
            <w:tcW w:w="2175" w:type="dxa"/>
            <w:vMerge w:val="restart"/>
            <w:vAlign w:val="center"/>
          </w:tcPr>
          <w:p w:rsidR="00E26245" w:rsidRPr="00E26245" w:rsidRDefault="00E26245" w:rsidP="00E26245">
            <w:pPr>
              <w:autoSpaceDE w:val="0"/>
              <w:autoSpaceDN w:val="0"/>
              <w:adjustRightInd w:val="0"/>
              <w:spacing w:before="20" w:after="20"/>
              <w:jc w:val="center"/>
              <w:rPr>
                <w:bCs/>
              </w:rPr>
            </w:pPr>
            <w:r w:rsidRPr="00E26245">
              <w:rPr>
                <w:bCs/>
              </w:rPr>
              <w:t>Davie, FL</w:t>
            </w:r>
            <w:r w:rsidRPr="00E26245">
              <w:rPr>
                <w:bCs/>
              </w:rPr>
              <w:br/>
              <w:t>(012-011-1002)</w:t>
            </w:r>
          </w:p>
        </w:tc>
        <w:tc>
          <w:tcPr>
            <w:tcW w:w="1450" w:type="dxa"/>
            <w:vAlign w:val="center"/>
          </w:tcPr>
          <w:p w:rsidR="00E26245" w:rsidRPr="00E26245" w:rsidRDefault="00E26245" w:rsidP="00E26245">
            <w:pPr>
              <w:autoSpaceDE w:val="0"/>
              <w:autoSpaceDN w:val="0"/>
              <w:adjustRightInd w:val="0"/>
              <w:spacing w:before="20" w:after="20"/>
              <w:jc w:val="center"/>
            </w:pPr>
            <w:r w:rsidRPr="00E26245">
              <w:t xml:space="preserve">24-hour </w:t>
            </w:r>
            <w:r w:rsidRPr="00E26245">
              <w:rPr>
                <w:b/>
                <w:vertAlign w:val="superscript"/>
              </w:rPr>
              <w:t>b</w:t>
            </w:r>
          </w:p>
        </w:tc>
        <w:tc>
          <w:tcPr>
            <w:tcW w:w="1812" w:type="dxa"/>
            <w:vAlign w:val="center"/>
          </w:tcPr>
          <w:p w:rsidR="00E26245" w:rsidRPr="00E26245" w:rsidRDefault="00E26245" w:rsidP="00E26245">
            <w:pPr>
              <w:autoSpaceDE w:val="0"/>
              <w:autoSpaceDN w:val="0"/>
              <w:adjustRightInd w:val="0"/>
              <w:spacing w:before="20" w:after="20"/>
              <w:ind w:left="522"/>
            </w:pPr>
            <w:r w:rsidRPr="00E26245">
              <w:t>2010-2012</w:t>
            </w:r>
          </w:p>
        </w:tc>
        <w:tc>
          <w:tcPr>
            <w:tcW w:w="815" w:type="dxa"/>
            <w:vAlign w:val="center"/>
          </w:tcPr>
          <w:p w:rsidR="00E26245" w:rsidRPr="00E26245" w:rsidRDefault="00E26245" w:rsidP="00E26245">
            <w:pPr>
              <w:autoSpaceDE w:val="0"/>
              <w:autoSpaceDN w:val="0"/>
              <w:adjustRightInd w:val="0"/>
              <w:spacing w:before="20" w:after="20"/>
              <w:jc w:val="center"/>
            </w:pPr>
            <w:r w:rsidRPr="00E26245">
              <w:t>14.6</w:t>
            </w:r>
          </w:p>
        </w:tc>
        <w:tc>
          <w:tcPr>
            <w:tcW w:w="1158" w:type="dxa"/>
            <w:vAlign w:val="center"/>
          </w:tcPr>
          <w:p w:rsidR="00E26245" w:rsidRPr="00E26245" w:rsidRDefault="00E26245" w:rsidP="00E26245">
            <w:pPr>
              <w:autoSpaceDE w:val="0"/>
              <w:autoSpaceDN w:val="0"/>
              <w:adjustRightInd w:val="0"/>
              <w:spacing w:before="20" w:after="20"/>
              <w:jc w:val="center"/>
            </w:pPr>
            <w:r w:rsidRPr="00E26245">
              <w:t>35</w:t>
            </w:r>
          </w:p>
        </w:tc>
        <w:tc>
          <w:tcPr>
            <w:tcW w:w="906" w:type="dxa"/>
            <w:vAlign w:val="center"/>
          </w:tcPr>
          <w:p w:rsidR="00E26245" w:rsidRPr="00E26245" w:rsidRDefault="00E26245" w:rsidP="00E26245">
            <w:pPr>
              <w:autoSpaceDE w:val="0"/>
              <w:autoSpaceDN w:val="0"/>
              <w:adjustRightInd w:val="0"/>
              <w:spacing w:before="20" w:after="20"/>
              <w:jc w:val="center"/>
            </w:pPr>
            <w:r w:rsidRPr="00E26245">
              <w:t>μg/m</w:t>
            </w:r>
            <w:r w:rsidRPr="00E26245">
              <w:rPr>
                <w:vertAlign w:val="superscript"/>
              </w:rPr>
              <w:t>3</w:t>
            </w:r>
          </w:p>
        </w:tc>
      </w:tr>
      <w:tr w:rsidR="00E26245" w:rsidRPr="003A3B75" w:rsidTr="009B340E">
        <w:trPr>
          <w:trHeight w:val="20"/>
          <w:jc w:val="center"/>
        </w:trPr>
        <w:tc>
          <w:tcPr>
            <w:tcW w:w="1268" w:type="dxa"/>
            <w:vMerge/>
            <w:vAlign w:val="center"/>
          </w:tcPr>
          <w:p w:rsidR="00E26245" w:rsidRPr="00E26245" w:rsidRDefault="00E26245" w:rsidP="00E26245">
            <w:pPr>
              <w:autoSpaceDE w:val="0"/>
              <w:autoSpaceDN w:val="0"/>
              <w:adjustRightInd w:val="0"/>
              <w:spacing w:before="20" w:after="20"/>
              <w:jc w:val="center"/>
              <w:rPr>
                <w:bCs/>
              </w:rPr>
            </w:pPr>
          </w:p>
        </w:tc>
        <w:tc>
          <w:tcPr>
            <w:tcW w:w="2175" w:type="dxa"/>
            <w:vMerge/>
            <w:vAlign w:val="center"/>
          </w:tcPr>
          <w:p w:rsidR="00E26245" w:rsidRPr="00E26245" w:rsidRDefault="00E26245" w:rsidP="00E26245">
            <w:pPr>
              <w:autoSpaceDE w:val="0"/>
              <w:autoSpaceDN w:val="0"/>
              <w:adjustRightInd w:val="0"/>
              <w:spacing w:before="20" w:after="20"/>
              <w:jc w:val="center"/>
              <w:rPr>
                <w:bCs/>
              </w:rPr>
            </w:pPr>
          </w:p>
        </w:tc>
        <w:tc>
          <w:tcPr>
            <w:tcW w:w="1450" w:type="dxa"/>
            <w:vAlign w:val="center"/>
          </w:tcPr>
          <w:p w:rsidR="00E26245" w:rsidRPr="00E26245" w:rsidRDefault="00E26245" w:rsidP="00E26245">
            <w:pPr>
              <w:autoSpaceDE w:val="0"/>
              <w:autoSpaceDN w:val="0"/>
              <w:adjustRightInd w:val="0"/>
              <w:spacing w:before="20" w:after="20"/>
              <w:jc w:val="center"/>
            </w:pPr>
            <w:r w:rsidRPr="00E26245">
              <w:t xml:space="preserve">Annual </w:t>
            </w:r>
            <w:r w:rsidRPr="00E26245">
              <w:rPr>
                <w:b/>
                <w:vertAlign w:val="superscript"/>
              </w:rPr>
              <w:t>c</w:t>
            </w:r>
          </w:p>
        </w:tc>
        <w:tc>
          <w:tcPr>
            <w:tcW w:w="1812" w:type="dxa"/>
            <w:vAlign w:val="center"/>
          </w:tcPr>
          <w:p w:rsidR="00E26245" w:rsidRPr="00E26245" w:rsidRDefault="00E26245" w:rsidP="00E26245">
            <w:pPr>
              <w:autoSpaceDE w:val="0"/>
              <w:autoSpaceDN w:val="0"/>
              <w:adjustRightInd w:val="0"/>
              <w:spacing w:before="20" w:after="20"/>
              <w:ind w:left="522"/>
            </w:pPr>
            <w:r w:rsidRPr="00E26245">
              <w:t>2010-2012</w:t>
            </w:r>
          </w:p>
        </w:tc>
        <w:tc>
          <w:tcPr>
            <w:tcW w:w="815" w:type="dxa"/>
            <w:vAlign w:val="center"/>
          </w:tcPr>
          <w:p w:rsidR="00E26245" w:rsidRPr="00E26245" w:rsidRDefault="00E26245" w:rsidP="00E26245">
            <w:pPr>
              <w:autoSpaceDE w:val="0"/>
              <w:autoSpaceDN w:val="0"/>
              <w:adjustRightInd w:val="0"/>
              <w:spacing w:before="20" w:after="20"/>
              <w:jc w:val="center"/>
            </w:pPr>
            <w:r w:rsidRPr="00E26245">
              <w:t>6.7</w:t>
            </w:r>
          </w:p>
        </w:tc>
        <w:tc>
          <w:tcPr>
            <w:tcW w:w="1158" w:type="dxa"/>
            <w:vAlign w:val="center"/>
          </w:tcPr>
          <w:p w:rsidR="00E26245" w:rsidRPr="00E26245" w:rsidRDefault="00E26245" w:rsidP="00E26245">
            <w:pPr>
              <w:autoSpaceDE w:val="0"/>
              <w:autoSpaceDN w:val="0"/>
              <w:adjustRightInd w:val="0"/>
              <w:spacing w:before="20" w:after="20"/>
              <w:jc w:val="center"/>
            </w:pPr>
            <w:r w:rsidRPr="00E26245">
              <w:t>12</w:t>
            </w:r>
          </w:p>
        </w:tc>
        <w:tc>
          <w:tcPr>
            <w:tcW w:w="906" w:type="dxa"/>
            <w:vAlign w:val="center"/>
          </w:tcPr>
          <w:p w:rsidR="00E26245" w:rsidRPr="00E26245" w:rsidRDefault="00E26245" w:rsidP="00E26245">
            <w:pPr>
              <w:autoSpaceDE w:val="0"/>
              <w:autoSpaceDN w:val="0"/>
              <w:adjustRightInd w:val="0"/>
              <w:spacing w:before="20" w:after="20"/>
              <w:jc w:val="center"/>
            </w:pPr>
            <w:r w:rsidRPr="00E26245">
              <w:t>μg/m</w:t>
            </w:r>
            <w:r w:rsidRPr="00E26245">
              <w:rPr>
                <w:vertAlign w:val="superscript"/>
              </w:rPr>
              <w:t>3</w:t>
            </w:r>
          </w:p>
        </w:tc>
      </w:tr>
      <w:tr w:rsidR="00E26245" w:rsidRPr="003A3B75" w:rsidTr="009B340E">
        <w:trPr>
          <w:trHeight w:val="20"/>
          <w:jc w:val="center"/>
        </w:trPr>
        <w:tc>
          <w:tcPr>
            <w:tcW w:w="1268" w:type="dxa"/>
            <w:vMerge w:val="restart"/>
            <w:vAlign w:val="center"/>
          </w:tcPr>
          <w:p w:rsidR="00E26245" w:rsidRPr="00E26245" w:rsidRDefault="00E26245" w:rsidP="00E26245">
            <w:pPr>
              <w:autoSpaceDE w:val="0"/>
              <w:autoSpaceDN w:val="0"/>
              <w:adjustRightInd w:val="0"/>
              <w:spacing w:before="20" w:after="20"/>
              <w:jc w:val="center"/>
              <w:rPr>
                <w:b/>
                <w:bCs/>
              </w:rPr>
            </w:pPr>
            <w:r w:rsidRPr="00E26245">
              <w:rPr>
                <w:bCs/>
              </w:rPr>
              <w:t>NO</w:t>
            </w:r>
            <w:r w:rsidRPr="00E26245">
              <w:rPr>
                <w:bCs/>
                <w:vertAlign w:val="subscript"/>
              </w:rPr>
              <w:t>2</w:t>
            </w:r>
          </w:p>
        </w:tc>
        <w:tc>
          <w:tcPr>
            <w:tcW w:w="2175" w:type="dxa"/>
            <w:vMerge w:val="restart"/>
            <w:vAlign w:val="center"/>
          </w:tcPr>
          <w:p w:rsidR="00E26245" w:rsidRPr="00E26245" w:rsidRDefault="00E26245" w:rsidP="00E26245">
            <w:pPr>
              <w:autoSpaceDE w:val="0"/>
              <w:autoSpaceDN w:val="0"/>
              <w:adjustRightInd w:val="0"/>
              <w:spacing w:before="20" w:after="20"/>
              <w:jc w:val="center"/>
              <w:rPr>
                <w:bCs/>
              </w:rPr>
            </w:pPr>
            <w:r w:rsidRPr="00E26245">
              <w:rPr>
                <w:bCs/>
              </w:rPr>
              <w:t>Dania, FL</w:t>
            </w:r>
            <w:r w:rsidRPr="00E26245">
              <w:rPr>
                <w:bCs/>
              </w:rPr>
              <w:br/>
              <w:t>(012-011-8002)</w:t>
            </w:r>
          </w:p>
        </w:tc>
        <w:tc>
          <w:tcPr>
            <w:tcW w:w="1450" w:type="dxa"/>
            <w:vAlign w:val="center"/>
          </w:tcPr>
          <w:p w:rsidR="00E26245" w:rsidRPr="00E26245" w:rsidRDefault="00E26245" w:rsidP="00E26245">
            <w:pPr>
              <w:autoSpaceDE w:val="0"/>
              <w:autoSpaceDN w:val="0"/>
              <w:adjustRightInd w:val="0"/>
              <w:spacing w:before="20" w:after="20"/>
              <w:jc w:val="center"/>
            </w:pPr>
            <w:r w:rsidRPr="00E26245">
              <w:t xml:space="preserve">Annual </w:t>
            </w:r>
            <w:r w:rsidRPr="00E26245">
              <w:rPr>
                <w:b/>
                <w:vertAlign w:val="superscript"/>
              </w:rPr>
              <w:t>a</w:t>
            </w:r>
          </w:p>
        </w:tc>
        <w:tc>
          <w:tcPr>
            <w:tcW w:w="1812" w:type="dxa"/>
            <w:vAlign w:val="center"/>
          </w:tcPr>
          <w:p w:rsidR="00E26245" w:rsidRPr="00E26245" w:rsidRDefault="00E26245" w:rsidP="00E26245">
            <w:pPr>
              <w:autoSpaceDE w:val="0"/>
              <w:autoSpaceDN w:val="0"/>
              <w:adjustRightInd w:val="0"/>
              <w:spacing w:before="20" w:after="20"/>
              <w:ind w:left="522"/>
            </w:pPr>
            <w:r w:rsidRPr="00E26245">
              <w:t>2012</w:t>
            </w:r>
          </w:p>
        </w:tc>
        <w:tc>
          <w:tcPr>
            <w:tcW w:w="815" w:type="dxa"/>
            <w:vAlign w:val="center"/>
          </w:tcPr>
          <w:p w:rsidR="00E26245" w:rsidRPr="00E26245" w:rsidRDefault="00E26245" w:rsidP="00E26245">
            <w:pPr>
              <w:autoSpaceDE w:val="0"/>
              <w:autoSpaceDN w:val="0"/>
              <w:adjustRightInd w:val="0"/>
              <w:spacing w:before="20" w:after="20"/>
              <w:jc w:val="center"/>
            </w:pPr>
            <w:r w:rsidRPr="00E26245">
              <w:t>5.0</w:t>
            </w:r>
          </w:p>
        </w:tc>
        <w:tc>
          <w:tcPr>
            <w:tcW w:w="1158" w:type="dxa"/>
            <w:vAlign w:val="center"/>
          </w:tcPr>
          <w:p w:rsidR="00E26245" w:rsidRPr="00E26245" w:rsidRDefault="00E26245" w:rsidP="00E26245">
            <w:pPr>
              <w:autoSpaceDE w:val="0"/>
              <w:autoSpaceDN w:val="0"/>
              <w:adjustRightInd w:val="0"/>
              <w:spacing w:before="20" w:after="20"/>
              <w:jc w:val="center"/>
            </w:pPr>
            <w:r w:rsidRPr="00E26245">
              <w:t>53</w:t>
            </w:r>
          </w:p>
        </w:tc>
        <w:tc>
          <w:tcPr>
            <w:tcW w:w="906" w:type="dxa"/>
            <w:vAlign w:val="center"/>
          </w:tcPr>
          <w:p w:rsidR="00E26245" w:rsidRPr="00E26245" w:rsidRDefault="00E26245" w:rsidP="00E26245">
            <w:pPr>
              <w:autoSpaceDE w:val="0"/>
              <w:autoSpaceDN w:val="0"/>
              <w:adjustRightInd w:val="0"/>
              <w:spacing w:before="20" w:after="20"/>
              <w:jc w:val="center"/>
            </w:pPr>
            <w:r w:rsidRPr="00E26245">
              <w:t>ppb</w:t>
            </w:r>
          </w:p>
        </w:tc>
      </w:tr>
      <w:tr w:rsidR="00E26245" w:rsidRPr="003A3B75" w:rsidTr="009B340E">
        <w:trPr>
          <w:trHeight w:val="20"/>
          <w:jc w:val="center"/>
        </w:trPr>
        <w:tc>
          <w:tcPr>
            <w:tcW w:w="1268" w:type="dxa"/>
            <w:vMerge/>
            <w:vAlign w:val="center"/>
          </w:tcPr>
          <w:p w:rsidR="00E26245" w:rsidRPr="00E26245" w:rsidRDefault="00E26245" w:rsidP="00E26245">
            <w:pPr>
              <w:autoSpaceDE w:val="0"/>
              <w:autoSpaceDN w:val="0"/>
              <w:adjustRightInd w:val="0"/>
              <w:spacing w:before="20" w:after="20"/>
              <w:jc w:val="center"/>
              <w:rPr>
                <w:b/>
                <w:bCs/>
              </w:rPr>
            </w:pPr>
          </w:p>
        </w:tc>
        <w:tc>
          <w:tcPr>
            <w:tcW w:w="2175" w:type="dxa"/>
            <w:vMerge/>
            <w:vAlign w:val="center"/>
          </w:tcPr>
          <w:p w:rsidR="00E26245" w:rsidRPr="00E26245" w:rsidRDefault="00E26245" w:rsidP="00E26245">
            <w:pPr>
              <w:autoSpaceDE w:val="0"/>
              <w:autoSpaceDN w:val="0"/>
              <w:adjustRightInd w:val="0"/>
              <w:spacing w:before="20" w:after="20"/>
              <w:jc w:val="center"/>
              <w:rPr>
                <w:bCs/>
              </w:rPr>
            </w:pPr>
          </w:p>
        </w:tc>
        <w:tc>
          <w:tcPr>
            <w:tcW w:w="1450" w:type="dxa"/>
            <w:vAlign w:val="center"/>
          </w:tcPr>
          <w:p w:rsidR="00E26245" w:rsidRPr="00E26245" w:rsidRDefault="00E26245" w:rsidP="00E26245">
            <w:pPr>
              <w:autoSpaceDE w:val="0"/>
              <w:autoSpaceDN w:val="0"/>
              <w:adjustRightInd w:val="0"/>
              <w:spacing w:before="20" w:after="20"/>
              <w:jc w:val="center"/>
            </w:pPr>
            <w:r w:rsidRPr="00E26245">
              <w:t xml:space="preserve">1-hour </w:t>
            </w:r>
            <w:r w:rsidRPr="00E26245">
              <w:rPr>
                <w:b/>
                <w:vertAlign w:val="superscript"/>
              </w:rPr>
              <w:t>e</w:t>
            </w:r>
          </w:p>
        </w:tc>
        <w:tc>
          <w:tcPr>
            <w:tcW w:w="1812" w:type="dxa"/>
            <w:vAlign w:val="center"/>
          </w:tcPr>
          <w:p w:rsidR="00E26245" w:rsidRPr="00E26245" w:rsidRDefault="00E26245" w:rsidP="00E26245">
            <w:pPr>
              <w:autoSpaceDE w:val="0"/>
              <w:autoSpaceDN w:val="0"/>
              <w:adjustRightInd w:val="0"/>
              <w:spacing w:before="20" w:after="20"/>
              <w:ind w:left="522"/>
            </w:pPr>
            <w:r w:rsidRPr="00E26245">
              <w:t>2010-2012</w:t>
            </w:r>
          </w:p>
        </w:tc>
        <w:tc>
          <w:tcPr>
            <w:tcW w:w="815" w:type="dxa"/>
            <w:vAlign w:val="center"/>
          </w:tcPr>
          <w:p w:rsidR="00E26245" w:rsidRPr="00E26245" w:rsidRDefault="00E26245" w:rsidP="00E26245">
            <w:pPr>
              <w:autoSpaceDE w:val="0"/>
              <w:autoSpaceDN w:val="0"/>
              <w:adjustRightInd w:val="0"/>
              <w:spacing w:before="20" w:after="20"/>
              <w:jc w:val="center"/>
            </w:pPr>
            <w:r w:rsidRPr="00E26245">
              <w:t>45.4</w:t>
            </w:r>
          </w:p>
        </w:tc>
        <w:tc>
          <w:tcPr>
            <w:tcW w:w="1158" w:type="dxa"/>
            <w:vAlign w:val="center"/>
          </w:tcPr>
          <w:p w:rsidR="00E26245" w:rsidRPr="00E26245" w:rsidRDefault="00E26245" w:rsidP="00E26245">
            <w:pPr>
              <w:autoSpaceDE w:val="0"/>
              <w:autoSpaceDN w:val="0"/>
              <w:adjustRightInd w:val="0"/>
              <w:spacing w:before="20" w:after="20"/>
              <w:jc w:val="center"/>
            </w:pPr>
            <w:r w:rsidRPr="00E26245">
              <w:t>100</w:t>
            </w:r>
          </w:p>
        </w:tc>
        <w:tc>
          <w:tcPr>
            <w:tcW w:w="906" w:type="dxa"/>
            <w:vAlign w:val="center"/>
          </w:tcPr>
          <w:p w:rsidR="00E26245" w:rsidRPr="00E26245" w:rsidRDefault="00E26245" w:rsidP="00E26245">
            <w:pPr>
              <w:autoSpaceDE w:val="0"/>
              <w:autoSpaceDN w:val="0"/>
              <w:adjustRightInd w:val="0"/>
              <w:spacing w:before="20" w:after="20"/>
              <w:jc w:val="center"/>
            </w:pPr>
            <w:r w:rsidRPr="00E26245">
              <w:t>ppb</w:t>
            </w:r>
          </w:p>
        </w:tc>
      </w:tr>
      <w:tr w:rsidR="00E26245" w:rsidRPr="003A3B75" w:rsidTr="009B340E">
        <w:trPr>
          <w:trHeight w:val="20"/>
          <w:jc w:val="center"/>
        </w:trPr>
        <w:tc>
          <w:tcPr>
            <w:tcW w:w="1268" w:type="dxa"/>
            <w:vAlign w:val="center"/>
          </w:tcPr>
          <w:p w:rsidR="00E26245" w:rsidRPr="00E26245" w:rsidRDefault="00E26245" w:rsidP="00E26245">
            <w:pPr>
              <w:autoSpaceDE w:val="0"/>
              <w:autoSpaceDN w:val="0"/>
              <w:adjustRightInd w:val="0"/>
              <w:spacing w:before="20" w:after="20"/>
              <w:jc w:val="center"/>
              <w:rPr>
                <w:bCs/>
              </w:rPr>
            </w:pPr>
            <w:r w:rsidRPr="00E26245">
              <w:rPr>
                <w:bCs/>
              </w:rPr>
              <w:lastRenderedPageBreak/>
              <w:t>Ozone</w:t>
            </w:r>
          </w:p>
        </w:tc>
        <w:tc>
          <w:tcPr>
            <w:tcW w:w="2175" w:type="dxa"/>
            <w:vAlign w:val="center"/>
          </w:tcPr>
          <w:p w:rsidR="00E26245" w:rsidRPr="00E26245" w:rsidRDefault="00E26245" w:rsidP="00E26245">
            <w:pPr>
              <w:autoSpaceDE w:val="0"/>
              <w:autoSpaceDN w:val="0"/>
              <w:adjustRightInd w:val="0"/>
              <w:spacing w:before="20" w:after="20"/>
              <w:jc w:val="center"/>
              <w:rPr>
                <w:bCs/>
              </w:rPr>
            </w:pPr>
            <w:r w:rsidRPr="00E26245">
              <w:rPr>
                <w:bCs/>
              </w:rPr>
              <w:t>Dania, FL</w:t>
            </w:r>
            <w:r w:rsidRPr="00E26245">
              <w:rPr>
                <w:bCs/>
              </w:rPr>
              <w:br/>
              <w:t>(012-011-8002)</w:t>
            </w:r>
          </w:p>
        </w:tc>
        <w:tc>
          <w:tcPr>
            <w:tcW w:w="1450" w:type="dxa"/>
            <w:vAlign w:val="center"/>
          </w:tcPr>
          <w:p w:rsidR="00E26245" w:rsidRPr="00E26245" w:rsidRDefault="00E26245" w:rsidP="00E26245">
            <w:pPr>
              <w:autoSpaceDE w:val="0"/>
              <w:autoSpaceDN w:val="0"/>
              <w:adjustRightInd w:val="0"/>
              <w:spacing w:before="20" w:after="20"/>
              <w:jc w:val="center"/>
            </w:pPr>
            <w:r w:rsidRPr="00E26245">
              <w:t xml:space="preserve">8-hour </w:t>
            </w:r>
            <w:r w:rsidRPr="00E26245">
              <w:rPr>
                <w:b/>
                <w:vertAlign w:val="superscript"/>
              </w:rPr>
              <w:t>d</w:t>
            </w:r>
          </w:p>
        </w:tc>
        <w:tc>
          <w:tcPr>
            <w:tcW w:w="1812" w:type="dxa"/>
            <w:vAlign w:val="center"/>
          </w:tcPr>
          <w:p w:rsidR="00E26245" w:rsidRPr="00E26245" w:rsidRDefault="00E26245" w:rsidP="00E26245">
            <w:pPr>
              <w:autoSpaceDE w:val="0"/>
              <w:autoSpaceDN w:val="0"/>
              <w:adjustRightInd w:val="0"/>
              <w:spacing w:before="20" w:after="20"/>
              <w:ind w:left="522"/>
            </w:pPr>
            <w:r w:rsidRPr="00E26245">
              <w:t>2010-2012</w:t>
            </w:r>
          </w:p>
        </w:tc>
        <w:tc>
          <w:tcPr>
            <w:tcW w:w="815" w:type="dxa"/>
            <w:vAlign w:val="center"/>
          </w:tcPr>
          <w:p w:rsidR="00E26245" w:rsidRPr="00E26245" w:rsidRDefault="00E26245" w:rsidP="00E26245">
            <w:pPr>
              <w:autoSpaceDE w:val="0"/>
              <w:autoSpaceDN w:val="0"/>
              <w:adjustRightInd w:val="0"/>
              <w:spacing w:before="20" w:after="20"/>
              <w:jc w:val="center"/>
            </w:pPr>
            <w:r w:rsidRPr="00E26245">
              <w:t>0.063</w:t>
            </w:r>
          </w:p>
        </w:tc>
        <w:tc>
          <w:tcPr>
            <w:tcW w:w="1158" w:type="dxa"/>
            <w:vAlign w:val="center"/>
          </w:tcPr>
          <w:p w:rsidR="00E26245" w:rsidRPr="00E26245" w:rsidRDefault="00E26245" w:rsidP="00E26245">
            <w:pPr>
              <w:autoSpaceDE w:val="0"/>
              <w:autoSpaceDN w:val="0"/>
              <w:adjustRightInd w:val="0"/>
              <w:spacing w:before="20" w:after="20"/>
              <w:jc w:val="center"/>
            </w:pPr>
            <w:r w:rsidRPr="00E26245">
              <w:t>0.075</w:t>
            </w:r>
          </w:p>
        </w:tc>
        <w:tc>
          <w:tcPr>
            <w:tcW w:w="906" w:type="dxa"/>
            <w:vAlign w:val="center"/>
          </w:tcPr>
          <w:p w:rsidR="00E26245" w:rsidRPr="00E26245" w:rsidRDefault="00E26245" w:rsidP="00E26245">
            <w:pPr>
              <w:autoSpaceDE w:val="0"/>
              <w:autoSpaceDN w:val="0"/>
              <w:adjustRightInd w:val="0"/>
              <w:spacing w:before="20" w:after="20"/>
              <w:jc w:val="center"/>
            </w:pPr>
            <w:r w:rsidRPr="00E26245">
              <w:t>ppm</w:t>
            </w:r>
          </w:p>
        </w:tc>
      </w:tr>
      <w:tr w:rsidR="00E26245" w:rsidRPr="003A3B75" w:rsidTr="009B340E">
        <w:trPr>
          <w:trHeight w:val="1034"/>
          <w:jc w:val="center"/>
        </w:trPr>
        <w:tc>
          <w:tcPr>
            <w:tcW w:w="9587" w:type="dxa"/>
            <w:gridSpan w:val="7"/>
            <w:vAlign w:val="center"/>
          </w:tcPr>
          <w:p w:rsidR="00E26245" w:rsidRPr="00E26245" w:rsidRDefault="00E26245" w:rsidP="00E26245">
            <w:pPr>
              <w:numPr>
                <w:ilvl w:val="0"/>
                <w:numId w:val="26"/>
              </w:numPr>
              <w:tabs>
                <w:tab w:val="clear" w:pos="1440"/>
                <w:tab w:val="num" w:pos="342"/>
              </w:tabs>
              <w:autoSpaceDE w:val="0"/>
              <w:autoSpaceDN w:val="0"/>
              <w:adjustRightInd w:val="0"/>
              <w:ind w:left="342"/>
              <w:rPr>
                <w:sz w:val="18"/>
                <w:szCs w:val="18"/>
              </w:rPr>
            </w:pPr>
            <w:r w:rsidRPr="00E26245">
              <w:rPr>
                <w:sz w:val="18"/>
                <w:szCs w:val="18"/>
              </w:rPr>
              <w:t xml:space="preserve">Arithmetic mean. </w:t>
            </w:r>
          </w:p>
          <w:p w:rsidR="00E26245" w:rsidRPr="00E26245" w:rsidRDefault="00E26245" w:rsidP="00E26245">
            <w:pPr>
              <w:numPr>
                <w:ilvl w:val="0"/>
                <w:numId w:val="26"/>
              </w:numPr>
              <w:tabs>
                <w:tab w:val="clear" w:pos="1440"/>
                <w:tab w:val="num" w:pos="342"/>
              </w:tabs>
              <w:autoSpaceDE w:val="0"/>
              <w:autoSpaceDN w:val="0"/>
              <w:adjustRightInd w:val="0"/>
              <w:ind w:hanging="1458"/>
              <w:rPr>
                <w:sz w:val="18"/>
                <w:szCs w:val="18"/>
              </w:rPr>
            </w:pPr>
            <w:r w:rsidRPr="00E26245">
              <w:rPr>
                <w:sz w:val="18"/>
                <w:szCs w:val="18"/>
              </w:rPr>
              <w:t>Three year average of the 98</w:t>
            </w:r>
            <w:r w:rsidRPr="00E26245">
              <w:rPr>
                <w:sz w:val="18"/>
                <w:szCs w:val="18"/>
                <w:vertAlign w:val="superscript"/>
              </w:rPr>
              <w:t>th</w:t>
            </w:r>
            <w:r w:rsidRPr="00E26245">
              <w:rPr>
                <w:sz w:val="18"/>
                <w:szCs w:val="18"/>
              </w:rPr>
              <w:t xml:space="preserve"> percentile of maximum daily 24-hour concentrations. </w:t>
            </w:r>
          </w:p>
          <w:p w:rsidR="00E26245" w:rsidRPr="00E26245" w:rsidRDefault="00E26245" w:rsidP="00E26245">
            <w:pPr>
              <w:numPr>
                <w:ilvl w:val="0"/>
                <w:numId w:val="26"/>
              </w:numPr>
              <w:tabs>
                <w:tab w:val="clear" w:pos="1440"/>
                <w:tab w:val="num" w:pos="342"/>
              </w:tabs>
              <w:autoSpaceDE w:val="0"/>
              <w:autoSpaceDN w:val="0"/>
              <w:adjustRightInd w:val="0"/>
              <w:ind w:hanging="1458"/>
              <w:rPr>
                <w:sz w:val="18"/>
                <w:szCs w:val="18"/>
              </w:rPr>
            </w:pPr>
            <w:r w:rsidRPr="00E26245">
              <w:rPr>
                <w:sz w:val="18"/>
                <w:szCs w:val="18"/>
              </w:rPr>
              <w:t>Three year average of the arithmetic annual means.</w:t>
            </w:r>
          </w:p>
          <w:p w:rsidR="00E26245" w:rsidRPr="00E26245" w:rsidRDefault="00E26245" w:rsidP="00E26245">
            <w:pPr>
              <w:numPr>
                <w:ilvl w:val="0"/>
                <w:numId w:val="26"/>
              </w:numPr>
              <w:tabs>
                <w:tab w:val="clear" w:pos="1440"/>
                <w:tab w:val="num" w:pos="342"/>
              </w:tabs>
              <w:autoSpaceDE w:val="0"/>
              <w:autoSpaceDN w:val="0"/>
              <w:adjustRightInd w:val="0"/>
              <w:ind w:hanging="1458"/>
              <w:rPr>
                <w:sz w:val="18"/>
                <w:szCs w:val="18"/>
              </w:rPr>
            </w:pPr>
            <w:r w:rsidRPr="00E26245">
              <w:rPr>
                <w:sz w:val="18"/>
                <w:szCs w:val="18"/>
              </w:rPr>
              <w:t>Three year average of the annual 4</w:t>
            </w:r>
            <w:r w:rsidRPr="00E26245">
              <w:rPr>
                <w:sz w:val="18"/>
                <w:szCs w:val="18"/>
                <w:vertAlign w:val="superscript"/>
              </w:rPr>
              <w:t>th</w:t>
            </w:r>
            <w:r w:rsidRPr="00E26245">
              <w:rPr>
                <w:sz w:val="18"/>
                <w:szCs w:val="18"/>
              </w:rPr>
              <w:t xml:space="preserve"> highest daily 8-hour maximum.</w:t>
            </w:r>
          </w:p>
          <w:p w:rsidR="00E26245" w:rsidRPr="00B733D2" w:rsidRDefault="00E26245" w:rsidP="00E26245">
            <w:pPr>
              <w:numPr>
                <w:ilvl w:val="0"/>
                <w:numId w:val="26"/>
              </w:numPr>
              <w:tabs>
                <w:tab w:val="clear" w:pos="1440"/>
                <w:tab w:val="num" w:pos="342"/>
              </w:tabs>
              <w:autoSpaceDE w:val="0"/>
              <w:autoSpaceDN w:val="0"/>
              <w:adjustRightInd w:val="0"/>
              <w:ind w:hanging="1458"/>
              <w:rPr>
                <w:rFonts w:ascii="Calibri" w:hAnsi="Calibri"/>
                <w:sz w:val="16"/>
                <w:szCs w:val="16"/>
              </w:rPr>
            </w:pPr>
            <w:r w:rsidRPr="00E26245">
              <w:rPr>
                <w:sz w:val="18"/>
                <w:szCs w:val="18"/>
              </w:rPr>
              <w:t>Three-year average of the annual 98</w:t>
            </w:r>
            <w:r w:rsidRPr="00E26245">
              <w:rPr>
                <w:sz w:val="18"/>
                <w:szCs w:val="18"/>
                <w:vertAlign w:val="superscript"/>
              </w:rPr>
              <w:t>th</w:t>
            </w:r>
            <w:r w:rsidRPr="00E26245">
              <w:rPr>
                <w:sz w:val="18"/>
                <w:szCs w:val="18"/>
              </w:rPr>
              <w:t xml:space="preserve"> percentile maximum daily 1-hour value</w:t>
            </w:r>
          </w:p>
        </w:tc>
      </w:tr>
    </w:tbl>
    <w:p w:rsidR="00D94C25" w:rsidRPr="00E26245" w:rsidRDefault="00E26245" w:rsidP="009B340E">
      <w:pPr>
        <w:widowControl w:val="0"/>
        <w:numPr>
          <w:ilvl w:val="1"/>
          <w:numId w:val="2"/>
        </w:numPr>
        <w:tabs>
          <w:tab w:val="left" w:pos="720"/>
        </w:tabs>
        <w:spacing w:before="120" w:after="120"/>
        <w:ind w:left="720" w:hanging="720"/>
        <w:rPr>
          <w:rFonts w:ascii="Times New Roman Bold" w:hAnsi="Times New Roman Bold"/>
          <w:b/>
          <w:sz w:val="22"/>
          <w:szCs w:val="22"/>
        </w:rPr>
      </w:pPr>
      <w:r w:rsidRPr="00E26245">
        <w:rPr>
          <w:rFonts w:ascii="Times New Roman Bold" w:hAnsi="Times New Roman Bold"/>
          <w:b/>
          <w:sz w:val="22"/>
          <w:szCs w:val="22"/>
        </w:rPr>
        <w:t xml:space="preserve">Existing Ambient Air Quality </w:t>
      </w:r>
      <w:r>
        <w:rPr>
          <w:rFonts w:ascii="Times New Roman Bold" w:hAnsi="Times New Roman Bold"/>
          <w:b/>
          <w:sz w:val="22"/>
          <w:szCs w:val="22"/>
        </w:rPr>
        <w:t>N</w:t>
      </w:r>
      <w:r w:rsidRPr="00E26245">
        <w:rPr>
          <w:rFonts w:ascii="Times New Roman Bold" w:hAnsi="Times New Roman Bold"/>
          <w:b/>
          <w:sz w:val="22"/>
          <w:szCs w:val="22"/>
        </w:rPr>
        <w:t xml:space="preserve">ear the </w:t>
      </w:r>
      <w:r>
        <w:rPr>
          <w:rFonts w:ascii="Times New Roman Bold" w:hAnsi="Times New Roman Bold"/>
          <w:b/>
          <w:sz w:val="22"/>
          <w:szCs w:val="22"/>
        </w:rPr>
        <w:t>Lauderdale Plant</w:t>
      </w:r>
      <w:r w:rsidRPr="00E26245">
        <w:rPr>
          <w:rFonts w:ascii="Times New Roman Bold" w:hAnsi="Times New Roman Bold"/>
          <w:b/>
          <w:sz w:val="22"/>
          <w:szCs w:val="22"/>
        </w:rPr>
        <w:t xml:space="preserve"> –Ozone, NO</w:t>
      </w:r>
      <w:r w:rsidRPr="00E26245">
        <w:rPr>
          <w:rFonts w:ascii="Times New Roman Bold" w:hAnsi="Times New Roman Bold"/>
          <w:b/>
          <w:sz w:val="22"/>
          <w:szCs w:val="22"/>
          <w:vertAlign w:val="subscript"/>
        </w:rPr>
        <w:t>2</w:t>
      </w:r>
      <w:r w:rsidRPr="00E26245">
        <w:rPr>
          <w:rFonts w:ascii="Times New Roman Bold" w:hAnsi="Times New Roman Bold"/>
          <w:b/>
          <w:sz w:val="22"/>
          <w:szCs w:val="22"/>
        </w:rPr>
        <w:t>, and PM</w:t>
      </w:r>
      <w:r w:rsidRPr="00E26245">
        <w:rPr>
          <w:rFonts w:ascii="Times New Roman Bold" w:hAnsi="Times New Roman Bold"/>
          <w:b/>
          <w:sz w:val="22"/>
          <w:szCs w:val="22"/>
          <w:vertAlign w:val="subscript"/>
        </w:rPr>
        <w:t>2.5</w:t>
      </w:r>
    </w:p>
    <w:p w:rsidR="001963C4" w:rsidRDefault="001963C4" w:rsidP="001963C4">
      <w:pPr>
        <w:widowControl w:val="0"/>
        <w:tabs>
          <w:tab w:val="left" w:pos="720"/>
        </w:tabs>
        <w:spacing w:after="120"/>
        <w:rPr>
          <w:sz w:val="22"/>
          <w:szCs w:val="22"/>
        </w:rPr>
      </w:pPr>
      <w:r w:rsidRPr="00E26245">
        <w:rPr>
          <w:sz w:val="22"/>
          <w:szCs w:val="22"/>
        </w:rPr>
        <w:t>The reported compliance values for ozone</w:t>
      </w:r>
      <w:r>
        <w:rPr>
          <w:sz w:val="22"/>
          <w:szCs w:val="22"/>
        </w:rPr>
        <w:t>,</w:t>
      </w:r>
      <w:r w:rsidRPr="00E26245">
        <w:rPr>
          <w:sz w:val="22"/>
          <w:szCs w:val="22"/>
        </w:rPr>
        <w:t xml:space="preserve"> PM</w:t>
      </w:r>
      <w:r w:rsidRPr="00E26245">
        <w:rPr>
          <w:sz w:val="22"/>
          <w:szCs w:val="22"/>
          <w:vertAlign w:val="subscript"/>
        </w:rPr>
        <w:t>2.5</w:t>
      </w:r>
      <w:r w:rsidRPr="00E26245">
        <w:rPr>
          <w:sz w:val="22"/>
          <w:szCs w:val="22"/>
        </w:rPr>
        <w:t xml:space="preserve"> and NO</w:t>
      </w:r>
      <w:r w:rsidRPr="00E26245">
        <w:rPr>
          <w:sz w:val="22"/>
          <w:szCs w:val="22"/>
          <w:vertAlign w:val="subscript"/>
        </w:rPr>
        <w:t>2</w:t>
      </w:r>
      <w:r w:rsidRPr="00E26245">
        <w:rPr>
          <w:sz w:val="22"/>
          <w:szCs w:val="22"/>
        </w:rPr>
        <w:t xml:space="preserve"> for the monitors in the vicinity of the project site</w:t>
      </w:r>
      <w:r>
        <w:rPr>
          <w:sz w:val="22"/>
          <w:szCs w:val="22"/>
        </w:rPr>
        <w:t xml:space="preserve"> are shown in </w:t>
      </w:r>
      <w:r w:rsidRPr="00B62C23">
        <w:rPr>
          <w:rFonts w:ascii="Times New Roman Bold" w:hAnsi="Times New Roman Bold"/>
          <w:b/>
          <w:sz w:val="22"/>
          <w:szCs w:val="22"/>
        </w:rPr>
        <w:fldChar w:fldCharType="begin"/>
      </w:r>
      <w:r w:rsidRPr="00B62C23">
        <w:rPr>
          <w:rFonts w:ascii="Times New Roman Bold" w:hAnsi="Times New Roman Bold"/>
          <w:b/>
          <w:sz w:val="22"/>
          <w:szCs w:val="22"/>
        </w:rPr>
        <w:instrText xml:space="preserve"> REF _Ref372020679 \h  \* MERGEFORMAT </w:instrText>
      </w:r>
      <w:r w:rsidRPr="00B62C23">
        <w:rPr>
          <w:rFonts w:ascii="Times New Roman Bold" w:hAnsi="Times New Roman Bold"/>
          <w:b/>
          <w:sz w:val="22"/>
          <w:szCs w:val="22"/>
        </w:rPr>
      </w:r>
      <w:r w:rsidRPr="00B62C23">
        <w:rPr>
          <w:rFonts w:ascii="Times New Roman Bold" w:hAnsi="Times New Roman Bold"/>
          <w:b/>
          <w:sz w:val="22"/>
          <w:szCs w:val="22"/>
        </w:rPr>
        <w:fldChar w:fldCharType="separate"/>
      </w:r>
      <w:r w:rsidR="007F3589" w:rsidRPr="007F3589">
        <w:rPr>
          <w:rFonts w:ascii="Times New Roman Bold" w:hAnsi="Times New Roman Bold"/>
          <w:b/>
          <w:sz w:val="22"/>
          <w:szCs w:val="22"/>
        </w:rPr>
        <w:t xml:space="preserve">Figure </w:t>
      </w:r>
      <w:r w:rsidR="007F3589" w:rsidRPr="007F3589">
        <w:rPr>
          <w:rFonts w:ascii="Times New Roman Bold" w:hAnsi="Times New Roman Bold"/>
          <w:b/>
          <w:noProof/>
          <w:sz w:val="22"/>
          <w:szCs w:val="22"/>
        </w:rPr>
        <w:t>22</w:t>
      </w:r>
      <w:r w:rsidRPr="00B62C23">
        <w:rPr>
          <w:rFonts w:ascii="Times New Roman Bold" w:hAnsi="Times New Roman Bold"/>
          <w:b/>
          <w:sz w:val="22"/>
          <w:szCs w:val="22"/>
        </w:rPr>
        <w:fldChar w:fldCharType="end"/>
      </w:r>
      <w:r w:rsidRPr="00B62C23">
        <w:rPr>
          <w:rFonts w:ascii="Times New Roman Bold" w:hAnsi="Times New Roman Bold"/>
          <w:b/>
          <w:sz w:val="22"/>
          <w:szCs w:val="22"/>
        </w:rPr>
        <w:t>,</w:t>
      </w:r>
      <w:r w:rsidRPr="00B62C23">
        <w:rPr>
          <w:b/>
          <w:sz w:val="22"/>
          <w:szCs w:val="22"/>
        </w:rPr>
        <w:t xml:space="preserve"> </w:t>
      </w:r>
      <w:r w:rsidRPr="00B62C23">
        <w:rPr>
          <w:rFonts w:ascii="Times New Roman Bold" w:hAnsi="Times New Roman Bold"/>
          <w:b/>
          <w:sz w:val="22"/>
          <w:szCs w:val="22"/>
        </w:rPr>
        <w:fldChar w:fldCharType="begin"/>
      </w:r>
      <w:r w:rsidRPr="00B62C23">
        <w:rPr>
          <w:rFonts w:ascii="Times New Roman Bold" w:hAnsi="Times New Roman Bold"/>
          <w:b/>
          <w:sz w:val="22"/>
          <w:szCs w:val="22"/>
        </w:rPr>
        <w:instrText xml:space="preserve"> REF _Ref372020682 \h  \* MERGEFORMAT </w:instrText>
      </w:r>
      <w:r w:rsidRPr="00B62C23">
        <w:rPr>
          <w:rFonts w:ascii="Times New Roman Bold" w:hAnsi="Times New Roman Bold"/>
          <w:b/>
          <w:sz w:val="22"/>
          <w:szCs w:val="22"/>
        </w:rPr>
      </w:r>
      <w:r w:rsidRPr="00B62C23">
        <w:rPr>
          <w:rFonts w:ascii="Times New Roman Bold" w:hAnsi="Times New Roman Bold"/>
          <w:b/>
          <w:sz w:val="22"/>
          <w:szCs w:val="22"/>
        </w:rPr>
        <w:fldChar w:fldCharType="separate"/>
      </w:r>
      <w:r w:rsidR="007F3589" w:rsidRPr="007F3589">
        <w:rPr>
          <w:rFonts w:ascii="Times New Roman Bold" w:hAnsi="Times New Roman Bold"/>
          <w:b/>
          <w:sz w:val="22"/>
          <w:szCs w:val="22"/>
        </w:rPr>
        <w:t xml:space="preserve">Figure </w:t>
      </w:r>
      <w:r w:rsidR="007F3589" w:rsidRPr="007F3589">
        <w:rPr>
          <w:rFonts w:ascii="Times New Roman Bold" w:hAnsi="Times New Roman Bold"/>
          <w:b/>
          <w:noProof/>
          <w:sz w:val="22"/>
          <w:szCs w:val="22"/>
        </w:rPr>
        <w:t>23</w:t>
      </w:r>
      <w:r w:rsidRPr="00B62C23">
        <w:rPr>
          <w:rFonts w:ascii="Times New Roman Bold" w:hAnsi="Times New Roman Bold"/>
          <w:b/>
          <w:sz w:val="22"/>
          <w:szCs w:val="22"/>
        </w:rPr>
        <w:fldChar w:fldCharType="end"/>
      </w:r>
      <w:r w:rsidRPr="00B62C23">
        <w:rPr>
          <w:sz w:val="22"/>
          <w:szCs w:val="22"/>
        </w:rPr>
        <w:t xml:space="preserve">and </w:t>
      </w:r>
      <w:r w:rsidRPr="00B62C23">
        <w:rPr>
          <w:rFonts w:ascii="Times New Roman Bold" w:hAnsi="Times New Roman Bold"/>
          <w:b/>
          <w:sz w:val="22"/>
          <w:szCs w:val="22"/>
        </w:rPr>
        <w:fldChar w:fldCharType="begin"/>
      </w:r>
      <w:r w:rsidRPr="00B62C23">
        <w:rPr>
          <w:rFonts w:ascii="Times New Roman Bold" w:hAnsi="Times New Roman Bold"/>
          <w:b/>
          <w:sz w:val="22"/>
          <w:szCs w:val="22"/>
        </w:rPr>
        <w:instrText xml:space="preserve"> REF _Ref372020683 \h  \* MERGEFORMAT </w:instrText>
      </w:r>
      <w:r w:rsidRPr="00B62C23">
        <w:rPr>
          <w:rFonts w:ascii="Times New Roman Bold" w:hAnsi="Times New Roman Bold"/>
          <w:b/>
          <w:sz w:val="22"/>
          <w:szCs w:val="22"/>
        </w:rPr>
      </w:r>
      <w:r w:rsidRPr="00B62C23">
        <w:rPr>
          <w:rFonts w:ascii="Times New Roman Bold" w:hAnsi="Times New Roman Bold"/>
          <w:b/>
          <w:sz w:val="22"/>
          <w:szCs w:val="22"/>
        </w:rPr>
        <w:fldChar w:fldCharType="separate"/>
      </w:r>
      <w:r w:rsidR="007F3589" w:rsidRPr="007F3589">
        <w:rPr>
          <w:rFonts w:ascii="Times New Roman Bold" w:hAnsi="Times New Roman Bold"/>
          <w:b/>
          <w:sz w:val="22"/>
          <w:szCs w:val="22"/>
        </w:rPr>
        <w:t xml:space="preserve">Figure </w:t>
      </w:r>
      <w:r w:rsidR="007F3589" w:rsidRPr="007F3589">
        <w:rPr>
          <w:rFonts w:ascii="Times New Roman Bold" w:hAnsi="Times New Roman Bold"/>
          <w:b/>
          <w:noProof/>
          <w:sz w:val="22"/>
          <w:szCs w:val="22"/>
        </w:rPr>
        <w:t>24</w:t>
      </w:r>
      <w:r w:rsidRPr="00B62C23">
        <w:rPr>
          <w:rFonts w:ascii="Times New Roman Bold" w:hAnsi="Times New Roman Bold"/>
          <w:b/>
          <w:sz w:val="22"/>
          <w:szCs w:val="22"/>
        </w:rPr>
        <w:fldChar w:fldCharType="end"/>
      </w:r>
      <w:r>
        <w:rPr>
          <w:sz w:val="22"/>
          <w:szCs w:val="22"/>
        </w:rPr>
        <w:t xml:space="preserve"> below, respectively.  These monitors </w:t>
      </w:r>
      <w:r w:rsidRPr="00E26245">
        <w:rPr>
          <w:sz w:val="22"/>
          <w:szCs w:val="22"/>
        </w:rPr>
        <w:t>indicate that Broward County is well within attainment of all applicable national and state NAAQS.</w:t>
      </w:r>
    </w:p>
    <w:p w:rsidR="005A6E9C" w:rsidRPr="00E26245" w:rsidRDefault="005A6E9C" w:rsidP="005A6E9C">
      <w:pPr>
        <w:autoSpaceDE w:val="0"/>
        <w:autoSpaceDN w:val="0"/>
        <w:adjustRightInd w:val="0"/>
        <w:spacing w:after="120"/>
        <w:rPr>
          <w:sz w:val="22"/>
          <w:szCs w:val="22"/>
        </w:rPr>
      </w:pPr>
      <w:r w:rsidRPr="00E26245">
        <w:rPr>
          <w:sz w:val="22"/>
          <w:szCs w:val="22"/>
        </w:rPr>
        <w:t>Ozone is a key indicator of the overall state of regional air quality.  It is not emitted directly from combustion processes; rather it is formed from VOC’s and NO</w:t>
      </w:r>
      <w:r w:rsidRPr="00E26245">
        <w:rPr>
          <w:sz w:val="22"/>
          <w:szCs w:val="22"/>
          <w:vertAlign w:val="subscript"/>
        </w:rPr>
        <w:t>2</w:t>
      </w:r>
      <w:r w:rsidRPr="00E26245">
        <w:rPr>
          <w:sz w:val="22"/>
          <w:szCs w:val="22"/>
        </w:rPr>
        <w:t xml:space="preserve"> emitted primarily from regional industrial and transportation sources.  VOC are also emitted from agricultural fires, natural drought-related fires and natural emissions from vegetation.  These two precursors participate in photochemical reactions that occur on an area-wide basis and are highly dependent on meteorological factors.</w:t>
      </w:r>
    </w:p>
    <w:p w:rsidR="00B74C20" w:rsidRDefault="00927CE6" w:rsidP="00E26245">
      <w:pPr>
        <w:widowControl w:val="0"/>
        <w:tabs>
          <w:tab w:val="left" w:pos="720"/>
        </w:tabs>
        <w:jc w:val="center"/>
        <w:rPr>
          <w:sz w:val="22"/>
          <w:szCs w:val="22"/>
        </w:rPr>
      </w:pPr>
      <w:r w:rsidRPr="00E26245">
        <w:rPr>
          <w:noProof/>
          <w:sz w:val="22"/>
          <w:szCs w:val="22"/>
        </w:rPr>
        <w:drawing>
          <wp:inline distT="0" distB="0" distL="0" distR="0">
            <wp:extent cx="5012907" cy="3873260"/>
            <wp:effectExtent l="0" t="0" r="0" b="0"/>
            <wp:docPr id="28" name="Picture 1" descr="O3 Flor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3 Florida.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041428" cy="3895297"/>
                    </a:xfrm>
                    <a:prstGeom prst="rect">
                      <a:avLst/>
                    </a:prstGeom>
                    <a:noFill/>
                    <a:ln>
                      <a:noFill/>
                    </a:ln>
                  </pic:spPr>
                </pic:pic>
              </a:graphicData>
            </a:graphic>
          </wp:inline>
        </w:drawing>
      </w:r>
    </w:p>
    <w:p w:rsidR="00E26245" w:rsidRDefault="00E26245" w:rsidP="00E26245">
      <w:pPr>
        <w:pStyle w:val="Caption"/>
        <w:spacing w:before="120"/>
        <w:jc w:val="center"/>
        <w:rPr>
          <w:rFonts w:ascii="Times New Roman Bold" w:hAnsi="Times New Roman Bold"/>
          <w:caps w:val="0"/>
        </w:rPr>
      </w:pPr>
      <w:bookmarkStart w:id="44" w:name="_Ref372020679"/>
      <w:r w:rsidRPr="00E26245">
        <w:rPr>
          <w:rFonts w:ascii="Times New Roman Bold" w:hAnsi="Times New Roman Bold"/>
          <w:caps w:val="0"/>
        </w:rPr>
        <w:t xml:space="preserve">Figure </w:t>
      </w:r>
      <w:r w:rsidRPr="00E26245">
        <w:rPr>
          <w:rFonts w:ascii="Times New Roman Bold" w:hAnsi="Times New Roman Bold"/>
          <w:caps w:val="0"/>
        </w:rPr>
        <w:fldChar w:fldCharType="begin"/>
      </w:r>
      <w:r w:rsidRPr="00E26245">
        <w:rPr>
          <w:rFonts w:ascii="Times New Roman Bold" w:hAnsi="Times New Roman Bold"/>
          <w:caps w:val="0"/>
        </w:rPr>
        <w:instrText xml:space="preserve"> SEQ Figure \* ARABIC </w:instrText>
      </w:r>
      <w:r w:rsidRPr="00E26245">
        <w:rPr>
          <w:rFonts w:ascii="Times New Roman Bold" w:hAnsi="Times New Roman Bold"/>
          <w:caps w:val="0"/>
        </w:rPr>
        <w:fldChar w:fldCharType="separate"/>
      </w:r>
      <w:r w:rsidR="007F3589">
        <w:rPr>
          <w:rFonts w:ascii="Times New Roman Bold" w:hAnsi="Times New Roman Bold"/>
          <w:caps w:val="0"/>
          <w:noProof/>
        </w:rPr>
        <w:t>22</w:t>
      </w:r>
      <w:r w:rsidRPr="00E26245">
        <w:rPr>
          <w:rFonts w:ascii="Times New Roman Bold" w:hAnsi="Times New Roman Bold"/>
          <w:caps w:val="0"/>
        </w:rPr>
        <w:fldChar w:fldCharType="end"/>
      </w:r>
      <w:bookmarkEnd w:id="44"/>
      <w:r w:rsidRPr="00E26245">
        <w:rPr>
          <w:rFonts w:ascii="Times New Roman Bold" w:hAnsi="Times New Roman Bold"/>
          <w:caps w:val="0"/>
        </w:rPr>
        <w:t>.  Florida Ozone Compliance Values</w:t>
      </w:r>
      <w:r>
        <w:rPr>
          <w:rFonts w:ascii="Times New Roman Bold" w:hAnsi="Times New Roman Bold"/>
          <w:caps w:val="0"/>
        </w:rPr>
        <w:t>.</w:t>
      </w:r>
    </w:p>
    <w:p w:rsidR="009B340E" w:rsidRPr="009B340E" w:rsidRDefault="009B340E" w:rsidP="009B340E">
      <w:r w:rsidRPr="009B340E">
        <w:t>PM</w:t>
      </w:r>
      <w:r w:rsidRPr="009B340E">
        <w:rPr>
          <w:vertAlign w:val="subscript"/>
        </w:rPr>
        <w:t>2.5</w:t>
      </w:r>
      <w:r w:rsidRPr="009B340E">
        <w:t xml:space="preserve"> (also known as PMfine) is another important indicator of regional air quality.  Some PM</w:t>
      </w:r>
      <w:r w:rsidRPr="009B340E">
        <w:rPr>
          <w:vertAlign w:val="subscript"/>
        </w:rPr>
        <w:t>2.5</w:t>
      </w:r>
      <w:r w:rsidRPr="009B340E">
        <w:t xml:space="preserve"> is directly emitted as a product of combustion from transportation and industrial sources, as well as from fires.  Much of it consists of particulate nitrates and sulfates formed through chemical reactions between gaseous precursors such as SO</w:t>
      </w:r>
      <w:r w:rsidRPr="009B340E">
        <w:rPr>
          <w:vertAlign w:val="subscript"/>
        </w:rPr>
        <w:t>2</w:t>
      </w:r>
      <w:r w:rsidRPr="009B340E">
        <w:t xml:space="preserve"> and NO</w:t>
      </w:r>
      <w:r w:rsidRPr="009B340E">
        <w:rPr>
          <w:vertAlign w:val="subscript"/>
        </w:rPr>
        <w:t>X</w:t>
      </w:r>
      <w:r w:rsidRPr="009B340E">
        <w:t xml:space="preserve"> from combustion sources and ammonia (NH</w:t>
      </w:r>
      <w:r w:rsidRPr="009B340E">
        <w:rPr>
          <w:vertAlign w:val="subscript"/>
        </w:rPr>
        <w:t>3</w:t>
      </w:r>
      <w:r w:rsidRPr="009B340E">
        <w:t>) naturally present in the air or added by other industrial sources.</w:t>
      </w:r>
    </w:p>
    <w:p w:rsidR="00B74C20" w:rsidRDefault="00927CE6" w:rsidP="00B62C23">
      <w:pPr>
        <w:widowControl w:val="0"/>
        <w:tabs>
          <w:tab w:val="left" w:pos="720"/>
        </w:tabs>
        <w:jc w:val="center"/>
        <w:rPr>
          <w:sz w:val="22"/>
          <w:szCs w:val="22"/>
        </w:rPr>
      </w:pPr>
      <w:r w:rsidRPr="00E26245">
        <w:rPr>
          <w:noProof/>
          <w:sz w:val="22"/>
          <w:szCs w:val="22"/>
        </w:rPr>
        <w:lastRenderedPageBreak/>
        <w:drawing>
          <wp:inline distT="0" distB="0" distL="0" distR="0">
            <wp:extent cx="4956201" cy="3830128"/>
            <wp:effectExtent l="0" t="0" r="0" b="0"/>
            <wp:docPr id="29" name="Picture 3" descr="NO2 Flor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2 Florida.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967025" cy="3838493"/>
                    </a:xfrm>
                    <a:prstGeom prst="rect">
                      <a:avLst/>
                    </a:prstGeom>
                    <a:noFill/>
                    <a:ln>
                      <a:noFill/>
                    </a:ln>
                  </pic:spPr>
                </pic:pic>
              </a:graphicData>
            </a:graphic>
          </wp:inline>
        </w:drawing>
      </w:r>
    </w:p>
    <w:p w:rsidR="00E26245" w:rsidRPr="00E26245" w:rsidRDefault="00E26245" w:rsidP="00E26245">
      <w:pPr>
        <w:pStyle w:val="Caption"/>
        <w:spacing w:before="120"/>
        <w:jc w:val="center"/>
        <w:rPr>
          <w:rFonts w:ascii="Times New Roman Bold" w:hAnsi="Times New Roman Bold"/>
          <w:caps w:val="0"/>
          <w:szCs w:val="22"/>
        </w:rPr>
      </w:pPr>
      <w:bookmarkStart w:id="45" w:name="_Ref372020682"/>
      <w:r w:rsidRPr="00E26245">
        <w:rPr>
          <w:rFonts w:ascii="Times New Roman Bold" w:hAnsi="Times New Roman Bold"/>
          <w:caps w:val="0"/>
        </w:rPr>
        <w:t xml:space="preserve">Figure </w:t>
      </w:r>
      <w:r w:rsidRPr="00E26245">
        <w:rPr>
          <w:rFonts w:ascii="Times New Roman Bold" w:hAnsi="Times New Roman Bold"/>
          <w:caps w:val="0"/>
        </w:rPr>
        <w:fldChar w:fldCharType="begin"/>
      </w:r>
      <w:r w:rsidRPr="00E26245">
        <w:rPr>
          <w:rFonts w:ascii="Times New Roman Bold" w:hAnsi="Times New Roman Bold"/>
          <w:caps w:val="0"/>
        </w:rPr>
        <w:instrText xml:space="preserve"> SEQ Figure \* ARABIC </w:instrText>
      </w:r>
      <w:r w:rsidRPr="00E26245">
        <w:rPr>
          <w:rFonts w:ascii="Times New Roman Bold" w:hAnsi="Times New Roman Bold"/>
          <w:caps w:val="0"/>
        </w:rPr>
        <w:fldChar w:fldCharType="separate"/>
      </w:r>
      <w:r w:rsidR="007F3589">
        <w:rPr>
          <w:rFonts w:ascii="Times New Roman Bold" w:hAnsi="Times New Roman Bold"/>
          <w:caps w:val="0"/>
          <w:noProof/>
        </w:rPr>
        <w:t>23</w:t>
      </w:r>
      <w:r w:rsidRPr="00E26245">
        <w:rPr>
          <w:rFonts w:ascii="Times New Roman Bold" w:hAnsi="Times New Roman Bold"/>
          <w:caps w:val="0"/>
        </w:rPr>
        <w:fldChar w:fldCharType="end"/>
      </w:r>
      <w:bookmarkEnd w:id="45"/>
      <w:r w:rsidRPr="00E26245">
        <w:rPr>
          <w:rFonts w:ascii="Times New Roman Bold" w:hAnsi="Times New Roman Bold"/>
          <w:caps w:val="0"/>
        </w:rPr>
        <w:t>.  Florida NO</w:t>
      </w:r>
      <w:r w:rsidRPr="00E26245">
        <w:rPr>
          <w:rFonts w:ascii="Times New Roman Bold" w:hAnsi="Times New Roman Bold"/>
          <w:caps w:val="0"/>
          <w:vertAlign w:val="subscript"/>
        </w:rPr>
        <w:t>2</w:t>
      </w:r>
      <w:r w:rsidRPr="00E26245">
        <w:rPr>
          <w:rFonts w:ascii="Times New Roman Bold" w:hAnsi="Times New Roman Bold"/>
          <w:caps w:val="0"/>
        </w:rPr>
        <w:t xml:space="preserve"> Compliance Values</w:t>
      </w:r>
    </w:p>
    <w:p w:rsidR="00E26245" w:rsidRDefault="00927CE6" w:rsidP="00B62C23">
      <w:pPr>
        <w:widowControl w:val="0"/>
        <w:tabs>
          <w:tab w:val="left" w:pos="720"/>
        </w:tabs>
        <w:jc w:val="center"/>
        <w:rPr>
          <w:sz w:val="22"/>
          <w:szCs w:val="22"/>
        </w:rPr>
      </w:pPr>
      <w:r w:rsidRPr="00B62C23">
        <w:rPr>
          <w:noProof/>
          <w:sz w:val="22"/>
          <w:szCs w:val="22"/>
        </w:rPr>
        <w:drawing>
          <wp:inline distT="0" distB="0" distL="0" distR="0">
            <wp:extent cx="4947249" cy="3826162"/>
            <wp:effectExtent l="0" t="0" r="6350" b="3175"/>
            <wp:docPr id="30" name="Picture 2" descr="PM25 Flori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M25 Florida.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60858" cy="3836687"/>
                    </a:xfrm>
                    <a:prstGeom prst="rect">
                      <a:avLst/>
                    </a:prstGeom>
                    <a:noFill/>
                    <a:ln>
                      <a:noFill/>
                    </a:ln>
                  </pic:spPr>
                </pic:pic>
              </a:graphicData>
            </a:graphic>
          </wp:inline>
        </w:drawing>
      </w:r>
    </w:p>
    <w:p w:rsidR="00E26245" w:rsidRPr="00B62C23" w:rsidRDefault="00E26245" w:rsidP="00B62C23">
      <w:pPr>
        <w:pStyle w:val="Caption"/>
        <w:spacing w:before="120"/>
        <w:jc w:val="center"/>
        <w:rPr>
          <w:rFonts w:ascii="Times New Roman Bold" w:hAnsi="Times New Roman Bold"/>
          <w:caps w:val="0"/>
          <w:szCs w:val="22"/>
        </w:rPr>
      </w:pPr>
      <w:bookmarkStart w:id="46" w:name="_Ref372020683"/>
      <w:r w:rsidRPr="00B62C23">
        <w:rPr>
          <w:rFonts w:ascii="Times New Roman Bold" w:hAnsi="Times New Roman Bold"/>
          <w:caps w:val="0"/>
        </w:rPr>
        <w:t xml:space="preserve">Figure </w:t>
      </w:r>
      <w:r w:rsidRPr="00B62C23">
        <w:rPr>
          <w:rFonts w:ascii="Times New Roman Bold" w:hAnsi="Times New Roman Bold"/>
          <w:caps w:val="0"/>
        </w:rPr>
        <w:fldChar w:fldCharType="begin"/>
      </w:r>
      <w:r w:rsidRPr="00B62C23">
        <w:rPr>
          <w:rFonts w:ascii="Times New Roman Bold" w:hAnsi="Times New Roman Bold"/>
          <w:caps w:val="0"/>
        </w:rPr>
        <w:instrText xml:space="preserve"> SEQ Figure \* ARABIC </w:instrText>
      </w:r>
      <w:r w:rsidRPr="00B62C23">
        <w:rPr>
          <w:rFonts w:ascii="Times New Roman Bold" w:hAnsi="Times New Roman Bold"/>
          <w:caps w:val="0"/>
        </w:rPr>
        <w:fldChar w:fldCharType="separate"/>
      </w:r>
      <w:r w:rsidR="007F3589">
        <w:rPr>
          <w:rFonts w:ascii="Times New Roman Bold" w:hAnsi="Times New Roman Bold"/>
          <w:caps w:val="0"/>
          <w:noProof/>
        </w:rPr>
        <w:t>24</w:t>
      </w:r>
      <w:r w:rsidRPr="00B62C23">
        <w:rPr>
          <w:rFonts w:ascii="Times New Roman Bold" w:hAnsi="Times New Roman Bold"/>
          <w:caps w:val="0"/>
        </w:rPr>
        <w:fldChar w:fldCharType="end"/>
      </w:r>
      <w:bookmarkEnd w:id="46"/>
      <w:r w:rsidRPr="00B62C23">
        <w:rPr>
          <w:rFonts w:ascii="Times New Roman Bold" w:hAnsi="Times New Roman Bold"/>
          <w:caps w:val="0"/>
        </w:rPr>
        <w:t xml:space="preserve">.  </w:t>
      </w:r>
      <w:r w:rsidR="00B62C23" w:rsidRPr="00B62C23">
        <w:rPr>
          <w:rFonts w:ascii="Times New Roman Bold" w:hAnsi="Times New Roman Bold"/>
          <w:caps w:val="0"/>
        </w:rPr>
        <w:t>Florida PM</w:t>
      </w:r>
      <w:r w:rsidR="00B62C23" w:rsidRPr="00B62C23">
        <w:rPr>
          <w:rFonts w:ascii="Times New Roman Bold" w:hAnsi="Times New Roman Bold"/>
          <w:caps w:val="0"/>
          <w:vertAlign w:val="subscript"/>
        </w:rPr>
        <w:t>2.5</w:t>
      </w:r>
      <w:r w:rsidR="00B62C23" w:rsidRPr="00B62C23">
        <w:rPr>
          <w:rFonts w:ascii="Times New Roman Bold" w:hAnsi="Times New Roman Bold"/>
          <w:caps w:val="0"/>
        </w:rPr>
        <w:t xml:space="preserve"> Compliance Values</w:t>
      </w:r>
    </w:p>
    <w:p w:rsidR="00E26245" w:rsidRPr="00B62C23" w:rsidRDefault="00B62C23" w:rsidP="00B62C23">
      <w:pPr>
        <w:widowControl w:val="0"/>
        <w:numPr>
          <w:ilvl w:val="1"/>
          <w:numId w:val="2"/>
        </w:numPr>
        <w:tabs>
          <w:tab w:val="left" w:pos="720"/>
        </w:tabs>
        <w:spacing w:after="120"/>
        <w:ind w:left="720" w:hanging="720"/>
        <w:rPr>
          <w:rFonts w:ascii="Times New Roman Bold" w:hAnsi="Times New Roman Bold"/>
          <w:b/>
          <w:sz w:val="22"/>
          <w:szCs w:val="22"/>
        </w:rPr>
      </w:pPr>
      <w:r w:rsidRPr="00B62C23">
        <w:rPr>
          <w:rFonts w:ascii="Times New Roman Bold" w:hAnsi="Times New Roman Bold"/>
          <w:b/>
          <w:sz w:val="22"/>
          <w:szCs w:val="22"/>
        </w:rPr>
        <w:lastRenderedPageBreak/>
        <w:t>Air Quality Impact Modeling</w:t>
      </w:r>
    </w:p>
    <w:p w:rsidR="00B62C23" w:rsidRPr="00B62C23" w:rsidRDefault="00B62C23" w:rsidP="00B62C23">
      <w:pPr>
        <w:widowControl w:val="0"/>
        <w:numPr>
          <w:ilvl w:val="2"/>
          <w:numId w:val="2"/>
        </w:numPr>
        <w:tabs>
          <w:tab w:val="left" w:pos="720"/>
        </w:tabs>
        <w:spacing w:after="120"/>
        <w:ind w:left="720" w:hanging="720"/>
        <w:rPr>
          <w:sz w:val="22"/>
          <w:szCs w:val="22"/>
        </w:rPr>
      </w:pPr>
      <w:r w:rsidRPr="00B62C23">
        <w:rPr>
          <w:sz w:val="22"/>
          <w:szCs w:val="22"/>
          <w:u w:val="single"/>
        </w:rPr>
        <w:t>Models, Emissions Data, and Meteorological Data</w:t>
      </w:r>
    </w:p>
    <w:p w:rsidR="00EC177C" w:rsidRPr="00EC177C" w:rsidRDefault="00EC177C" w:rsidP="00EC177C">
      <w:pPr>
        <w:autoSpaceDE w:val="0"/>
        <w:autoSpaceDN w:val="0"/>
        <w:adjustRightInd w:val="0"/>
        <w:spacing w:after="120"/>
        <w:rPr>
          <w:sz w:val="22"/>
        </w:rPr>
      </w:pPr>
      <w:r w:rsidRPr="00EC177C">
        <w:rPr>
          <w:sz w:val="22"/>
        </w:rPr>
        <w:t xml:space="preserve">The EPA-approved AERMOD modeling system was used to evaluate the pollutant emissions from the project in the surrounding Class II areas.  AERMOD is a Gaussian steady-state plume dispersion modeling system that simulates pollutant dispersion methods based on planetary boundary layer turbulence structure and scaling concepts, including the treatment of both surface and elevated sources, and both simple and complex terrain.  AERMOD contains two input data processors: the AERMET meteorological processor and the AERMAP terrain processor. </w:t>
      </w:r>
    </w:p>
    <w:p w:rsidR="00EC177C" w:rsidRPr="00EC177C" w:rsidRDefault="00EC177C" w:rsidP="00EC177C">
      <w:pPr>
        <w:autoSpaceDE w:val="0"/>
        <w:autoSpaceDN w:val="0"/>
        <w:adjustRightInd w:val="0"/>
        <w:spacing w:after="120"/>
        <w:rPr>
          <w:sz w:val="22"/>
        </w:rPr>
      </w:pPr>
      <w:r w:rsidRPr="00EC177C">
        <w:rPr>
          <w:sz w:val="22"/>
        </w:rPr>
        <w:t xml:space="preserve">The applicant used a series of specific model features recommended by the EPA that are referred to as the regulatory options.  Direction specific downwash parameters were used for all sources for which downwash was considered.  Emissions data used in the modeling analysis were obtained from the DEP ARMS database, DEP permit files, and recent PSD permit reviews.  </w:t>
      </w:r>
    </w:p>
    <w:p w:rsidR="0084055F" w:rsidRDefault="00EC177C" w:rsidP="00EC177C">
      <w:pPr>
        <w:autoSpaceDE w:val="0"/>
        <w:autoSpaceDN w:val="0"/>
        <w:adjustRightInd w:val="0"/>
        <w:spacing w:after="120"/>
        <w:rPr>
          <w:sz w:val="22"/>
        </w:rPr>
      </w:pPr>
      <w:r w:rsidRPr="00EC177C">
        <w:rPr>
          <w:sz w:val="22"/>
        </w:rPr>
        <w:t>The AERMET meteorological data used with the AERMOD model consisted of a continuous 5-year period of hourly surface weather observations from the National Weather Service (NWS) Automated Surface Observing System (ASOS) station located at the Fort Lauderdale-Hollywood International Airport (FLL). The upper air sounding data used was collected from the Florida International University in Miami (FIU).  This data was compiled by the DEP for the period 2006 through 2010 with the inclusion of a land cover and use analysis input from AERSURFACE, and a detailed wind data</w:t>
      </w:r>
      <w:r>
        <w:rPr>
          <w:sz w:val="22"/>
        </w:rPr>
        <w:t xml:space="preserve"> from AERMINUTE</w:t>
      </w:r>
      <w:r w:rsidRPr="00EC177C">
        <w:rPr>
          <w:sz w:val="22"/>
        </w:rPr>
        <w:t xml:space="preserve">.  The ASOS station at FLL is located approximately 4 km due east of the FTY project site and is the closest primary weather station considered to have representative meteorological data. </w:t>
      </w:r>
      <w:r>
        <w:rPr>
          <w:sz w:val="22"/>
        </w:rPr>
        <w:t xml:space="preserve"> </w:t>
      </w:r>
      <w:r w:rsidRPr="00EC177C">
        <w:rPr>
          <w:sz w:val="22"/>
        </w:rPr>
        <w:t xml:space="preserve">As the FMY ASOS station is only 4 km from the project site, both sites are in close proximity to the coastline and the terrain between the two sites is mostly flat, the wind direction and wind speed frequencies measured at the ASOS location are considered to be representative of the project site. </w:t>
      </w:r>
    </w:p>
    <w:p w:rsidR="00B62C23" w:rsidRDefault="00EC177C" w:rsidP="0084055F">
      <w:pPr>
        <w:widowControl w:val="0"/>
        <w:numPr>
          <w:ilvl w:val="2"/>
          <w:numId w:val="2"/>
        </w:numPr>
        <w:tabs>
          <w:tab w:val="left" w:pos="720"/>
        </w:tabs>
        <w:spacing w:after="120"/>
        <w:ind w:left="720" w:hanging="720"/>
        <w:rPr>
          <w:sz w:val="22"/>
          <w:szCs w:val="22"/>
        </w:rPr>
      </w:pPr>
      <w:r w:rsidRPr="00EC177C">
        <w:rPr>
          <w:sz w:val="22"/>
          <w:szCs w:val="22"/>
          <w:u w:val="single"/>
        </w:rPr>
        <w:t>Significant Impact Analysis</w:t>
      </w:r>
    </w:p>
    <w:p w:rsidR="00EC177C" w:rsidRPr="00EC177C" w:rsidRDefault="00EC177C" w:rsidP="00EC177C">
      <w:pPr>
        <w:autoSpaceDE w:val="0"/>
        <w:autoSpaceDN w:val="0"/>
        <w:adjustRightInd w:val="0"/>
        <w:spacing w:after="120"/>
        <w:rPr>
          <w:sz w:val="22"/>
        </w:rPr>
      </w:pPr>
      <w:r w:rsidRPr="00EC177C">
        <w:rPr>
          <w:sz w:val="22"/>
        </w:rPr>
        <w:t xml:space="preserve">The general modeling approach for the significant impact analysis for the </w:t>
      </w:r>
      <w:r>
        <w:rPr>
          <w:sz w:val="22"/>
        </w:rPr>
        <w:t>Lauderdale peaker unit replacement</w:t>
      </w:r>
      <w:r w:rsidRPr="00EC177C">
        <w:rPr>
          <w:sz w:val="22"/>
        </w:rPr>
        <w:t xml:space="preserve"> project followed the EPA and the DEP modeling guidelines for determining compliance with NAAQS and PSD increments.  For all criteria pollutants that will be emitted in excess of the PSD SER due to a proposed project, a significant impact analysis is performed to determine whether the emission and/or stack configuration changes due to the project alone will result in predicted impacts that are in excess of the SIL for Class I (designated areas such as National Parks) and Class II areas (everywhere else).  For the proposed project, emissions increases above the PSD SER occur for the following criteria pollutants: </w:t>
      </w:r>
      <w:r w:rsidR="00FD3582">
        <w:rPr>
          <w:sz w:val="22"/>
        </w:rPr>
        <w:t xml:space="preserve"> </w:t>
      </w:r>
      <w:r w:rsidRPr="00EC177C">
        <w:rPr>
          <w:sz w:val="22"/>
        </w:rPr>
        <w:t>PM</w:t>
      </w:r>
      <w:r w:rsidRPr="00EC177C">
        <w:rPr>
          <w:sz w:val="22"/>
          <w:vertAlign w:val="subscript"/>
        </w:rPr>
        <w:t>10</w:t>
      </w:r>
      <w:r w:rsidRPr="00EC177C">
        <w:rPr>
          <w:sz w:val="22"/>
        </w:rPr>
        <w:t>, PM</w:t>
      </w:r>
      <w:r w:rsidRPr="00EC177C">
        <w:rPr>
          <w:sz w:val="22"/>
          <w:vertAlign w:val="subscript"/>
        </w:rPr>
        <w:t>2.5</w:t>
      </w:r>
      <w:r w:rsidRPr="00EC177C">
        <w:rPr>
          <w:sz w:val="22"/>
        </w:rPr>
        <w:t>, CO, VOC’s and NO</w:t>
      </w:r>
      <w:r w:rsidRPr="00EC177C">
        <w:rPr>
          <w:sz w:val="22"/>
          <w:vertAlign w:val="subscript"/>
        </w:rPr>
        <w:t>X</w:t>
      </w:r>
      <w:r w:rsidRPr="00EC177C">
        <w:rPr>
          <w:sz w:val="22"/>
        </w:rPr>
        <w:t xml:space="preserve">.  A significant impact analysis was completed for these pollutants (except VOC’s) to determine if the project may cause an increase in ground-level concentration greater than the SIL for each. </w:t>
      </w:r>
    </w:p>
    <w:p w:rsidR="00EC177C" w:rsidRPr="00EC177C" w:rsidRDefault="00EC177C" w:rsidP="00EC177C">
      <w:pPr>
        <w:autoSpaceDE w:val="0"/>
        <w:autoSpaceDN w:val="0"/>
        <w:adjustRightInd w:val="0"/>
        <w:spacing w:after="120"/>
        <w:rPr>
          <w:sz w:val="22"/>
        </w:rPr>
      </w:pPr>
      <w:r w:rsidRPr="00EC177C">
        <w:rPr>
          <w:sz w:val="22"/>
        </w:rPr>
        <w:t>If the modeling for a particular pollutant shows ground-level increases less than it’s SIL, the applicant need not conduct any further modeling.  If the modeled concentrations from the project exceed the SIL, then additional refined modeling, including emissions from nearby facilities and/or projects (cumulative modeling), is required to determine the proposed project’s impacts compared to the NAAQS and PSD increments for those pollutants.</w:t>
      </w:r>
    </w:p>
    <w:p w:rsidR="00EC177C" w:rsidRDefault="00EC177C" w:rsidP="00EC177C">
      <w:pPr>
        <w:widowControl w:val="0"/>
        <w:numPr>
          <w:ilvl w:val="3"/>
          <w:numId w:val="2"/>
        </w:numPr>
        <w:tabs>
          <w:tab w:val="left" w:pos="720"/>
        </w:tabs>
        <w:spacing w:after="120"/>
        <w:ind w:left="720" w:hanging="720"/>
        <w:rPr>
          <w:sz w:val="22"/>
          <w:szCs w:val="22"/>
        </w:rPr>
      </w:pPr>
      <w:r w:rsidRPr="00EC177C">
        <w:rPr>
          <w:bCs/>
          <w:i/>
          <w:sz w:val="22"/>
          <w:szCs w:val="22"/>
        </w:rPr>
        <w:t>Class II SIL</w:t>
      </w:r>
    </w:p>
    <w:p w:rsidR="00EC177C" w:rsidRPr="00EC177C" w:rsidRDefault="00EC177C" w:rsidP="00EC177C">
      <w:pPr>
        <w:widowControl w:val="0"/>
        <w:tabs>
          <w:tab w:val="left" w:pos="720"/>
        </w:tabs>
        <w:spacing w:after="120"/>
        <w:rPr>
          <w:sz w:val="22"/>
          <w:szCs w:val="22"/>
        </w:rPr>
      </w:pPr>
      <w:r w:rsidRPr="00EC177C">
        <w:rPr>
          <w:sz w:val="22"/>
          <w:szCs w:val="22"/>
        </w:rPr>
        <w:t xml:space="preserve">A specific </w:t>
      </w:r>
      <w:r w:rsidR="00FD3582">
        <w:rPr>
          <w:sz w:val="22"/>
          <w:szCs w:val="22"/>
        </w:rPr>
        <w:t>CT</w:t>
      </w:r>
      <w:r w:rsidRPr="00EC177C">
        <w:rPr>
          <w:sz w:val="22"/>
          <w:szCs w:val="22"/>
        </w:rPr>
        <w:t xml:space="preserve"> manufacturer for the project has yet to be chosen, however FPL has narrowed its choice down to two separate models.  Thus, air quality modeling was performed for both candidate models. </w:t>
      </w:r>
      <w:r>
        <w:rPr>
          <w:sz w:val="22"/>
          <w:szCs w:val="22"/>
        </w:rPr>
        <w:t xml:space="preserve"> </w:t>
      </w:r>
      <w:r w:rsidRPr="00EC177C">
        <w:rPr>
          <w:sz w:val="22"/>
          <w:szCs w:val="22"/>
        </w:rPr>
        <w:t xml:space="preserve">The highest concentration calculated for each pollutant from either of the </w:t>
      </w:r>
      <w:r w:rsidR="00FD3582">
        <w:rPr>
          <w:sz w:val="22"/>
          <w:szCs w:val="22"/>
        </w:rPr>
        <w:t>CT</w:t>
      </w:r>
      <w:r w:rsidRPr="00EC177C">
        <w:rPr>
          <w:sz w:val="22"/>
          <w:szCs w:val="22"/>
        </w:rPr>
        <w:t xml:space="preserve"> models was used in the analysis. </w:t>
      </w:r>
      <w:r>
        <w:rPr>
          <w:sz w:val="22"/>
          <w:szCs w:val="22"/>
        </w:rPr>
        <w:t xml:space="preserve"> </w:t>
      </w:r>
      <w:r w:rsidRPr="00EC177C">
        <w:rPr>
          <w:sz w:val="22"/>
          <w:szCs w:val="22"/>
        </w:rPr>
        <w:t xml:space="preserve">The applicant is conservatively seeking permitted authority to operate the turbines for up to 3,390 hours per year using natural gas, of which ULSD </w:t>
      </w:r>
      <w:r>
        <w:rPr>
          <w:sz w:val="22"/>
          <w:szCs w:val="22"/>
        </w:rPr>
        <w:t>fuel</w:t>
      </w:r>
      <w:r w:rsidRPr="00EC177C">
        <w:rPr>
          <w:sz w:val="22"/>
          <w:szCs w:val="22"/>
        </w:rPr>
        <w:t xml:space="preserve"> oil could be used up to 500 hours per year. </w:t>
      </w:r>
      <w:r>
        <w:rPr>
          <w:sz w:val="22"/>
          <w:szCs w:val="22"/>
        </w:rPr>
        <w:t xml:space="preserve"> </w:t>
      </w:r>
      <w:r w:rsidRPr="00EC177C">
        <w:rPr>
          <w:sz w:val="22"/>
          <w:szCs w:val="22"/>
        </w:rPr>
        <w:t xml:space="preserve">To determine the ‘worst case scenario’ for emissions, each turbine model was evaluated at a range of operating temperatures, loads, and fuels. </w:t>
      </w:r>
      <w:r>
        <w:rPr>
          <w:sz w:val="22"/>
          <w:szCs w:val="22"/>
        </w:rPr>
        <w:t xml:space="preserve"> </w:t>
      </w:r>
      <w:r w:rsidRPr="00EC177C">
        <w:rPr>
          <w:sz w:val="22"/>
          <w:szCs w:val="22"/>
        </w:rPr>
        <w:t>To perform this evaluation, exhaust exit temperatures and velocities were calculated for each of the temperature, load, and fuel combinations.</w:t>
      </w:r>
      <w:r>
        <w:rPr>
          <w:sz w:val="22"/>
          <w:szCs w:val="22"/>
        </w:rPr>
        <w:t xml:space="preserve"> </w:t>
      </w:r>
      <w:r w:rsidRPr="00EC177C">
        <w:rPr>
          <w:sz w:val="22"/>
          <w:szCs w:val="22"/>
        </w:rPr>
        <w:t xml:space="preserve"> Using these figures AERMOD was </w:t>
      </w:r>
      <w:r w:rsidRPr="00EC177C">
        <w:rPr>
          <w:sz w:val="22"/>
          <w:szCs w:val="22"/>
        </w:rPr>
        <w:lastRenderedPageBreak/>
        <w:t xml:space="preserve">run with a generic emissions rate of 10 g/s (for all </w:t>
      </w:r>
      <w:r>
        <w:rPr>
          <w:sz w:val="22"/>
          <w:szCs w:val="22"/>
        </w:rPr>
        <w:t>five</w:t>
      </w:r>
      <w:r w:rsidRPr="00EC177C">
        <w:rPr>
          <w:sz w:val="22"/>
          <w:szCs w:val="22"/>
        </w:rPr>
        <w:t xml:space="preserve"> turbines combined) for 8,760 hr/yr at each configuration. </w:t>
      </w:r>
      <w:r w:rsidR="00FD3582">
        <w:rPr>
          <w:sz w:val="22"/>
          <w:szCs w:val="22"/>
        </w:rPr>
        <w:t xml:space="preserve"> </w:t>
      </w:r>
      <w:r w:rsidRPr="00EC177C">
        <w:rPr>
          <w:sz w:val="22"/>
          <w:szCs w:val="22"/>
        </w:rPr>
        <w:t xml:space="preserve">The resulting 1-hr, 3-hr, 8-hr, 24-hr, and annual average concentrations for each pollutant were then multiplied by the ratio of the pollutant-specific emission rate to the generic emission rate to determine actual ground-level concentrations.  </w:t>
      </w:r>
      <w:r w:rsidRPr="00EC177C">
        <w:rPr>
          <w:bCs/>
          <w:sz w:val="22"/>
          <w:szCs w:val="22"/>
        </w:rPr>
        <w:t>In general, lower ambient air temperatures and a higher operating load led to higher ground-level concentrations for NO</w:t>
      </w:r>
      <w:r w:rsidRPr="00EC177C">
        <w:rPr>
          <w:bCs/>
          <w:sz w:val="22"/>
          <w:szCs w:val="22"/>
          <w:vertAlign w:val="subscript"/>
        </w:rPr>
        <w:t>2</w:t>
      </w:r>
      <w:r w:rsidRPr="00EC177C">
        <w:rPr>
          <w:bCs/>
          <w:sz w:val="22"/>
          <w:szCs w:val="22"/>
        </w:rPr>
        <w:t xml:space="preserve">. </w:t>
      </w:r>
      <w:r>
        <w:rPr>
          <w:bCs/>
          <w:sz w:val="22"/>
          <w:szCs w:val="22"/>
        </w:rPr>
        <w:t xml:space="preserve"> </w:t>
      </w:r>
      <w:r w:rsidRPr="00EC177C">
        <w:rPr>
          <w:bCs/>
          <w:sz w:val="22"/>
          <w:szCs w:val="22"/>
        </w:rPr>
        <w:t>Concentrations of PM</w:t>
      </w:r>
      <w:r w:rsidRPr="00EC177C">
        <w:rPr>
          <w:bCs/>
          <w:sz w:val="22"/>
          <w:szCs w:val="22"/>
          <w:vertAlign w:val="subscript"/>
        </w:rPr>
        <w:t>10</w:t>
      </w:r>
      <w:r w:rsidRPr="00EC177C">
        <w:rPr>
          <w:bCs/>
          <w:sz w:val="22"/>
          <w:szCs w:val="22"/>
        </w:rPr>
        <w:t>, PM</w:t>
      </w:r>
      <w:r w:rsidRPr="00EC177C">
        <w:rPr>
          <w:bCs/>
          <w:sz w:val="22"/>
          <w:szCs w:val="22"/>
          <w:vertAlign w:val="subscript"/>
        </w:rPr>
        <w:t>2.5</w:t>
      </w:r>
      <w:r w:rsidRPr="00EC177C">
        <w:rPr>
          <w:bCs/>
          <w:sz w:val="22"/>
          <w:szCs w:val="22"/>
        </w:rPr>
        <w:t xml:space="preserve">, and CO however, exhibited higher concentrations at lower temperatures and lower operating loads. </w:t>
      </w:r>
      <w:r>
        <w:rPr>
          <w:bCs/>
          <w:sz w:val="22"/>
          <w:szCs w:val="22"/>
        </w:rPr>
        <w:t xml:space="preserve"> </w:t>
      </w:r>
      <w:r w:rsidRPr="00EC177C">
        <w:rPr>
          <w:bCs/>
          <w:sz w:val="22"/>
          <w:szCs w:val="22"/>
        </w:rPr>
        <w:t xml:space="preserve">The highest calculated concentration for each pollutant, from any combination of temperature, load, fuel, and turbine model, was then compared to the PSD Class II SIL </w:t>
      </w:r>
      <w:r w:rsidRPr="004F1685">
        <w:rPr>
          <w:bCs/>
          <w:sz w:val="22"/>
          <w:szCs w:val="22"/>
        </w:rPr>
        <w:t>(</w:t>
      </w:r>
      <w:r w:rsidR="00FD3582">
        <w:rPr>
          <w:bCs/>
          <w:sz w:val="22"/>
          <w:szCs w:val="22"/>
        </w:rPr>
        <w:t xml:space="preserve">see </w:t>
      </w:r>
      <w:r w:rsidR="004F1685" w:rsidRPr="004F1685">
        <w:rPr>
          <w:b/>
          <w:sz w:val="22"/>
          <w:szCs w:val="22"/>
        </w:rPr>
        <w:fldChar w:fldCharType="begin"/>
      </w:r>
      <w:r w:rsidR="004F1685" w:rsidRPr="004F1685">
        <w:rPr>
          <w:b/>
          <w:sz w:val="22"/>
          <w:szCs w:val="22"/>
        </w:rPr>
        <w:instrText xml:space="preserve"> REF _Ref372023455 \h  \* MERGEFORMAT </w:instrText>
      </w:r>
      <w:r w:rsidR="004F1685" w:rsidRPr="004F1685">
        <w:rPr>
          <w:b/>
          <w:sz w:val="22"/>
          <w:szCs w:val="22"/>
        </w:rPr>
      </w:r>
      <w:r w:rsidR="004F1685" w:rsidRPr="004F1685">
        <w:rPr>
          <w:b/>
          <w:sz w:val="22"/>
          <w:szCs w:val="22"/>
        </w:rPr>
        <w:fldChar w:fldCharType="separate"/>
      </w:r>
      <w:r w:rsidR="007F3589" w:rsidRPr="007F3589">
        <w:rPr>
          <w:b/>
          <w:sz w:val="22"/>
          <w:szCs w:val="22"/>
        </w:rPr>
        <w:t xml:space="preserve">Table </w:t>
      </w:r>
      <w:r w:rsidR="007F3589" w:rsidRPr="007F3589">
        <w:rPr>
          <w:b/>
          <w:noProof/>
          <w:sz w:val="22"/>
          <w:szCs w:val="22"/>
        </w:rPr>
        <w:t>20</w:t>
      </w:r>
      <w:r w:rsidR="004F1685" w:rsidRPr="004F1685">
        <w:rPr>
          <w:b/>
          <w:sz w:val="22"/>
          <w:szCs w:val="22"/>
        </w:rPr>
        <w:fldChar w:fldCharType="end"/>
      </w:r>
      <w:r w:rsidRPr="004F1685">
        <w:rPr>
          <w:bCs/>
          <w:sz w:val="22"/>
          <w:szCs w:val="22"/>
        </w:rPr>
        <w:t>)</w:t>
      </w:r>
      <w:r w:rsidRPr="00EC177C">
        <w:rPr>
          <w:bCs/>
          <w:sz w:val="22"/>
          <w:szCs w:val="22"/>
        </w:rPr>
        <w:t xml:space="preserve">. This approach, including the assumption of 8,760 hr/yr operation on individual fuels, is considered to be conservative in nature. </w:t>
      </w:r>
    </w:p>
    <w:p w:rsidR="00EC177C" w:rsidRPr="00EC177C" w:rsidRDefault="00EC177C" w:rsidP="009B1D4A">
      <w:pPr>
        <w:widowControl w:val="0"/>
        <w:tabs>
          <w:tab w:val="left" w:pos="720"/>
        </w:tabs>
        <w:spacing w:after="60"/>
        <w:rPr>
          <w:sz w:val="22"/>
          <w:szCs w:val="22"/>
        </w:rPr>
      </w:pPr>
      <w:r w:rsidRPr="00EC177C">
        <w:rPr>
          <w:sz w:val="22"/>
          <w:szCs w:val="22"/>
        </w:rPr>
        <w:t>In the Class II modeling analysis, receptor locations used in both modeling analyses were based on Universal Transverse Mercator (UTM) coordinates from Zone 17, North American Datum 1983 (NAD83).  A combination of fence line, near-field and far-field receptors were chosen for predicting maximum concentrations in the vicinity of the project.  The air modeling domain was set as a 20</w:t>
      </w:r>
      <w:r w:rsidR="00FD3582">
        <w:rPr>
          <w:sz w:val="22"/>
          <w:szCs w:val="22"/>
        </w:rPr>
        <w:t xml:space="preserve"> </w:t>
      </w:r>
      <w:r w:rsidRPr="00EC177C">
        <w:rPr>
          <w:sz w:val="22"/>
          <w:szCs w:val="22"/>
        </w:rPr>
        <w:t>km X 20</w:t>
      </w:r>
      <w:r w:rsidR="00FD3582">
        <w:rPr>
          <w:sz w:val="22"/>
          <w:szCs w:val="22"/>
        </w:rPr>
        <w:t xml:space="preserve"> </w:t>
      </w:r>
      <w:r w:rsidRPr="00EC177C">
        <w:rPr>
          <w:sz w:val="22"/>
          <w:szCs w:val="22"/>
        </w:rPr>
        <w:t>km grid centered at UTM 17N and east and north coordinates of 580</w:t>
      </w:r>
      <w:r w:rsidR="00C85DF2">
        <w:rPr>
          <w:sz w:val="22"/>
          <w:szCs w:val="22"/>
        </w:rPr>
        <w:t>,</w:t>
      </w:r>
      <w:r w:rsidRPr="00EC177C">
        <w:rPr>
          <w:sz w:val="22"/>
          <w:szCs w:val="22"/>
        </w:rPr>
        <w:t>214 and 2</w:t>
      </w:r>
      <w:r w:rsidR="00C85DF2">
        <w:rPr>
          <w:sz w:val="22"/>
          <w:szCs w:val="22"/>
        </w:rPr>
        <w:t>,</w:t>
      </w:r>
      <w:r w:rsidRPr="00EC177C">
        <w:rPr>
          <w:sz w:val="22"/>
          <w:szCs w:val="22"/>
        </w:rPr>
        <w:t>88</w:t>
      </w:r>
      <w:r w:rsidR="00C85DF2">
        <w:rPr>
          <w:sz w:val="22"/>
          <w:szCs w:val="22"/>
        </w:rPr>
        <w:t>,</w:t>
      </w:r>
      <w:r w:rsidRPr="00EC177C">
        <w:rPr>
          <w:sz w:val="22"/>
          <w:szCs w:val="22"/>
        </w:rPr>
        <w:t>4227 meters, respectively.  A discrete Cartesian grid of 3,068 receptors was located at the following intervals and distances:</w:t>
      </w:r>
    </w:p>
    <w:p w:rsidR="00EC177C" w:rsidRPr="00EC177C" w:rsidRDefault="00EC177C" w:rsidP="009B1D4A">
      <w:pPr>
        <w:widowControl w:val="0"/>
        <w:numPr>
          <w:ilvl w:val="0"/>
          <w:numId w:val="27"/>
        </w:numPr>
        <w:spacing w:after="60"/>
        <w:ind w:left="360"/>
        <w:rPr>
          <w:sz w:val="22"/>
          <w:szCs w:val="22"/>
        </w:rPr>
      </w:pPr>
      <w:r w:rsidRPr="00EC177C">
        <w:rPr>
          <w:sz w:val="22"/>
          <w:szCs w:val="22"/>
        </w:rPr>
        <w:t>Every 50 m</w:t>
      </w:r>
      <w:r w:rsidR="00C85DF2">
        <w:rPr>
          <w:sz w:val="22"/>
          <w:szCs w:val="22"/>
        </w:rPr>
        <w:t>eter (m)</w:t>
      </w:r>
      <w:r w:rsidRPr="00EC177C">
        <w:rPr>
          <w:sz w:val="22"/>
          <w:szCs w:val="22"/>
        </w:rPr>
        <w:t xml:space="preserve"> along the property boundary and fence line;</w:t>
      </w:r>
    </w:p>
    <w:p w:rsidR="00EC177C" w:rsidRPr="00EC177C" w:rsidRDefault="00EC177C" w:rsidP="009B1D4A">
      <w:pPr>
        <w:widowControl w:val="0"/>
        <w:numPr>
          <w:ilvl w:val="0"/>
          <w:numId w:val="27"/>
        </w:numPr>
        <w:spacing w:after="60"/>
        <w:ind w:left="360"/>
        <w:rPr>
          <w:sz w:val="22"/>
          <w:szCs w:val="22"/>
        </w:rPr>
      </w:pPr>
      <w:r w:rsidRPr="00EC177C">
        <w:rPr>
          <w:sz w:val="22"/>
          <w:szCs w:val="22"/>
        </w:rPr>
        <w:t>Every 250 m in a 2 km square, centered at the origin, excluding areas within the property boundary;</w:t>
      </w:r>
    </w:p>
    <w:p w:rsidR="00EC177C" w:rsidRPr="00EC177C" w:rsidRDefault="00EC177C" w:rsidP="009B1D4A">
      <w:pPr>
        <w:widowControl w:val="0"/>
        <w:numPr>
          <w:ilvl w:val="0"/>
          <w:numId w:val="27"/>
        </w:numPr>
        <w:spacing w:after="120"/>
        <w:ind w:left="360"/>
        <w:rPr>
          <w:sz w:val="22"/>
          <w:szCs w:val="22"/>
        </w:rPr>
      </w:pPr>
      <w:r w:rsidRPr="00EC177C">
        <w:rPr>
          <w:sz w:val="22"/>
          <w:szCs w:val="22"/>
        </w:rPr>
        <w:t>Every 500 m in a 10 km square, centered at the origin, excluding areas covered by the two smaller grids.</w:t>
      </w:r>
    </w:p>
    <w:p w:rsidR="00EC177C" w:rsidRPr="00EC177C" w:rsidRDefault="00EC177C" w:rsidP="00EC177C">
      <w:pPr>
        <w:widowControl w:val="0"/>
        <w:tabs>
          <w:tab w:val="left" w:pos="720"/>
        </w:tabs>
        <w:spacing w:after="120"/>
        <w:rPr>
          <w:sz w:val="22"/>
          <w:szCs w:val="22"/>
        </w:rPr>
      </w:pPr>
      <w:r w:rsidRPr="00EC177C">
        <w:rPr>
          <w:sz w:val="22"/>
          <w:szCs w:val="22"/>
        </w:rPr>
        <w:t xml:space="preserve">The modeling results </w:t>
      </w:r>
      <w:r w:rsidR="00C85DF2">
        <w:rPr>
          <w:sz w:val="22"/>
          <w:szCs w:val="22"/>
        </w:rPr>
        <w:t xml:space="preserve">shown </w:t>
      </w:r>
      <w:r w:rsidRPr="00EC177C">
        <w:rPr>
          <w:sz w:val="22"/>
          <w:szCs w:val="22"/>
        </w:rPr>
        <w:t xml:space="preserve">in </w:t>
      </w:r>
      <w:r w:rsidR="004F1685" w:rsidRPr="004F1685">
        <w:rPr>
          <w:b/>
          <w:sz w:val="22"/>
          <w:szCs w:val="22"/>
        </w:rPr>
        <w:fldChar w:fldCharType="begin"/>
      </w:r>
      <w:r w:rsidR="004F1685" w:rsidRPr="004F1685">
        <w:rPr>
          <w:b/>
          <w:sz w:val="22"/>
          <w:szCs w:val="22"/>
        </w:rPr>
        <w:instrText xml:space="preserve"> REF _Ref372023455 \h  \* MERGEFORMAT </w:instrText>
      </w:r>
      <w:r w:rsidR="004F1685" w:rsidRPr="004F1685">
        <w:rPr>
          <w:b/>
          <w:sz w:val="22"/>
          <w:szCs w:val="22"/>
        </w:rPr>
      </w:r>
      <w:r w:rsidR="004F1685" w:rsidRPr="004F1685">
        <w:rPr>
          <w:b/>
          <w:sz w:val="22"/>
          <w:szCs w:val="22"/>
        </w:rPr>
        <w:fldChar w:fldCharType="separate"/>
      </w:r>
      <w:r w:rsidR="007F3589" w:rsidRPr="007F3589">
        <w:rPr>
          <w:b/>
          <w:sz w:val="22"/>
          <w:szCs w:val="22"/>
        </w:rPr>
        <w:t xml:space="preserve">Table </w:t>
      </w:r>
      <w:r w:rsidR="007F3589" w:rsidRPr="007F3589">
        <w:rPr>
          <w:b/>
          <w:noProof/>
          <w:sz w:val="22"/>
          <w:szCs w:val="22"/>
        </w:rPr>
        <w:t>20</w:t>
      </w:r>
      <w:r w:rsidR="004F1685" w:rsidRPr="004F1685">
        <w:rPr>
          <w:b/>
          <w:sz w:val="22"/>
          <w:szCs w:val="22"/>
        </w:rPr>
        <w:fldChar w:fldCharType="end"/>
      </w:r>
      <w:r w:rsidR="004F1685">
        <w:rPr>
          <w:sz w:val="22"/>
          <w:szCs w:val="22"/>
        </w:rPr>
        <w:t xml:space="preserve"> </w:t>
      </w:r>
      <w:r w:rsidRPr="00EC177C">
        <w:rPr>
          <w:sz w:val="22"/>
          <w:szCs w:val="22"/>
        </w:rPr>
        <w:t>demonstrate that maximum concentrations due to the project are predicted to be less than the SIL for all pollutants except for the 24-hour PM</w:t>
      </w:r>
      <w:r w:rsidRPr="00EC177C">
        <w:rPr>
          <w:sz w:val="22"/>
          <w:szCs w:val="22"/>
          <w:vertAlign w:val="subscript"/>
        </w:rPr>
        <w:t>2.5</w:t>
      </w:r>
      <w:r w:rsidRPr="00C85DF2">
        <w:rPr>
          <w:sz w:val="22"/>
          <w:szCs w:val="22"/>
        </w:rPr>
        <w:t xml:space="preserve"> </w:t>
      </w:r>
      <w:r w:rsidRPr="00EC177C">
        <w:rPr>
          <w:sz w:val="22"/>
          <w:szCs w:val="22"/>
        </w:rPr>
        <w:t>and 1-hour NO</w:t>
      </w:r>
      <w:r w:rsidRPr="00EC177C">
        <w:rPr>
          <w:sz w:val="22"/>
          <w:szCs w:val="22"/>
          <w:vertAlign w:val="subscript"/>
        </w:rPr>
        <w:t>2</w:t>
      </w:r>
      <w:r w:rsidRPr="00EC177C">
        <w:rPr>
          <w:sz w:val="22"/>
          <w:szCs w:val="22"/>
        </w:rPr>
        <w:t>.  As a result, additional modeling analysis for NO</w:t>
      </w:r>
      <w:r w:rsidRPr="00EC177C">
        <w:rPr>
          <w:sz w:val="22"/>
          <w:szCs w:val="22"/>
          <w:vertAlign w:val="subscript"/>
        </w:rPr>
        <w:t>2</w:t>
      </w:r>
      <w:r w:rsidRPr="00EC177C">
        <w:rPr>
          <w:sz w:val="22"/>
          <w:szCs w:val="22"/>
        </w:rPr>
        <w:t xml:space="preserve"> and PM</w:t>
      </w:r>
      <w:r w:rsidRPr="00EC177C">
        <w:rPr>
          <w:sz w:val="22"/>
          <w:szCs w:val="22"/>
          <w:vertAlign w:val="subscript"/>
        </w:rPr>
        <w:t xml:space="preserve">2.5 </w:t>
      </w:r>
      <w:r w:rsidRPr="00EC177C">
        <w:rPr>
          <w:sz w:val="22"/>
          <w:szCs w:val="22"/>
        </w:rPr>
        <w:t xml:space="preserve">must consider other nearby sources and background concentrations to determine the cumulative impact of these sources for comparison to NAAQS and PSD increments.   </w:t>
      </w:r>
    </w:p>
    <w:p w:rsidR="00EC177C" w:rsidRPr="00EC177C" w:rsidRDefault="00EC177C" w:rsidP="009B1D4A">
      <w:pPr>
        <w:widowControl w:val="0"/>
        <w:tabs>
          <w:tab w:val="left" w:pos="720"/>
        </w:tabs>
        <w:spacing w:after="60"/>
        <w:rPr>
          <w:sz w:val="22"/>
          <w:szCs w:val="22"/>
        </w:rPr>
      </w:pPr>
      <w:r w:rsidRPr="00EC177C">
        <w:rPr>
          <w:sz w:val="22"/>
          <w:szCs w:val="22"/>
        </w:rPr>
        <w:t xml:space="preserve">In addition, in order to verify compliance with NAAQS and PSD increments, the Department conducted </w:t>
      </w:r>
      <w:r w:rsidR="00C85DF2">
        <w:rPr>
          <w:sz w:val="22"/>
          <w:szCs w:val="22"/>
        </w:rPr>
        <w:t xml:space="preserve">an </w:t>
      </w:r>
      <w:r w:rsidRPr="00EC177C">
        <w:rPr>
          <w:sz w:val="22"/>
          <w:szCs w:val="22"/>
        </w:rPr>
        <w:t>additional modeling analysis using a receptor grid resolution typical for this type of analysis.  The intervals and distances used by the Department are listed below:</w:t>
      </w:r>
    </w:p>
    <w:p w:rsidR="00EC177C" w:rsidRPr="00EC177C" w:rsidRDefault="00EC177C" w:rsidP="009B1D4A">
      <w:pPr>
        <w:widowControl w:val="0"/>
        <w:numPr>
          <w:ilvl w:val="0"/>
          <w:numId w:val="27"/>
        </w:numPr>
        <w:spacing w:after="60"/>
        <w:ind w:left="360"/>
        <w:rPr>
          <w:sz w:val="22"/>
          <w:szCs w:val="22"/>
        </w:rPr>
      </w:pPr>
      <w:r w:rsidRPr="00EC177C">
        <w:rPr>
          <w:sz w:val="22"/>
          <w:szCs w:val="22"/>
        </w:rPr>
        <w:t>Every 50 m along the property boundary and fence line;</w:t>
      </w:r>
    </w:p>
    <w:p w:rsidR="00EC177C" w:rsidRPr="00EC177C" w:rsidRDefault="00EC177C" w:rsidP="009B1D4A">
      <w:pPr>
        <w:widowControl w:val="0"/>
        <w:numPr>
          <w:ilvl w:val="0"/>
          <w:numId w:val="27"/>
        </w:numPr>
        <w:spacing w:after="60"/>
        <w:ind w:left="360"/>
        <w:rPr>
          <w:sz w:val="22"/>
          <w:szCs w:val="22"/>
        </w:rPr>
      </w:pPr>
      <w:r w:rsidRPr="00EC177C">
        <w:rPr>
          <w:sz w:val="22"/>
          <w:szCs w:val="22"/>
        </w:rPr>
        <w:t>Every 100 m in a 2 km square, centered at the origin, excluding areas within the property boundary;</w:t>
      </w:r>
    </w:p>
    <w:p w:rsidR="00EC177C" w:rsidRPr="00EC177C" w:rsidRDefault="00EC177C" w:rsidP="009B1D4A">
      <w:pPr>
        <w:widowControl w:val="0"/>
        <w:numPr>
          <w:ilvl w:val="0"/>
          <w:numId w:val="27"/>
        </w:numPr>
        <w:spacing w:after="60"/>
        <w:ind w:left="360"/>
        <w:rPr>
          <w:sz w:val="22"/>
          <w:szCs w:val="22"/>
        </w:rPr>
      </w:pPr>
      <w:r w:rsidRPr="00EC177C">
        <w:rPr>
          <w:sz w:val="22"/>
          <w:szCs w:val="22"/>
        </w:rPr>
        <w:t>Every 250 m in a 5 km square, centered at the origin, excluding areas covered by the two smaller grids.</w:t>
      </w:r>
    </w:p>
    <w:p w:rsidR="00EC177C" w:rsidRPr="00EC177C" w:rsidRDefault="00EC177C" w:rsidP="009B1D4A">
      <w:pPr>
        <w:widowControl w:val="0"/>
        <w:numPr>
          <w:ilvl w:val="0"/>
          <w:numId w:val="27"/>
        </w:numPr>
        <w:spacing w:after="120"/>
        <w:ind w:left="360"/>
        <w:rPr>
          <w:sz w:val="22"/>
          <w:szCs w:val="22"/>
        </w:rPr>
      </w:pPr>
      <w:r w:rsidRPr="00EC177C">
        <w:rPr>
          <w:sz w:val="22"/>
          <w:szCs w:val="22"/>
        </w:rPr>
        <w:t>Every 500 m in a 10 km square, centered at the origin, excluding areas covered by the three smaller grids.</w:t>
      </w:r>
    </w:p>
    <w:p w:rsidR="00EC177C" w:rsidRPr="009B1D4A" w:rsidRDefault="009B1D4A" w:rsidP="009B1D4A">
      <w:pPr>
        <w:pStyle w:val="Caption"/>
        <w:spacing w:before="0"/>
        <w:jc w:val="center"/>
        <w:rPr>
          <w:szCs w:val="22"/>
        </w:rPr>
      </w:pPr>
      <w:bookmarkStart w:id="47" w:name="_Ref372023455"/>
      <w:r w:rsidRPr="009B1D4A">
        <w:t xml:space="preserve">Table </w:t>
      </w:r>
      <w:fldSimple w:instr=" SEQ Table \* ARABIC ">
        <w:r w:rsidR="007F3589">
          <w:rPr>
            <w:noProof/>
          </w:rPr>
          <w:t>20</w:t>
        </w:r>
      </w:fldSimple>
      <w:bookmarkEnd w:id="47"/>
      <w:r w:rsidRPr="009B1D4A">
        <w:rPr>
          <w:szCs w:val="22"/>
        </w:rPr>
        <w:t xml:space="preserve"> – Max Predicted Air Quality Impacts of the PFM Project compared to Class II SIL</w:t>
      </w:r>
      <w:r>
        <w:rPr>
          <w:szCs w:val="22"/>
        </w:rPr>
        <w:t>.</w:t>
      </w:r>
    </w:p>
    <w:tbl>
      <w:tblPr>
        <w:tblW w:w="9154" w:type="dxa"/>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70"/>
        <w:gridCol w:w="1260"/>
        <w:gridCol w:w="1440"/>
        <w:gridCol w:w="1594"/>
        <w:gridCol w:w="2070"/>
        <w:gridCol w:w="1620"/>
      </w:tblGrid>
      <w:tr w:rsidR="009B1D4A" w:rsidRPr="000E3BDE" w:rsidTr="002E7738">
        <w:trPr>
          <w:cantSplit/>
          <w:trHeight w:val="20"/>
        </w:trPr>
        <w:tc>
          <w:tcPr>
            <w:tcW w:w="1170" w:type="dxa"/>
            <w:shd w:val="clear" w:color="auto" w:fill="C6D9F1"/>
            <w:vAlign w:val="center"/>
          </w:tcPr>
          <w:p w:rsidR="009B1D4A" w:rsidRPr="009B1D4A" w:rsidRDefault="009B1D4A" w:rsidP="009B1D4A">
            <w:pPr>
              <w:autoSpaceDE w:val="0"/>
              <w:autoSpaceDN w:val="0"/>
              <w:adjustRightInd w:val="0"/>
              <w:jc w:val="center"/>
              <w:rPr>
                <w:b/>
              </w:rPr>
            </w:pPr>
            <w:r w:rsidRPr="009B1D4A">
              <w:rPr>
                <w:b/>
              </w:rPr>
              <w:t>Pollutant</w:t>
            </w:r>
          </w:p>
        </w:tc>
        <w:tc>
          <w:tcPr>
            <w:tcW w:w="1260" w:type="dxa"/>
            <w:shd w:val="clear" w:color="auto" w:fill="C6D9F1"/>
            <w:vAlign w:val="bottom"/>
          </w:tcPr>
          <w:p w:rsidR="009B1D4A" w:rsidRPr="009B1D4A" w:rsidRDefault="009B1D4A" w:rsidP="004F1685">
            <w:pPr>
              <w:autoSpaceDE w:val="0"/>
              <w:autoSpaceDN w:val="0"/>
              <w:adjustRightInd w:val="0"/>
              <w:jc w:val="center"/>
              <w:rPr>
                <w:b/>
              </w:rPr>
            </w:pPr>
            <w:r w:rsidRPr="009B1D4A">
              <w:rPr>
                <w:b/>
              </w:rPr>
              <w:t>Averaging Time</w:t>
            </w:r>
          </w:p>
        </w:tc>
        <w:tc>
          <w:tcPr>
            <w:tcW w:w="1440" w:type="dxa"/>
            <w:shd w:val="clear" w:color="auto" w:fill="C6D9F1"/>
            <w:vAlign w:val="bottom"/>
          </w:tcPr>
          <w:p w:rsidR="009B1D4A" w:rsidRPr="009B1D4A" w:rsidRDefault="009B1D4A" w:rsidP="004F1685">
            <w:pPr>
              <w:autoSpaceDE w:val="0"/>
              <w:autoSpaceDN w:val="0"/>
              <w:adjustRightInd w:val="0"/>
              <w:jc w:val="center"/>
              <w:rPr>
                <w:b/>
              </w:rPr>
            </w:pPr>
            <w:r w:rsidRPr="009B1D4A">
              <w:rPr>
                <w:b/>
              </w:rPr>
              <w:t xml:space="preserve">Max Impact </w:t>
            </w:r>
            <w:r w:rsidRPr="009B1D4A">
              <w:rPr>
                <w:b/>
                <w:vertAlign w:val="superscript"/>
              </w:rPr>
              <w:t xml:space="preserve">b </w:t>
            </w:r>
            <w:r w:rsidRPr="009B1D4A">
              <w:rPr>
                <w:b/>
              </w:rPr>
              <w:t>(μg/m</w:t>
            </w:r>
            <w:r w:rsidRPr="009B1D4A">
              <w:rPr>
                <w:b/>
                <w:vertAlign w:val="superscript"/>
              </w:rPr>
              <w:t>3</w:t>
            </w:r>
            <w:r w:rsidRPr="009B1D4A">
              <w:rPr>
                <w:b/>
              </w:rPr>
              <w:t>)</w:t>
            </w:r>
          </w:p>
        </w:tc>
        <w:tc>
          <w:tcPr>
            <w:tcW w:w="1594" w:type="dxa"/>
            <w:shd w:val="clear" w:color="auto" w:fill="C6D9F1"/>
            <w:vAlign w:val="center"/>
          </w:tcPr>
          <w:p w:rsidR="009B1D4A" w:rsidRPr="009B1D4A" w:rsidRDefault="009B1D4A" w:rsidP="009B1D4A">
            <w:pPr>
              <w:autoSpaceDE w:val="0"/>
              <w:autoSpaceDN w:val="0"/>
              <w:adjustRightInd w:val="0"/>
              <w:jc w:val="center"/>
              <w:rPr>
                <w:b/>
              </w:rPr>
            </w:pPr>
            <w:r w:rsidRPr="009B1D4A">
              <w:rPr>
                <w:b/>
              </w:rPr>
              <w:t>SIL (μg/m</w:t>
            </w:r>
            <w:r w:rsidRPr="009B1D4A">
              <w:rPr>
                <w:b/>
                <w:vertAlign w:val="superscript"/>
              </w:rPr>
              <w:t>3</w:t>
            </w:r>
            <w:r w:rsidRPr="009B1D4A">
              <w:rPr>
                <w:b/>
              </w:rPr>
              <w:t>)</w:t>
            </w:r>
          </w:p>
        </w:tc>
        <w:tc>
          <w:tcPr>
            <w:tcW w:w="2070" w:type="dxa"/>
            <w:shd w:val="clear" w:color="auto" w:fill="C6D9F1"/>
            <w:vAlign w:val="center"/>
          </w:tcPr>
          <w:p w:rsidR="009B1D4A" w:rsidRPr="009B1D4A" w:rsidRDefault="009B1D4A" w:rsidP="009B1D4A">
            <w:pPr>
              <w:autoSpaceDE w:val="0"/>
              <w:autoSpaceDN w:val="0"/>
              <w:adjustRightInd w:val="0"/>
              <w:jc w:val="center"/>
              <w:rPr>
                <w:b/>
                <w:lang w:val="fr-FR"/>
              </w:rPr>
            </w:pPr>
            <w:r w:rsidRPr="009B1D4A">
              <w:rPr>
                <w:b/>
              </w:rPr>
              <w:t>NAAQS</w:t>
            </w:r>
            <w:r w:rsidRPr="009B1D4A">
              <w:rPr>
                <w:b/>
                <w:lang w:val="fr-FR"/>
              </w:rPr>
              <w:t xml:space="preserve"> (</w:t>
            </w:r>
            <w:r w:rsidRPr="009B1D4A">
              <w:rPr>
                <w:b/>
              </w:rPr>
              <w:t>μ</w:t>
            </w:r>
            <w:r w:rsidRPr="009B1D4A">
              <w:rPr>
                <w:b/>
                <w:lang w:val="fr-FR"/>
              </w:rPr>
              <w:t>g/m</w:t>
            </w:r>
            <w:r w:rsidRPr="009B1D4A">
              <w:rPr>
                <w:b/>
                <w:vertAlign w:val="superscript"/>
                <w:lang w:val="fr-FR"/>
              </w:rPr>
              <w:t>3</w:t>
            </w:r>
            <w:r w:rsidRPr="009B1D4A">
              <w:rPr>
                <w:b/>
                <w:lang w:val="fr-FR"/>
              </w:rPr>
              <w:t>)</w:t>
            </w:r>
          </w:p>
        </w:tc>
        <w:tc>
          <w:tcPr>
            <w:tcW w:w="1620" w:type="dxa"/>
            <w:shd w:val="clear" w:color="auto" w:fill="C6D9F1"/>
            <w:vAlign w:val="bottom"/>
          </w:tcPr>
          <w:p w:rsidR="009B1D4A" w:rsidRPr="009B1D4A" w:rsidRDefault="009B1D4A" w:rsidP="004F1685">
            <w:pPr>
              <w:autoSpaceDE w:val="0"/>
              <w:autoSpaceDN w:val="0"/>
              <w:adjustRightInd w:val="0"/>
              <w:jc w:val="center"/>
              <w:rPr>
                <w:b/>
              </w:rPr>
            </w:pPr>
            <w:r w:rsidRPr="009B1D4A">
              <w:rPr>
                <w:b/>
              </w:rPr>
              <w:t>Significant</w:t>
            </w:r>
            <w:r w:rsidRPr="009B1D4A">
              <w:rPr>
                <w:b/>
              </w:rPr>
              <w:br/>
              <w:t>Impact?</w:t>
            </w:r>
          </w:p>
        </w:tc>
      </w:tr>
      <w:tr w:rsidR="009B1D4A" w:rsidRPr="000E3BDE" w:rsidTr="002E7738">
        <w:trPr>
          <w:cantSplit/>
          <w:trHeight w:val="20"/>
        </w:trPr>
        <w:tc>
          <w:tcPr>
            <w:tcW w:w="1170" w:type="dxa"/>
            <w:vAlign w:val="center"/>
          </w:tcPr>
          <w:p w:rsidR="009B1D4A" w:rsidRPr="009B1D4A" w:rsidRDefault="009B1D4A" w:rsidP="004F1685">
            <w:pPr>
              <w:autoSpaceDE w:val="0"/>
              <w:autoSpaceDN w:val="0"/>
              <w:adjustRightInd w:val="0"/>
              <w:spacing w:before="20" w:after="20"/>
              <w:jc w:val="center"/>
            </w:pPr>
            <w:r w:rsidRPr="009B1D4A">
              <w:t>PM</w:t>
            </w:r>
            <w:r w:rsidRPr="009B1D4A">
              <w:rPr>
                <w:vertAlign w:val="subscript"/>
              </w:rPr>
              <w:t>10</w:t>
            </w:r>
          </w:p>
        </w:tc>
        <w:tc>
          <w:tcPr>
            <w:tcW w:w="1260" w:type="dxa"/>
            <w:vAlign w:val="center"/>
          </w:tcPr>
          <w:p w:rsidR="009B1D4A" w:rsidRPr="009B1D4A" w:rsidRDefault="009B1D4A" w:rsidP="004F1685">
            <w:pPr>
              <w:autoSpaceDE w:val="0"/>
              <w:autoSpaceDN w:val="0"/>
              <w:adjustRightInd w:val="0"/>
              <w:spacing w:before="20" w:after="20"/>
              <w:jc w:val="center"/>
            </w:pPr>
            <w:r w:rsidRPr="009B1D4A">
              <w:t>Annual</w:t>
            </w:r>
            <w:r w:rsidRPr="009B1D4A">
              <w:br/>
              <w:t xml:space="preserve">24-Hour </w:t>
            </w:r>
          </w:p>
        </w:tc>
        <w:tc>
          <w:tcPr>
            <w:tcW w:w="1440" w:type="dxa"/>
            <w:vAlign w:val="center"/>
          </w:tcPr>
          <w:p w:rsidR="009B1D4A" w:rsidRPr="009B1D4A" w:rsidRDefault="009B1D4A" w:rsidP="004F1685">
            <w:pPr>
              <w:autoSpaceDE w:val="0"/>
              <w:autoSpaceDN w:val="0"/>
              <w:adjustRightInd w:val="0"/>
              <w:spacing w:before="20" w:after="20"/>
              <w:jc w:val="center"/>
            </w:pPr>
            <w:r w:rsidRPr="009B1D4A">
              <w:t>0.06</w:t>
            </w:r>
          </w:p>
          <w:p w:rsidR="009B1D4A" w:rsidRPr="009B1D4A" w:rsidRDefault="009B1D4A" w:rsidP="004F1685">
            <w:pPr>
              <w:autoSpaceDE w:val="0"/>
              <w:autoSpaceDN w:val="0"/>
              <w:adjustRightInd w:val="0"/>
              <w:spacing w:before="20" w:after="20"/>
              <w:jc w:val="center"/>
            </w:pPr>
            <w:r w:rsidRPr="009B1D4A">
              <w:t>1.86</w:t>
            </w:r>
          </w:p>
        </w:tc>
        <w:tc>
          <w:tcPr>
            <w:tcW w:w="1594" w:type="dxa"/>
            <w:vAlign w:val="center"/>
          </w:tcPr>
          <w:p w:rsidR="009B1D4A" w:rsidRPr="009B1D4A" w:rsidRDefault="009B1D4A" w:rsidP="004F1685">
            <w:pPr>
              <w:autoSpaceDE w:val="0"/>
              <w:autoSpaceDN w:val="0"/>
              <w:adjustRightInd w:val="0"/>
              <w:spacing w:before="20" w:after="20"/>
              <w:jc w:val="center"/>
            </w:pPr>
            <w:r w:rsidRPr="009B1D4A">
              <w:t>1</w:t>
            </w:r>
            <w:r w:rsidRPr="009B1D4A">
              <w:br/>
              <w:t>5</w:t>
            </w:r>
          </w:p>
        </w:tc>
        <w:tc>
          <w:tcPr>
            <w:tcW w:w="2070" w:type="dxa"/>
            <w:vAlign w:val="center"/>
          </w:tcPr>
          <w:p w:rsidR="009B1D4A" w:rsidRPr="009B1D4A" w:rsidRDefault="009B1D4A" w:rsidP="004F1685">
            <w:pPr>
              <w:autoSpaceDE w:val="0"/>
              <w:autoSpaceDN w:val="0"/>
              <w:adjustRightInd w:val="0"/>
              <w:spacing w:before="20" w:after="20"/>
              <w:jc w:val="center"/>
            </w:pPr>
            <w:r w:rsidRPr="009B1D4A">
              <w:t xml:space="preserve">50 </w:t>
            </w:r>
            <w:r w:rsidRPr="009B1D4A">
              <w:br/>
              <w:t>150</w:t>
            </w:r>
          </w:p>
        </w:tc>
        <w:tc>
          <w:tcPr>
            <w:tcW w:w="1620" w:type="dxa"/>
            <w:vAlign w:val="center"/>
          </w:tcPr>
          <w:p w:rsidR="009B1D4A" w:rsidRPr="009B1D4A" w:rsidRDefault="009B1D4A" w:rsidP="004F1685">
            <w:pPr>
              <w:autoSpaceDE w:val="0"/>
              <w:autoSpaceDN w:val="0"/>
              <w:adjustRightInd w:val="0"/>
              <w:spacing w:before="20" w:after="20"/>
              <w:jc w:val="center"/>
            </w:pPr>
            <w:r w:rsidRPr="009B1D4A">
              <w:t>No</w:t>
            </w:r>
            <w:r w:rsidRPr="009B1D4A">
              <w:br/>
              <w:t>No</w:t>
            </w:r>
          </w:p>
        </w:tc>
      </w:tr>
      <w:tr w:rsidR="009B1D4A" w:rsidRPr="000E3BDE" w:rsidTr="002E7738">
        <w:trPr>
          <w:cantSplit/>
          <w:trHeight w:val="20"/>
        </w:trPr>
        <w:tc>
          <w:tcPr>
            <w:tcW w:w="1170" w:type="dxa"/>
            <w:vAlign w:val="center"/>
          </w:tcPr>
          <w:p w:rsidR="009B1D4A" w:rsidRPr="009B1D4A" w:rsidRDefault="009B1D4A" w:rsidP="004F1685">
            <w:pPr>
              <w:autoSpaceDE w:val="0"/>
              <w:autoSpaceDN w:val="0"/>
              <w:adjustRightInd w:val="0"/>
              <w:spacing w:before="20" w:after="20"/>
              <w:jc w:val="center"/>
            </w:pPr>
            <w:r w:rsidRPr="009B1D4A">
              <w:t>PM</w:t>
            </w:r>
            <w:r w:rsidRPr="009B1D4A">
              <w:rPr>
                <w:vertAlign w:val="subscript"/>
              </w:rPr>
              <w:t>2.5</w:t>
            </w:r>
          </w:p>
        </w:tc>
        <w:tc>
          <w:tcPr>
            <w:tcW w:w="1260" w:type="dxa"/>
            <w:vAlign w:val="center"/>
          </w:tcPr>
          <w:p w:rsidR="009B1D4A" w:rsidRPr="009B1D4A" w:rsidRDefault="009B1D4A" w:rsidP="004F1685">
            <w:pPr>
              <w:autoSpaceDE w:val="0"/>
              <w:autoSpaceDN w:val="0"/>
              <w:adjustRightInd w:val="0"/>
              <w:spacing w:before="20" w:after="20"/>
              <w:jc w:val="center"/>
            </w:pPr>
            <w:r w:rsidRPr="009B1D4A">
              <w:t>Annual</w:t>
            </w:r>
            <w:r w:rsidRPr="009B1D4A">
              <w:br/>
              <w:t xml:space="preserve">24-Hour </w:t>
            </w:r>
          </w:p>
        </w:tc>
        <w:tc>
          <w:tcPr>
            <w:tcW w:w="1440" w:type="dxa"/>
            <w:vAlign w:val="center"/>
          </w:tcPr>
          <w:p w:rsidR="009B1D4A" w:rsidRPr="009B1D4A" w:rsidRDefault="009B1D4A" w:rsidP="004F1685">
            <w:pPr>
              <w:autoSpaceDE w:val="0"/>
              <w:autoSpaceDN w:val="0"/>
              <w:adjustRightInd w:val="0"/>
              <w:spacing w:before="20" w:after="20"/>
              <w:jc w:val="center"/>
            </w:pPr>
            <w:r w:rsidRPr="009B1D4A">
              <w:t>0.04</w:t>
            </w:r>
            <w:r w:rsidRPr="009B1D4A">
              <w:br/>
              <w:t>1.45</w:t>
            </w:r>
          </w:p>
        </w:tc>
        <w:tc>
          <w:tcPr>
            <w:tcW w:w="1594" w:type="dxa"/>
            <w:vAlign w:val="center"/>
          </w:tcPr>
          <w:p w:rsidR="009B1D4A" w:rsidRPr="009B1D4A" w:rsidRDefault="009B1D4A" w:rsidP="004F1685">
            <w:pPr>
              <w:autoSpaceDE w:val="0"/>
              <w:autoSpaceDN w:val="0"/>
              <w:adjustRightInd w:val="0"/>
              <w:spacing w:before="20" w:after="20"/>
              <w:jc w:val="center"/>
            </w:pPr>
            <w:r w:rsidRPr="009B1D4A">
              <w:t>0.3</w:t>
            </w:r>
            <w:r w:rsidRPr="009B1D4A">
              <w:br/>
              <w:t>1.2</w:t>
            </w:r>
          </w:p>
        </w:tc>
        <w:tc>
          <w:tcPr>
            <w:tcW w:w="2070" w:type="dxa"/>
            <w:vAlign w:val="center"/>
          </w:tcPr>
          <w:p w:rsidR="009B1D4A" w:rsidRPr="009B1D4A" w:rsidRDefault="009B1D4A" w:rsidP="004F1685">
            <w:pPr>
              <w:autoSpaceDE w:val="0"/>
              <w:autoSpaceDN w:val="0"/>
              <w:adjustRightInd w:val="0"/>
              <w:spacing w:before="20" w:after="20"/>
              <w:jc w:val="center"/>
            </w:pPr>
            <w:r w:rsidRPr="009B1D4A">
              <w:t>15</w:t>
            </w:r>
            <w:r w:rsidRPr="009B1D4A">
              <w:br/>
              <w:t>35</w:t>
            </w:r>
          </w:p>
        </w:tc>
        <w:tc>
          <w:tcPr>
            <w:tcW w:w="1620" w:type="dxa"/>
            <w:vAlign w:val="center"/>
          </w:tcPr>
          <w:p w:rsidR="009B1D4A" w:rsidRPr="009B1D4A" w:rsidRDefault="009B1D4A" w:rsidP="004F1685">
            <w:pPr>
              <w:autoSpaceDE w:val="0"/>
              <w:autoSpaceDN w:val="0"/>
              <w:adjustRightInd w:val="0"/>
              <w:spacing w:before="20" w:after="20"/>
              <w:jc w:val="center"/>
            </w:pPr>
            <w:r w:rsidRPr="009B1D4A">
              <w:t>No</w:t>
            </w:r>
            <w:r w:rsidRPr="009B1D4A">
              <w:br/>
            </w:r>
            <w:r w:rsidRPr="009B1D4A">
              <w:rPr>
                <w:b/>
              </w:rPr>
              <w:t>Yes</w:t>
            </w:r>
          </w:p>
        </w:tc>
      </w:tr>
      <w:tr w:rsidR="009B1D4A" w:rsidRPr="000E3BDE" w:rsidTr="002E7738">
        <w:trPr>
          <w:cantSplit/>
          <w:trHeight w:val="20"/>
        </w:trPr>
        <w:tc>
          <w:tcPr>
            <w:tcW w:w="1170" w:type="dxa"/>
            <w:vAlign w:val="center"/>
          </w:tcPr>
          <w:p w:rsidR="009B1D4A" w:rsidRPr="009B1D4A" w:rsidRDefault="009B1D4A" w:rsidP="004F1685">
            <w:pPr>
              <w:autoSpaceDE w:val="0"/>
              <w:autoSpaceDN w:val="0"/>
              <w:adjustRightInd w:val="0"/>
              <w:spacing w:before="20" w:after="20"/>
              <w:jc w:val="center"/>
            </w:pPr>
            <w:r w:rsidRPr="009B1D4A">
              <w:t>NO</w:t>
            </w:r>
            <w:r w:rsidRPr="009B1D4A">
              <w:rPr>
                <w:vertAlign w:val="subscript"/>
              </w:rPr>
              <w:t>2</w:t>
            </w:r>
            <w:r w:rsidRPr="009B1D4A">
              <w:t xml:space="preserve"> </w:t>
            </w:r>
            <w:r w:rsidRPr="009B1D4A">
              <w:rPr>
                <w:b/>
                <w:vertAlign w:val="superscript"/>
              </w:rPr>
              <w:t>a</w:t>
            </w:r>
          </w:p>
        </w:tc>
        <w:tc>
          <w:tcPr>
            <w:tcW w:w="1260" w:type="dxa"/>
            <w:vAlign w:val="center"/>
          </w:tcPr>
          <w:p w:rsidR="009B1D4A" w:rsidRPr="009B1D4A" w:rsidRDefault="009B1D4A" w:rsidP="004F1685">
            <w:pPr>
              <w:autoSpaceDE w:val="0"/>
              <w:autoSpaceDN w:val="0"/>
              <w:adjustRightInd w:val="0"/>
              <w:spacing w:before="20" w:after="20"/>
              <w:jc w:val="center"/>
            </w:pPr>
            <w:r w:rsidRPr="009B1D4A">
              <w:t>Annual</w:t>
            </w:r>
            <w:r w:rsidRPr="009B1D4A">
              <w:br/>
              <w:t>1-Hour</w:t>
            </w:r>
          </w:p>
        </w:tc>
        <w:tc>
          <w:tcPr>
            <w:tcW w:w="1440" w:type="dxa"/>
            <w:vAlign w:val="center"/>
          </w:tcPr>
          <w:p w:rsidR="009B1D4A" w:rsidRPr="009B1D4A" w:rsidRDefault="009B1D4A" w:rsidP="004F1685">
            <w:pPr>
              <w:autoSpaceDE w:val="0"/>
              <w:autoSpaceDN w:val="0"/>
              <w:adjustRightInd w:val="0"/>
              <w:spacing w:before="20" w:after="20"/>
              <w:jc w:val="center"/>
            </w:pPr>
            <w:r w:rsidRPr="009B1D4A">
              <w:t>0.28</w:t>
            </w:r>
          </w:p>
          <w:p w:rsidR="009B1D4A" w:rsidRPr="009B1D4A" w:rsidRDefault="009B1D4A" w:rsidP="004F1685">
            <w:pPr>
              <w:autoSpaceDE w:val="0"/>
              <w:autoSpaceDN w:val="0"/>
              <w:adjustRightInd w:val="0"/>
              <w:spacing w:before="20" w:after="20"/>
              <w:jc w:val="center"/>
            </w:pPr>
            <w:r w:rsidRPr="009B1D4A">
              <w:t>45.4</w:t>
            </w:r>
          </w:p>
        </w:tc>
        <w:tc>
          <w:tcPr>
            <w:tcW w:w="1594" w:type="dxa"/>
            <w:vAlign w:val="center"/>
          </w:tcPr>
          <w:p w:rsidR="009B1D4A" w:rsidRPr="009B1D4A" w:rsidRDefault="009B1D4A" w:rsidP="004F1685">
            <w:pPr>
              <w:autoSpaceDE w:val="0"/>
              <w:autoSpaceDN w:val="0"/>
              <w:adjustRightInd w:val="0"/>
              <w:spacing w:before="20" w:after="20"/>
              <w:jc w:val="center"/>
              <w:rPr>
                <w:vertAlign w:val="superscript"/>
              </w:rPr>
            </w:pPr>
            <w:r w:rsidRPr="009B1D4A">
              <w:t>1</w:t>
            </w:r>
            <w:r w:rsidRPr="009B1D4A">
              <w:br/>
              <w:t>7.6</w:t>
            </w:r>
          </w:p>
        </w:tc>
        <w:tc>
          <w:tcPr>
            <w:tcW w:w="2070" w:type="dxa"/>
            <w:vAlign w:val="center"/>
          </w:tcPr>
          <w:p w:rsidR="009B1D4A" w:rsidRPr="009B1D4A" w:rsidRDefault="009B1D4A" w:rsidP="004F1685">
            <w:pPr>
              <w:autoSpaceDE w:val="0"/>
              <w:autoSpaceDN w:val="0"/>
              <w:adjustRightInd w:val="0"/>
              <w:spacing w:before="20" w:after="20"/>
              <w:jc w:val="center"/>
            </w:pPr>
            <w:r w:rsidRPr="009B1D4A">
              <w:t>100</w:t>
            </w:r>
            <w:r w:rsidRPr="009B1D4A">
              <w:br/>
              <w:t>189</w:t>
            </w:r>
          </w:p>
        </w:tc>
        <w:tc>
          <w:tcPr>
            <w:tcW w:w="1620" w:type="dxa"/>
            <w:vAlign w:val="center"/>
          </w:tcPr>
          <w:p w:rsidR="009B1D4A" w:rsidRPr="009B1D4A" w:rsidRDefault="009B1D4A" w:rsidP="004F1685">
            <w:pPr>
              <w:autoSpaceDE w:val="0"/>
              <w:autoSpaceDN w:val="0"/>
              <w:adjustRightInd w:val="0"/>
              <w:spacing w:before="20" w:after="20"/>
              <w:jc w:val="center"/>
              <w:rPr>
                <w:b/>
              </w:rPr>
            </w:pPr>
            <w:r w:rsidRPr="009B1D4A">
              <w:t>No</w:t>
            </w:r>
            <w:r w:rsidRPr="009B1D4A">
              <w:br/>
            </w:r>
            <w:r w:rsidRPr="009B1D4A">
              <w:rPr>
                <w:b/>
              </w:rPr>
              <w:t>Yes</w:t>
            </w:r>
          </w:p>
        </w:tc>
      </w:tr>
      <w:tr w:rsidR="009B1D4A" w:rsidRPr="000E3BDE" w:rsidTr="002E7738">
        <w:trPr>
          <w:cantSplit/>
          <w:trHeight w:val="20"/>
        </w:trPr>
        <w:tc>
          <w:tcPr>
            <w:tcW w:w="1170" w:type="dxa"/>
            <w:vAlign w:val="center"/>
          </w:tcPr>
          <w:p w:rsidR="009B1D4A" w:rsidRPr="009B1D4A" w:rsidRDefault="009B1D4A" w:rsidP="004F1685">
            <w:pPr>
              <w:autoSpaceDE w:val="0"/>
              <w:autoSpaceDN w:val="0"/>
              <w:adjustRightInd w:val="0"/>
              <w:spacing w:before="20" w:after="20"/>
              <w:jc w:val="center"/>
            </w:pPr>
            <w:r w:rsidRPr="009B1D4A">
              <w:t>CO</w:t>
            </w:r>
          </w:p>
        </w:tc>
        <w:tc>
          <w:tcPr>
            <w:tcW w:w="1260" w:type="dxa"/>
            <w:vAlign w:val="center"/>
          </w:tcPr>
          <w:p w:rsidR="009B1D4A" w:rsidRPr="009B1D4A" w:rsidRDefault="009B1D4A" w:rsidP="004F1685">
            <w:pPr>
              <w:autoSpaceDE w:val="0"/>
              <w:autoSpaceDN w:val="0"/>
              <w:adjustRightInd w:val="0"/>
              <w:spacing w:before="20" w:after="20"/>
              <w:jc w:val="center"/>
            </w:pPr>
            <w:r w:rsidRPr="009B1D4A">
              <w:t>8-hour</w:t>
            </w:r>
          </w:p>
          <w:p w:rsidR="009B1D4A" w:rsidRPr="009B1D4A" w:rsidRDefault="009B1D4A" w:rsidP="004F1685">
            <w:pPr>
              <w:autoSpaceDE w:val="0"/>
              <w:autoSpaceDN w:val="0"/>
              <w:adjustRightInd w:val="0"/>
              <w:spacing w:before="20" w:after="20"/>
              <w:jc w:val="center"/>
            </w:pPr>
            <w:r w:rsidRPr="009B1D4A">
              <w:t>1-hour</w:t>
            </w:r>
          </w:p>
        </w:tc>
        <w:tc>
          <w:tcPr>
            <w:tcW w:w="1440" w:type="dxa"/>
            <w:vAlign w:val="center"/>
          </w:tcPr>
          <w:p w:rsidR="009B1D4A" w:rsidRPr="009B1D4A" w:rsidRDefault="009B1D4A" w:rsidP="004F1685">
            <w:pPr>
              <w:autoSpaceDE w:val="0"/>
              <w:autoSpaceDN w:val="0"/>
              <w:adjustRightInd w:val="0"/>
              <w:spacing w:before="20" w:after="20"/>
              <w:jc w:val="center"/>
            </w:pPr>
            <w:r w:rsidRPr="009B1D4A">
              <w:t>69.9</w:t>
            </w:r>
          </w:p>
          <w:p w:rsidR="009B1D4A" w:rsidRPr="009B1D4A" w:rsidRDefault="009B1D4A" w:rsidP="004F1685">
            <w:pPr>
              <w:autoSpaceDE w:val="0"/>
              <w:autoSpaceDN w:val="0"/>
              <w:adjustRightInd w:val="0"/>
              <w:spacing w:before="20" w:after="20"/>
              <w:jc w:val="center"/>
            </w:pPr>
            <w:r w:rsidRPr="009B1D4A">
              <w:t>85.4</w:t>
            </w:r>
          </w:p>
        </w:tc>
        <w:tc>
          <w:tcPr>
            <w:tcW w:w="1594" w:type="dxa"/>
            <w:vAlign w:val="center"/>
          </w:tcPr>
          <w:p w:rsidR="009B1D4A" w:rsidRPr="009B1D4A" w:rsidRDefault="009B1D4A" w:rsidP="004F1685">
            <w:pPr>
              <w:autoSpaceDE w:val="0"/>
              <w:autoSpaceDN w:val="0"/>
              <w:adjustRightInd w:val="0"/>
              <w:spacing w:before="20" w:after="20"/>
              <w:jc w:val="center"/>
            </w:pPr>
            <w:r w:rsidRPr="009B1D4A">
              <w:t>500</w:t>
            </w:r>
            <w:r w:rsidRPr="009B1D4A">
              <w:br/>
              <w:t>2,000</w:t>
            </w:r>
          </w:p>
        </w:tc>
        <w:tc>
          <w:tcPr>
            <w:tcW w:w="2070" w:type="dxa"/>
            <w:vAlign w:val="center"/>
          </w:tcPr>
          <w:p w:rsidR="009B1D4A" w:rsidRPr="009B1D4A" w:rsidRDefault="009B1D4A" w:rsidP="004F1685">
            <w:pPr>
              <w:autoSpaceDE w:val="0"/>
              <w:autoSpaceDN w:val="0"/>
              <w:adjustRightInd w:val="0"/>
              <w:spacing w:before="20" w:after="20"/>
              <w:jc w:val="center"/>
            </w:pPr>
            <w:r w:rsidRPr="009B1D4A">
              <w:t>10,000</w:t>
            </w:r>
            <w:r w:rsidRPr="009B1D4A">
              <w:br/>
              <w:t>40,000</w:t>
            </w:r>
          </w:p>
        </w:tc>
        <w:tc>
          <w:tcPr>
            <w:tcW w:w="1620" w:type="dxa"/>
            <w:vAlign w:val="center"/>
          </w:tcPr>
          <w:p w:rsidR="009B1D4A" w:rsidRPr="009B1D4A" w:rsidRDefault="009B1D4A" w:rsidP="004F1685">
            <w:pPr>
              <w:autoSpaceDE w:val="0"/>
              <w:autoSpaceDN w:val="0"/>
              <w:adjustRightInd w:val="0"/>
              <w:spacing w:before="20" w:after="20"/>
              <w:jc w:val="center"/>
            </w:pPr>
            <w:r w:rsidRPr="009B1D4A">
              <w:t>No</w:t>
            </w:r>
            <w:r w:rsidRPr="009B1D4A">
              <w:br/>
              <w:t>No</w:t>
            </w:r>
          </w:p>
        </w:tc>
      </w:tr>
      <w:tr w:rsidR="009B1D4A" w:rsidRPr="000E3BDE" w:rsidTr="002E7738">
        <w:trPr>
          <w:cantSplit/>
          <w:trHeight w:val="351"/>
        </w:trPr>
        <w:tc>
          <w:tcPr>
            <w:tcW w:w="9154" w:type="dxa"/>
            <w:gridSpan w:val="6"/>
            <w:vAlign w:val="center"/>
          </w:tcPr>
          <w:p w:rsidR="009B1D4A" w:rsidRPr="009B1D4A" w:rsidRDefault="009B1D4A" w:rsidP="009B1D4A">
            <w:pPr>
              <w:numPr>
                <w:ilvl w:val="0"/>
                <w:numId w:val="28"/>
              </w:numPr>
              <w:autoSpaceDE w:val="0"/>
              <w:autoSpaceDN w:val="0"/>
              <w:adjustRightInd w:val="0"/>
              <w:ind w:left="342"/>
              <w:rPr>
                <w:sz w:val="18"/>
                <w:szCs w:val="18"/>
              </w:rPr>
            </w:pPr>
            <w:r w:rsidRPr="009B1D4A">
              <w:rPr>
                <w:sz w:val="18"/>
                <w:szCs w:val="18"/>
              </w:rPr>
              <w:lastRenderedPageBreak/>
              <w:t>Assumes 75% conversion of NO</w:t>
            </w:r>
            <w:r w:rsidRPr="009B1D4A">
              <w:rPr>
                <w:sz w:val="18"/>
                <w:szCs w:val="18"/>
                <w:vertAlign w:val="subscript"/>
              </w:rPr>
              <w:t>X</w:t>
            </w:r>
            <w:r w:rsidRPr="009B1D4A">
              <w:rPr>
                <w:sz w:val="18"/>
                <w:szCs w:val="18"/>
              </w:rPr>
              <w:t xml:space="preserve"> to NO</w:t>
            </w:r>
            <w:r w:rsidRPr="009B1D4A">
              <w:rPr>
                <w:sz w:val="18"/>
                <w:szCs w:val="18"/>
                <w:vertAlign w:val="subscript"/>
              </w:rPr>
              <w:t>2</w:t>
            </w:r>
            <w:r w:rsidRPr="009B1D4A">
              <w:rPr>
                <w:sz w:val="18"/>
                <w:szCs w:val="18"/>
              </w:rPr>
              <w:t xml:space="preserve"> on an annual basis and 80% conversion on a 1-hour basis, i.e., the tier 2 modeling approach.</w:t>
            </w:r>
          </w:p>
          <w:p w:rsidR="009B1D4A" w:rsidRPr="00035890" w:rsidRDefault="009B1D4A" w:rsidP="009B1D4A">
            <w:pPr>
              <w:numPr>
                <w:ilvl w:val="0"/>
                <w:numId w:val="28"/>
              </w:numPr>
              <w:autoSpaceDE w:val="0"/>
              <w:autoSpaceDN w:val="0"/>
              <w:adjustRightInd w:val="0"/>
              <w:ind w:left="342"/>
              <w:rPr>
                <w:rFonts w:ascii="Calibri" w:hAnsi="Calibri"/>
                <w:sz w:val="16"/>
                <w:szCs w:val="16"/>
              </w:rPr>
            </w:pPr>
            <w:r w:rsidRPr="009B1D4A">
              <w:rPr>
                <w:sz w:val="18"/>
                <w:szCs w:val="18"/>
              </w:rPr>
              <w:t>Maximum 24-hour impacts based on 10-hours of ULSD oil firing and 14-hours of natural gas firing</w:t>
            </w:r>
          </w:p>
        </w:tc>
      </w:tr>
    </w:tbl>
    <w:p w:rsidR="00EC177C" w:rsidRPr="009B1D4A" w:rsidRDefault="009B1D4A" w:rsidP="009B1D4A">
      <w:pPr>
        <w:widowControl w:val="0"/>
        <w:numPr>
          <w:ilvl w:val="3"/>
          <w:numId w:val="2"/>
        </w:numPr>
        <w:tabs>
          <w:tab w:val="left" w:pos="720"/>
        </w:tabs>
        <w:spacing w:before="120" w:after="120"/>
        <w:ind w:left="720" w:hanging="720"/>
        <w:rPr>
          <w:i/>
          <w:sz w:val="22"/>
          <w:szCs w:val="22"/>
        </w:rPr>
      </w:pPr>
      <w:r w:rsidRPr="009B1D4A">
        <w:rPr>
          <w:i/>
          <w:sz w:val="22"/>
          <w:szCs w:val="22"/>
        </w:rPr>
        <w:t>Class I SIL</w:t>
      </w:r>
    </w:p>
    <w:p w:rsidR="004F1685" w:rsidRPr="004F1685" w:rsidRDefault="004F1685" w:rsidP="004F1685">
      <w:pPr>
        <w:autoSpaceDE w:val="0"/>
        <w:autoSpaceDN w:val="0"/>
        <w:adjustRightInd w:val="0"/>
        <w:spacing w:after="120"/>
        <w:rPr>
          <w:sz w:val="22"/>
        </w:rPr>
      </w:pPr>
      <w:r w:rsidRPr="004F1685">
        <w:rPr>
          <w:sz w:val="22"/>
        </w:rPr>
        <w:t xml:space="preserve">The nearest Class I area to the FTY project site is Everglades National Park (ENP), which is located at a distance greater than 50.0 km to the southwest of the Project location. </w:t>
      </w:r>
      <w:r>
        <w:rPr>
          <w:sz w:val="22"/>
        </w:rPr>
        <w:t xml:space="preserve"> </w:t>
      </w:r>
      <w:r w:rsidRPr="004F1685">
        <w:rPr>
          <w:sz w:val="22"/>
        </w:rPr>
        <w:t xml:space="preserve">The EPA-approved CALPUFF non-steady-state puff dispersion model is recommended for evaluation of emission impacts at distances greater than 50 km. </w:t>
      </w:r>
      <w:r>
        <w:rPr>
          <w:sz w:val="22"/>
        </w:rPr>
        <w:t xml:space="preserve"> </w:t>
      </w:r>
      <w:r w:rsidRPr="004F1685">
        <w:rPr>
          <w:sz w:val="22"/>
        </w:rPr>
        <w:t xml:space="preserve">This model was used to evaluate pollutant dispersion, visibility impairment, and nitrogen (N) deposition in the ENP Class I area. </w:t>
      </w:r>
      <w:r>
        <w:rPr>
          <w:sz w:val="22"/>
        </w:rPr>
        <w:t xml:space="preserve"> </w:t>
      </w:r>
      <w:r w:rsidRPr="004F1685">
        <w:rPr>
          <w:sz w:val="22"/>
        </w:rPr>
        <w:t xml:space="preserve">This area contains 901 discrete modeling receptors that were provided by the Federal Land Manager (FLM) and the National Park Service (NPS). </w:t>
      </w:r>
      <w:r>
        <w:rPr>
          <w:sz w:val="22"/>
        </w:rPr>
        <w:t xml:space="preserve"> </w:t>
      </w:r>
      <w:r w:rsidRPr="004F1685">
        <w:rPr>
          <w:sz w:val="22"/>
        </w:rPr>
        <w:t xml:space="preserve">Meteorological input data used in the modeling analysis was also provided by the NPS for the years 2001-2003. </w:t>
      </w:r>
      <w:r>
        <w:rPr>
          <w:sz w:val="22"/>
        </w:rPr>
        <w:t xml:space="preserve"> </w:t>
      </w:r>
      <w:r w:rsidRPr="004F1685">
        <w:rPr>
          <w:sz w:val="22"/>
        </w:rPr>
        <w:t xml:space="preserve">The maximum pollutant concentrations predicted for the proposed </w:t>
      </w:r>
      <w:r>
        <w:rPr>
          <w:sz w:val="22"/>
        </w:rPr>
        <w:t>Lauderdale peaker unit replacement</w:t>
      </w:r>
      <w:r w:rsidRPr="004F1685">
        <w:rPr>
          <w:sz w:val="22"/>
        </w:rPr>
        <w:t xml:space="preserve"> project are compared to the PSD Class I SILs in</w:t>
      </w:r>
      <w:r>
        <w:rPr>
          <w:sz w:val="22"/>
        </w:rPr>
        <w:t xml:space="preserve"> </w:t>
      </w:r>
      <w:r w:rsidRPr="004F1685">
        <w:rPr>
          <w:b/>
          <w:sz w:val="22"/>
          <w:szCs w:val="22"/>
        </w:rPr>
        <w:fldChar w:fldCharType="begin"/>
      </w:r>
      <w:r w:rsidRPr="004F1685">
        <w:rPr>
          <w:b/>
          <w:sz w:val="22"/>
          <w:szCs w:val="22"/>
        </w:rPr>
        <w:instrText xml:space="preserve"> REF _Ref372023539 \h  \* MERGEFORMAT </w:instrText>
      </w:r>
      <w:r w:rsidRPr="004F1685">
        <w:rPr>
          <w:b/>
          <w:sz w:val="22"/>
          <w:szCs w:val="22"/>
        </w:rPr>
      </w:r>
      <w:r w:rsidRPr="004F1685">
        <w:rPr>
          <w:b/>
          <w:sz w:val="22"/>
          <w:szCs w:val="22"/>
        </w:rPr>
        <w:fldChar w:fldCharType="separate"/>
      </w:r>
      <w:r w:rsidR="007F3589" w:rsidRPr="007F3589">
        <w:rPr>
          <w:b/>
          <w:sz w:val="22"/>
          <w:szCs w:val="22"/>
        </w:rPr>
        <w:t xml:space="preserve">Table </w:t>
      </w:r>
      <w:r w:rsidR="007F3589" w:rsidRPr="007F3589">
        <w:rPr>
          <w:b/>
          <w:noProof/>
          <w:sz w:val="22"/>
          <w:szCs w:val="22"/>
        </w:rPr>
        <w:t>21</w:t>
      </w:r>
      <w:r w:rsidRPr="004F1685">
        <w:rPr>
          <w:b/>
          <w:sz w:val="22"/>
          <w:szCs w:val="22"/>
        </w:rPr>
        <w:fldChar w:fldCharType="end"/>
      </w:r>
      <w:r>
        <w:rPr>
          <w:sz w:val="22"/>
          <w:szCs w:val="22"/>
        </w:rPr>
        <w:t xml:space="preserve"> below</w:t>
      </w:r>
      <w:r w:rsidRPr="004F1685">
        <w:rPr>
          <w:sz w:val="22"/>
          <w:szCs w:val="22"/>
        </w:rPr>
        <w:t>.</w:t>
      </w:r>
      <w:r w:rsidRPr="004F1685">
        <w:rPr>
          <w:sz w:val="22"/>
        </w:rPr>
        <w:t xml:space="preserve">  The modeling results indicate that maximum concentrations due to the project are predicted to be less than the Class I SILs for all pollutants except for 24-hour PM</w:t>
      </w:r>
      <w:r w:rsidRPr="004F1685">
        <w:rPr>
          <w:sz w:val="22"/>
          <w:vertAlign w:val="subscript"/>
        </w:rPr>
        <w:t xml:space="preserve">2.5 </w:t>
      </w:r>
      <w:r w:rsidRPr="004F1685">
        <w:rPr>
          <w:sz w:val="22"/>
        </w:rPr>
        <w:t>and PM</w:t>
      </w:r>
      <w:r w:rsidRPr="004F1685">
        <w:rPr>
          <w:sz w:val="22"/>
          <w:vertAlign w:val="subscript"/>
        </w:rPr>
        <w:t>10</w:t>
      </w:r>
      <w:r w:rsidRPr="004F1685">
        <w:rPr>
          <w:sz w:val="22"/>
        </w:rPr>
        <w:t>.  As a result, detailed analyses to demonstrate compliance with the allowable PSD Class I is required for these pollutants.</w:t>
      </w:r>
    </w:p>
    <w:p w:rsidR="009B1D4A" w:rsidRPr="004F1685" w:rsidRDefault="004F1685" w:rsidP="001963C4">
      <w:pPr>
        <w:widowControl w:val="0"/>
        <w:numPr>
          <w:ilvl w:val="2"/>
          <w:numId w:val="2"/>
        </w:numPr>
        <w:tabs>
          <w:tab w:val="left" w:pos="720"/>
        </w:tabs>
        <w:spacing w:after="120"/>
        <w:ind w:left="720" w:hanging="720"/>
        <w:rPr>
          <w:i/>
          <w:sz w:val="22"/>
          <w:szCs w:val="22"/>
        </w:rPr>
      </w:pPr>
      <w:r w:rsidRPr="004F1685">
        <w:rPr>
          <w:bCs/>
          <w:sz w:val="22"/>
          <w:u w:val="single"/>
        </w:rPr>
        <w:t>1-Hour NO</w:t>
      </w:r>
      <w:r w:rsidRPr="004F1685">
        <w:rPr>
          <w:bCs/>
          <w:sz w:val="22"/>
          <w:vertAlign w:val="subscript"/>
        </w:rPr>
        <w:t>2</w:t>
      </w:r>
      <w:r w:rsidRPr="004F1685">
        <w:rPr>
          <w:bCs/>
          <w:sz w:val="22"/>
          <w:u w:val="single"/>
        </w:rPr>
        <w:t xml:space="preserve"> and 24-Hour PM</w:t>
      </w:r>
      <w:r w:rsidRPr="004F1685">
        <w:rPr>
          <w:bCs/>
          <w:sz w:val="22"/>
          <w:u w:val="single"/>
          <w:vertAlign w:val="subscript"/>
        </w:rPr>
        <w:t xml:space="preserve">2.5 </w:t>
      </w:r>
      <w:r w:rsidRPr="004F1685">
        <w:rPr>
          <w:bCs/>
          <w:sz w:val="22"/>
          <w:u w:val="single"/>
        </w:rPr>
        <w:t xml:space="preserve"> Class II NAAQS Analysis</w:t>
      </w:r>
    </w:p>
    <w:p w:rsidR="004F1685" w:rsidRPr="004F1685" w:rsidRDefault="004F1685" w:rsidP="004F1685">
      <w:pPr>
        <w:autoSpaceDE w:val="0"/>
        <w:autoSpaceDN w:val="0"/>
        <w:adjustRightInd w:val="0"/>
        <w:spacing w:after="120"/>
        <w:rPr>
          <w:sz w:val="22"/>
        </w:rPr>
      </w:pPr>
      <w:r w:rsidRPr="004F1685">
        <w:rPr>
          <w:sz w:val="22"/>
        </w:rPr>
        <w:t>The 1-hour NO</w:t>
      </w:r>
      <w:r w:rsidRPr="004F1685">
        <w:rPr>
          <w:sz w:val="22"/>
          <w:vertAlign w:val="subscript"/>
        </w:rPr>
        <w:t>2</w:t>
      </w:r>
      <w:r w:rsidRPr="004F1685">
        <w:rPr>
          <w:sz w:val="22"/>
        </w:rPr>
        <w:t xml:space="preserve"> NAAQS is a probabilistic standard, and compliance is based on the highest predicted 98th percentile (i.e., 8</w:t>
      </w:r>
      <w:r w:rsidRPr="004F1685">
        <w:rPr>
          <w:sz w:val="22"/>
          <w:vertAlign w:val="superscript"/>
        </w:rPr>
        <w:t>th</w:t>
      </w:r>
      <w:r w:rsidRPr="004F1685">
        <w:rPr>
          <w:sz w:val="22"/>
        </w:rPr>
        <w:t xml:space="preserve"> highest) daily maximum 1-hour average concentrations, on a receptor-by-receptor basis, averaged over five years of meteorological data. </w:t>
      </w:r>
      <w:r>
        <w:rPr>
          <w:sz w:val="22"/>
        </w:rPr>
        <w:t xml:space="preserve"> </w:t>
      </w:r>
      <w:r w:rsidRPr="004F1685">
        <w:rPr>
          <w:sz w:val="22"/>
        </w:rPr>
        <w:t>The 24-hour PM</w:t>
      </w:r>
      <w:r w:rsidRPr="004F1685">
        <w:rPr>
          <w:sz w:val="22"/>
          <w:vertAlign w:val="subscript"/>
        </w:rPr>
        <w:t>2.5</w:t>
      </w:r>
      <w:r w:rsidRPr="004F1685">
        <w:rPr>
          <w:sz w:val="22"/>
        </w:rPr>
        <w:t xml:space="preserve"> NAAQS is based on the 98</w:t>
      </w:r>
      <w:r w:rsidRPr="004F1685">
        <w:rPr>
          <w:sz w:val="22"/>
          <w:vertAlign w:val="superscript"/>
        </w:rPr>
        <w:t>th</w:t>
      </w:r>
      <w:r w:rsidRPr="004F1685">
        <w:rPr>
          <w:sz w:val="22"/>
        </w:rPr>
        <w:t xml:space="preserve"> percentile of all daily measurements per year, averaged over five years.</w:t>
      </w:r>
    </w:p>
    <w:p w:rsidR="004F1685" w:rsidRPr="004F1685" w:rsidRDefault="004F1685" w:rsidP="004F1685">
      <w:pPr>
        <w:pStyle w:val="Caption"/>
        <w:spacing w:before="0"/>
        <w:jc w:val="center"/>
        <w:rPr>
          <w:szCs w:val="22"/>
        </w:rPr>
      </w:pPr>
      <w:bookmarkStart w:id="48" w:name="_Ref372023539"/>
      <w:r>
        <w:t xml:space="preserve">Table </w:t>
      </w:r>
      <w:fldSimple w:instr=" SEQ Table \* ARABIC ">
        <w:r w:rsidR="007F3589">
          <w:rPr>
            <w:noProof/>
          </w:rPr>
          <w:t>21</w:t>
        </w:r>
      </w:fldSimple>
      <w:bookmarkEnd w:id="48"/>
      <w:r w:rsidRPr="009B1D4A">
        <w:rPr>
          <w:szCs w:val="22"/>
        </w:rPr>
        <w:t xml:space="preserve"> –</w:t>
      </w:r>
      <w:r>
        <w:rPr>
          <w:szCs w:val="22"/>
        </w:rPr>
        <w:t xml:space="preserve"> </w:t>
      </w:r>
      <w:r w:rsidRPr="004F1685">
        <w:rPr>
          <w:szCs w:val="22"/>
        </w:rPr>
        <w:t>Max Predicted Air Quality Impacts of the FTY Project compared to Class I SIL (Siemens F5)</w:t>
      </w:r>
      <w:r>
        <w:rPr>
          <w:szCs w:val="22"/>
        </w:rPr>
        <w:t>.</w:t>
      </w:r>
    </w:p>
    <w:tbl>
      <w:tblPr>
        <w:tblW w:w="9260" w:type="dxa"/>
        <w:tblInd w:w="5" w:type="dxa"/>
        <w:shd w:val="clear" w:color="auto" w:fill="FFFFFF"/>
        <w:tblLayout w:type="fixed"/>
        <w:tblLook w:val="0000" w:firstRow="0" w:lastRow="0" w:firstColumn="0" w:lastColumn="0" w:noHBand="0" w:noVBand="0"/>
      </w:tblPr>
      <w:tblGrid>
        <w:gridCol w:w="1331"/>
        <w:gridCol w:w="1686"/>
        <w:gridCol w:w="3193"/>
        <w:gridCol w:w="1700"/>
        <w:gridCol w:w="1350"/>
      </w:tblGrid>
      <w:tr w:rsidR="004F1685" w:rsidRPr="00B55404" w:rsidTr="002E7738">
        <w:trPr>
          <w:trHeight w:val="20"/>
          <w:tblHeader/>
        </w:trPr>
        <w:tc>
          <w:tcPr>
            <w:tcW w:w="1331"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4F1685" w:rsidRPr="004F1685" w:rsidRDefault="004F1685" w:rsidP="004F1685">
            <w:pPr>
              <w:autoSpaceDE w:val="0"/>
              <w:autoSpaceDN w:val="0"/>
              <w:adjustRightInd w:val="0"/>
              <w:ind w:left="90"/>
              <w:jc w:val="center"/>
              <w:rPr>
                <w:b/>
              </w:rPr>
            </w:pPr>
            <w:r w:rsidRPr="004F1685">
              <w:rPr>
                <w:b/>
              </w:rPr>
              <w:t>Pollutant</w:t>
            </w:r>
          </w:p>
        </w:tc>
        <w:tc>
          <w:tcPr>
            <w:tcW w:w="1686"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4F1685" w:rsidRPr="004F1685" w:rsidRDefault="004F1685" w:rsidP="004F1685">
            <w:pPr>
              <w:autoSpaceDE w:val="0"/>
              <w:autoSpaceDN w:val="0"/>
              <w:adjustRightInd w:val="0"/>
              <w:ind w:left="109"/>
              <w:jc w:val="center"/>
              <w:rPr>
                <w:b/>
              </w:rPr>
            </w:pPr>
            <w:r w:rsidRPr="004F1685">
              <w:rPr>
                <w:b/>
              </w:rPr>
              <w:t>Averaging Time</w:t>
            </w:r>
          </w:p>
        </w:tc>
        <w:tc>
          <w:tcPr>
            <w:tcW w:w="3193"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4F1685" w:rsidRPr="004F1685" w:rsidRDefault="004F1685" w:rsidP="004F1685">
            <w:pPr>
              <w:autoSpaceDE w:val="0"/>
              <w:autoSpaceDN w:val="0"/>
              <w:adjustRightInd w:val="0"/>
              <w:ind w:left="133"/>
              <w:jc w:val="center"/>
              <w:rPr>
                <w:b/>
              </w:rPr>
            </w:pPr>
            <w:r w:rsidRPr="004F1685">
              <w:rPr>
                <w:b/>
              </w:rPr>
              <w:t>Max. Predicted Impact (µg/m</w:t>
            </w:r>
            <w:r w:rsidRPr="004F1685">
              <w:rPr>
                <w:b/>
                <w:vertAlign w:val="superscript"/>
              </w:rPr>
              <w:t>3</w:t>
            </w:r>
            <w:r w:rsidRPr="004F1685">
              <w:rPr>
                <w:b/>
              </w:rPr>
              <w:t>)</w:t>
            </w:r>
            <w:r w:rsidRPr="004F1685">
              <w:rPr>
                <w:b/>
              </w:rPr>
              <w:br/>
              <w:t xml:space="preserve">at ENP </w:t>
            </w:r>
          </w:p>
        </w:tc>
        <w:tc>
          <w:tcPr>
            <w:tcW w:w="170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4F1685" w:rsidRPr="004F1685" w:rsidRDefault="004F1685" w:rsidP="004F1685">
            <w:pPr>
              <w:autoSpaceDE w:val="0"/>
              <w:autoSpaceDN w:val="0"/>
              <w:adjustRightInd w:val="0"/>
              <w:ind w:left="180"/>
              <w:jc w:val="center"/>
              <w:rPr>
                <w:b/>
              </w:rPr>
            </w:pPr>
            <w:r w:rsidRPr="004F1685">
              <w:rPr>
                <w:b/>
              </w:rPr>
              <w:t>Class I SIL (µg/m</w:t>
            </w:r>
            <w:r w:rsidRPr="004F1685">
              <w:rPr>
                <w:b/>
                <w:vertAlign w:val="superscript"/>
              </w:rPr>
              <w:t>3</w:t>
            </w:r>
            <w:r w:rsidRPr="004F1685">
              <w:rPr>
                <w:b/>
              </w:rPr>
              <w:t>)</w:t>
            </w:r>
          </w:p>
        </w:tc>
        <w:tc>
          <w:tcPr>
            <w:tcW w:w="135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4F1685" w:rsidRPr="004F1685" w:rsidRDefault="004F1685" w:rsidP="004F1685">
            <w:pPr>
              <w:autoSpaceDE w:val="0"/>
              <w:autoSpaceDN w:val="0"/>
              <w:adjustRightInd w:val="0"/>
              <w:ind w:left="90"/>
              <w:jc w:val="center"/>
              <w:rPr>
                <w:b/>
              </w:rPr>
            </w:pPr>
            <w:r w:rsidRPr="004F1685">
              <w:rPr>
                <w:b/>
              </w:rPr>
              <w:t>Significant Impact?</w:t>
            </w:r>
          </w:p>
        </w:tc>
      </w:tr>
      <w:tr w:rsidR="004F1685" w:rsidRPr="00B55404" w:rsidTr="002E7738">
        <w:trPr>
          <w:cantSplit/>
          <w:trHeight w:val="20"/>
        </w:trPr>
        <w:tc>
          <w:tcPr>
            <w:tcW w:w="133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90"/>
              <w:jc w:val="center"/>
              <w:rPr>
                <w:vertAlign w:val="superscript"/>
              </w:rPr>
            </w:pPr>
            <w:r w:rsidRPr="004F1685">
              <w:t>NO</w:t>
            </w:r>
            <w:r w:rsidRPr="004F1685">
              <w:rPr>
                <w:vertAlign w:val="subscript"/>
              </w:rPr>
              <w:t>2</w:t>
            </w:r>
            <w:r w:rsidRPr="004F1685">
              <w:rPr>
                <w:vertAlign w:val="superscript"/>
              </w:rPr>
              <w:t xml:space="preserve"> a</w:t>
            </w:r>
          </w:p>
        </w:tc>
        <w:tc>
          <w:tcPr>
            <w:tcW w:w="168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109"/>
              <w:jc w:val="center"/>
            </w:pPr>
            <w:r w:rsidRPr="004F1685">
              <w:t>Annual</w:t>
            </w:r>
          </w:p>
        </w:tc>
        <w:tc>
          <w:tcPr>
            <w:tcW w:w="319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bottom"/>
          </w:tcPr>
          <w:p w:rsidR="004F1685" w:rsidRPr="004F1685" w:rsidRDefault="004F1685" w:rsidP="004F1685">
            <w:pPr>
              <w:autoSpaceDE w:val="0"/>
              <w:autoSpaceDN w:val="0"/>
              <w:adjustRightInd w:val="0"/>
              <w:ind w:left="133"/>
              <w:jc w:val="center"/>
              <w:rPr>
                <w:vertAlign w:val="superscript"/>
              </w:rPr>
            </w:pPr>
            <w:r w:rsidRPr="004F1685">
              <w:t xml:space="preserve">0.01 </w:t>
            </w:r>
            <w:r w:rsidRPr="004F1685">
              <w:rPr>
                <w:vertAlign w:val="superscript"/>
              </w:rPr>
              <w:t>c</w:t>
            </w:r>
          </w:p>
        </w:tc>
        <w:tc>
          <w:tcPr>
            <w:tcW w:w="17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180"/>
              <w:jc w:val="center"/>
            </w:pPr>
            <w:r w:rsidRPr="004F1685">
              <w:t>0.1</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90"/>
              <w:jc w:val="center"/>
            </w:pPr>
            <w:r w:rsidRPr="004F1685">
              <w:t>No</w:t>
            </w:r>
          </w:p>
        </w:tc>
      </w:tr>
      <w:tr w:rsidR="004F1685" w:rsidRPr="00B55404" w:rsidTr="002E7738">
        <w:trPr>
          <w:cantSplit/>
          <w:trHeight w:val="20"/>
        </w:trPr>
        <w:tc>
          <w:tcPr>
            <w:tcW w:w="133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90"/>
              <w:jc w:val="center"/>
              <w:rPr>
                <w:vertAlign w:val="subscript"/>
              </w:rPr>
            </w:pPr>
            <w:r w:rsidRPr="004F1685">
              <w:t>PM</w:t>
            </w:r>
            <w:r w:rsidRPr="004F1685">
              <w:rPr>
                <w:vertAlign w:val="subscript"/>
              </w:rPr>
              <w:t>10</w:t>
            </w:r>
          </w:p>
        </w:tc>
        <w:tc>
          <w:tcPr>
            <w:tcW w:w="168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109"/>
              <w:jc w:val="center"/>
            </w:pPr>
            <w:r w:rsidRPr="004F1685">
              <w:t>Annual</w:t>
            </w:r>
            <w:r w:rsidRPr="004F1685">
              <w:br/>
              <w:t xml:space="preserve">24-Hour </w:t>
            </w:r>
          </w:p>
        </w:tc>
        <w:tc>
          <w:tcPr>
            <w:tcW w:w="319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133"/>
              <w:jc w:val="center"/>
              <w:rPr>
                <w:vertAlign w:val="superscript"/>
              </w:rPr>
            </w:pPr>
            <w:r w:rsidRPr="004F1685">
              <w:t xml:space="preserve">0.002 </w:t>
            </w:r>
            <w:r w:rsidRPr="004F1685">
              <w:rPr>
                <w:vertAlign w:val="superscript"/>
              </w:rPr>
              <w:t>c</w:t>
            </w:r>
          </w:p>
          <w:p w:rsidR="004F1685" w:rsidRPr="004F1685" w:rsidRDefault="004F1685" w:rsidP="004F1685">
            <w:pPr>
              <w:autoSpaceDE w:val="0"/>
              <w:autoSpaceDN w:val="0"/>
              <w:adjustRightInd w:val="0"/>
              <w:ind w:left="133"/>
              <w:jc w:val="center"/>
              <w:rPr>
                <w:vertAlign w:val="superscript"/>
              </w:rPr>
            </w:pPr>
            <w:r w:rsidRPr="004F1685">
              <w:t xml:space="preserve">0.38 </w:t>
            </w:r>
            <w:r w:rsidRPr="004F1685">
              <w:rPr>
                <w:vertAlign w:val="superscript"/>
              </w:rPr>
              <w:t>c</w:t>
            </w:r>
          </w:p>
        </w:tc>
        <w:tc>
          <w:tcPr>
            <w:tcW w:w="17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180"/>
              <w:jc w:val="center"/>
            </w:pPr>
            <w:r w:rsidRPr="004F1685">
              <w:t>0.2</w:t>
            </w:r>
            <w:r w:rsidRPr="004F1685">
              <w:br/>
              <w:t>0.3</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90"/>
              <w:jc w:val="center"/>
            </w:pPr>
            <w:r w:rsidRPr="004F1685">
              <w:t>No</w:t>
            </w:r>
            <w:r w:rsidRPr="004F1685">
              <w:br/>
            </w:r>
            <w:r w:rsidRPr="004F1685">
              <w:rPr>
                <w:b/>
              </w:rPr>
              <w:t>Yes</w:t>
            </w:r>
          </w:p>
        </w:tc>
      </w:tr>
      <w:tr w:rsidR="004F1685" w:rsidRPr="00B55404" w:rsidTr="002E7738">
        <w:trPr>
          <w:cantSplit/>
          <w:trHeight w:val="20"/>
        </w:trPr>
        <w:tc>
          <w:tcPr>
            <w:tcW w:w="133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90"/>
              <w:jc w:val="center"/>
            </w:pPr>
            <w:r w:rsidRPr="004F1685">
              <w:t>PM</w:t>
            </w:r>
            <w:r w:rsidRPr="004F1685">
              <w:rPr>
                <w:vertAlign w:val="subscript"/>
              </w:rPr>
              <w:t xml:space="preserve">2.5 </w:t>
            </w:r>
            <w:r w:rsidRPr="004F1685">
              <w:rPr>
                <w:vertAlign w:val="superscript"/>
              </w:rPr>
              <w:t>b</w:t>
            </w:r>
          </w:p>
        </w:tc>
        <w:tc>
          <w:tcPr>
            <w:tcW w:w="1686"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109"/>
              <w:jc w:val="center"/>
            </w:pPr>
            <w:r w:rsidRPr="004F1685">
              <w:t>Annual</w:t>
            </w:r>
          </w:p>
          <w:p w:rsidR="004F1685" w:rsidRPr="004F1685" w:rsidRDefault="004F1685" w:rsidP="004F1685">
            <w:pPr>
              <w:autoSpaceDE w:val="0"/>
              <w:autoSpaceDN w:val="0"/>
              <w:adjustRightInd w:val="0"/>
              <w:ind w:left="109"/>
              <w:jc w:val="center"/>
            </w:pPr>
            <w:r w:rsidRPr="004F1685">
              <w:t xml:space="preserve">24-hour </w:t>
            </w:r>
          </w:p>
        </w:tc>
        <w:tc>
          <w:tcPr>
            <w:tcW w:w="319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133"/>
              <w:jc w:val="center"/>
              <w:rPr>
                <w:vertAlign w:val="superscript"/>
              </w:rPr>
            </w:pPr>
            <w:r w:rsidRPr="004F1685">
              <w:t xml:space="preserve">0.002 </w:t>
            </w:r>
            <w:r w:rsidRPr="004F1685">
              <w:rPr>
                <w:vertAlign w:val="superscript"/>
              </w:rPr>
              <w:t>c</w:t>
            </w:r>
          </w:p>
          <w:p w:rsidR="004F1685" w:rsidRPr="004F1685" w:rsidRDefault="004F1685" w:rsidP="004F1685">
            <w:pPr>
              <w:autoSpaceDE w:val="0"/>
              <w:autoSpaceDN w:val="0"/>
              <w:adjustRightInd w:val="0"/>
              <w:ind w:left="133"/>
              <w:jc w:val="center"/>
              <w:rPr>
                <w:vertAlign w:val="superscript"/>
              </w:rPr>
            </w:pPr>
            <w:r w:rsidRPr="004F1685">
              <w:t xml:space="preserve">0.38 </w:t>
            </w:r>
            <w:r w:rsidRPr="004F1685">
              <w:rPr>
                <w:vertAlign w:val="superscript"/>
              </w:rPr>
              <w:t>c</w:t>
            </w:r>
          </w:p>
        </w:tc>
        <w:tc>
          <w:tcPr>
            <w:tcW w:w="17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180"/>
              <w:jc w:val="center"/>
            </w:pPr>
            <w:r w:rsidRPr="004F1685">
              <w:t>0.04</w:t>
            </w:r>
          </w:p>
          <w:p w:rsidR="004F1685" w:rsidRPr="004F1685" w:rsidRDefault="004F1685" w:rsidP="004F1685">
            <w:pPr>
              <w:autoSpaceDE w:val="0"/>
              <w:autoSpaceDN w:val="0"/>
              <w:adjustRightInd w:val="0"/>
              <w:ind w:left="180"/>
              <w:jc w:val="center"/>
            </w:pPr>
            <w:r w:rsidRPr="004F1685">
              <w:t>0.07</w:t>
            </w:r>
          </w:p>
        </w:tc>
        <w:tc>
          <w:tcPr>
            <w:tcW w:w="135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autoSpaceDE w:val="0"/>
              <w:autoSpaceDN w:val="0"/>
              <w:adjustRightInd w:val="0"/>
              <w:ind w:left="90"/>
              <w:jc w:val="center"/>
            </w:pPr>
            <w:r w:rsidRPr="004F1685">
              <w:t>No</w:t>
            </w:r>
          </w:p>
          <w:p w:rsidR="004F1685" w:rsidRPr="004F1685" w:rsidRDefault="004F1685" w:rsidP="004F1685">
            <w:pPr>
              <w:autoSpaceDE w:val="0"/>
              <w:autoSpaceDN w:val="0"/>
              <w:adjustRightInd w:val="0"/>
              <w:ind w:left="90"/>
              <w:jc w:val="center"/>
              <w:rPr>
                <w:b/>
              </w:rPr>
            </w:pPr>
            <w:r w:rsidRPr="004F1685">
              <w:rPr>
                <w:b/>
              </w:rPr>
              <w:t>Yes</w:t>
            </w:r>
          </w:p>
        </w:tc>
      </w:tr>
      <w:tr w:rsidR="004F1685" w:rsidRPr="000E3BDE" w:rsidTr="002E7738">
        <w:trPr>
          <w:cantSplit/>
          <w:trHeight w:val="350"/>
        </w:trPr>
        <w:tc>
          <w:tcPr>
            <w:tcW w:w="9260" w:type="dxa"/>
            <w:gridSpan w:val="5"/>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4F1685" w:rsidRPr="004F1685" w:rsidRDefault="004F1685" w:rsidP="004F1685">
            <w:pPr>
              <w:numPr>
                <w:ilvl w:val="0"/>
                <w:numId w:val="29"/>
              </w:numPr>
              <w:tabs>
                <w:tab w:val="clear" w:pos="342"/>
              </w:tabs>
              <w:autoSpaceDE w:val="0"/>
              <w:autoSpaceDN w:val="0"/>
              <w:adjustRightInd w:val="0"/>
              <w:ind w:left="345" w:hanging="259"/>
              <w:rPr>
                <w:sz w:val="18"/>
                <w:szCs w:val="18"/>
              </w:rPr>
            </w:pPr>
            <w:r w:rsidRPr="004F1685">
              <w:rPr>
                <w:sz w:val="18"/>
                <w:szCs w:val="18"/>
              </w:rPr>
              <w:t>Assumes 100% conversion of NO</w:t>
            </w:r>
            <w:r w:rsidRPr="004F1685">
              <w:rPr>
                <w:sz w:val="18"/>
                <w:szCs w:val="18"/>
                <w:vertAlign w:val="subscript"/>
              </w:rPr>
              <w:t>X</w:t>
            </w:r>
            <w:r w:rsidRPr="004F1685">
              <w:rPr>
                <w:sz w:val="18"/>
                <w:szCs w:val="18"/>
              </w:rPr>
              <w:t xml:space="preserve"> to NO</w:t>
            </w:r>
            <w:r w:rsidRPr="004F1685">
              <w:rPr>
                <w:sz w:val="18"/>
                <w:szCs w:val="18"/>
                <w:vertAlign w:val="subscript"/>
              </w:rPr>
              <w:t>2</w:t>
            </w:r>
            <w:r w:rsidRPr="004F1685">
              <w:rPr>
                <w:sz w:val="18"/>
                <w:szCs w:val="18"/>
              </w:rPr>
              <w:t>, i.e., the tier 1 modeling approach.</w:t>
            </w:r>
          </w:p>
          <w:p w:rsidR="004F1685" w:rsidRPr="004F1685" w:rsidRDefault="004F1685" w:rsidP="004F1685">
            <w:pPr>
              <w:numPr>
                <w:ilvl w:val="0"/>
                <w:numId w:val="29"/>
              </w:numPr>
              <w:tabs>
                <w:tab w:val="clear" w:pos="342"/>
              </w:tabs>
              <w:autoSpaceDE w:val="0"/>
              <w:autoSpaceDN w:val="0"/>
              <w:adjustRightInd w:val="0"/>
              <w:ind w:left="345" w:hanging="259"/>
              <w:rPr>
                <w:sz w:val="18"/>
                <w:szCs w:val="18"/>
              </w:rPr>
            </w:pPr>
            <w:r w:rsidRPr="004F1685">
              <w:rPr>
                <w:sz w:val="18"/>
                <w:szCs w:val="18"/>
              </w:rPr>
              <w:t>Assumes 100% of PM</w:t>
            </w:r>
            <w:r w:rsidRPr="004F1685">
              <w:rPr>
                <w:sz w:val="18"/>
                <w:szCs w:val="18"/>
                <w:vertAlign w:val="subscript"/>
              </w:rPr>
              <w:t>10</w:t>
            </w:r>
            <w:r w:rsidRPr="004F1685">
              <w:rPr>
                <w:sz w:val="18"/>
                <w:szCs w:val="18"/>
              </w:rPr>
              <w:t xml:space="preserve"> consists of PM</w:t>
            </w:r>
            <w:r w:rsidRPr="004F1685">
              <w:rPr>
                <w:sz w:val="18"/>
                <w:szCs w:val="18"/>
                <w:vertAlign w:val="subscript"/>
              </w:rPr>
              <w:t>2.5</w:t>
            </w:r>
            <w:r w:rsidRPr="004F1685">
              <w:rPr>
                <w:sz w:val="18"/>
                <w:szCs w:val="18"/>
              </w:rPr>
              <w:t>, i.e., the most conservative estimate.</w:t>
            </w:r>
          </w:p>
          <w:p w:rsidR="004F1685" w:rsidRPr="004F1685" w:rsidRDefault="004F1685" w:rsidP="004F1685">
            <w:pPr>
              <w:numPr>
                <w:ilvl w:val="0"/>
                <w:numId w:val="30"/>
              </w:numPr>
              <w:autoSpaceDE w:val="0"/>
              <w:autoSpaceDN w:val="0"/>
              <w:adjustRightInd w:val="0"/>
              <w:ind w:left="342" w:hanging="252"/>
              <w:rPr>
                <w:sz w:val="18"/>
                <w:szCs w:val="18"/>
              </w:rPr>
            </w:pPr>
            <w:r w:rsidRPr="004F1685">
              <w:rPr>
                <w:sz w:val="18"/>
                <w:szCs w:val="18"/>
              </w:rPr>
              <w:t>Calculated based on emissions from five turbines operating on ULSD oil for 8,760 hr/yr.</w:t>
            </w:r>
          </w:p>
          <w:p w:rsidR="004F1685" w:rsidRPr="004F1685" w:rsidRDefault="004F1685" w:rsidP="004F1685">
            <w:pPr>
              <w:numPr>
                <w:ilvl w:val="0"/>
                <w:numId w:val="30"/>
              </w:numPr>
              <w:autoSpaceDE w:val="0"/>
              <w:autoSpaceDN w:val="0"/>
              <w:adjustRightInd w:val="0"/>
              <w:ind w:left="342" w:hanging="252"/>
              <w:rPr>
                <w:sz w:val="18"/>
                <w:szCs w:val="18"/>
              </w:rPr>
            </w:pPr>
            <w:r w:rsidRPr="004F1685">
              <w:rPr>
                <w:bCs/>
                <w:sz w:val="18"/>
                <w:szCs w:val="18"/>
              </w:rPr>
              <w:t xml:space="preserve">Calculated based on </w:t>
            </w:r>
            <w:r w:rsidRPr="004F1685">
              <w:rPr>
                <w:sz w:val="18"/>
                <w:szCs w:val="18"/>
              </w:rPr>
              <w:t>emissions from five turbines operating on natural gas for 8,760 hr/yr.</w:t>
            </w:r>
          </w:p>
          <w:p w:rsidR="004F1685" w:rsidRPr="00523CE9" w:rsidRDefault="004F1685" w:rsidP="004F1685">
            <w:pPr>
              <w:numPr>
                <w:ilvl w:val="0"/>
                <w:numId w:val="30"/>
              </w:numPr>
              <w:autoSpaceDE w:val="0"/>
              <w:autoSpaceDN w:val="0"/>
              <w:adjustRightInd w:val="0"/>
              <w:ind w:left="342" w:hanging="252"/>
              <w:rPr>
                <w:rFonts w:ascii="Calibri" w:hAnsi="Calibri"/>
                <w:sz w:val="16"/>
                <w:szCs w:val="16"/>
              </w:rPr>
            </w:pPr>
            <w:r w:rsidRPr="004F1685">
              <w:rPr>
                <w:bCs/>
                <w:sz w:val="18"/>
                <w:szCs w:val="18"/>
              </w:rPr>
              <w:t xml:space="preserve">Calculated based on </w:t>
            </w:r>
            <w:r w:rsidRPr="004F1685">
              <w:rPr>
                <w:sz w:val="18"/>
                <w:szCs w:val="18"/>
              </w:rPr>
              <w:t>emissions from five turbines operating on natural gas for 14 hr/day and ULSD oil for 10 hr/day.</w:t>
            </w:r>
          </w:p>
        </w:tc>
      </w:tr>
    </w:tbl>
    <w:p w:rsidR="00C85DF2" w:rsidRPr="004F1685" w:rsidRDefault="00C85DF2" w:rsidP="00C85DF2">
      <w:pPr>
        <w:autoSpaceDE w:val="0"/>
        <w:autoSpaceDN w:val="0"/>
        <w:adjustRightInd w:val="0"/>
        <w:spacing w:before="120" w:after="120"/>
        <w:rPr>
          <w:sz w:val="22"/>
        </w:rPr>
      </w:pPr>
      <w:r w:rsidRPr="004F1685">
        <w:rPr>
          <w:sz w:val="22"/>
        </w:rPr>
        <w:t xml:space="preserve">The NAAQS and PSD analyses are cumulative source analyses that evaluate whether the air quality impact concentrations from all nearby sources will comply with the NAAQS and PSD increments.  The analyses considered the modeled impacts from existing and future sources at the proposed </w:t>
      </w:r>
      <w:r>
        <w:rPr>
          <w:sz w:val="22"/>
        </w:rPr>
        <w:t xml:space="preserve">Lauderdale </w:t>
      </w:r>
      <w:r w:rsidR="004540D7">
        <w:rPr>
          <w:sz w:val="22"/>
        </w:rPr>
        <w:t>P</w:t>
      </w:r>
      <w:r w:rsidRPr="004F1685">
        <w:rPr>
          <w:sz w:val="22"/>
        </w:rPr>
        <w:t>roject site, emissions from other nearby facility sources, as applicable, and a non-modeled background concentration that is intended to account for all sources not included in the modeling analysis.</w:t>
      </w:r>
    </w:p>
    <w:p w:rsidR="00C85DF2" w:rsidRPr="004F1685" w:rsidRDefault="00C85DF2" w:rsidP="00C85DF2">
      <w:pPr>
        <w:widowControl w:val="0"/>
        <w:tabs>
          <w:tab w:val="left" w:pos="720"/>
        </w:tabs>
        <w:spacing w:after="120"/>
        <w:rPr>
          <w:sz w:val="22"/>
          <w:szCs w:val="22"/>
        </w:rPr>
      </w:pPr>
      <w:r w:rsidRPr="004F1685">
        <w:rPr>
          <w:sz w:val="22"/>
        </w:rPr>
        <w:t>An increment analysis is not required for NO</w:t>
      </w:r>
      <w:r w:rsidRPr="004F1685">
        <w:rPr>
          <w:sz w:val="22"/>
          <w:vertAlign w:val="subscript"/>
        </w:rPr>
        <w:t xml:space="preserve">2 </w:t>
      </w:r>
      <w:r w:rsidRPr="004F1685">
        <w:rPr>
          <w:sz w:val="22"/>
        </w:rPr>
        <w:t>because a 1-hour PSD Class II increment does not exist for that pollutant, however, a PSD Class II increment does exist for PM</w:t>
      </w:r>
      <w:r w:rsidRPr="004F1685">
        <w:rPr>
          <w:sz w:val="22"/>
          <w:vertAlign w:val="subscript"/>
        </w:rPr>
        <w:t>2.5</w:t>
      </w:r>
      <w:r w:rsidRPr="004F1685">
        <w:rPr>
          <w:sz w:val="22"/>
        </w:rPr>
        <w:t xml:space="preserve">, and will be discussed in the next section.  </w:t>
      </w:r>
    </w:p>
    <w:p w:rsidR="004F1685" w:rsidRPr="004F1685" w:rsidRDefault="004F1685" w:rsidP="004F1685">
      <w:pPr>
        <w:widowControl w:val="0"/>
        <w:tabs>
          <w:tab w:val="left" w:pos="720"/>
        </w:tabs>
        <w:spacing w:before="120" w:after="60"/>
        <w:rPr>
          <w:sz w:val="22"/>
          <w:szCs w:val="22"/>
        </w:rPr>
      </w:pPr>
      <w:r w:rsidRPr="004F1685">
        <w:rPr>
          <w:bCs/>
          <w:sz w:val="22"/>
          <w:szCs w:val="22"/>
        </w:rPr>
        <w:t>It should be noted that the applicant used different receptor and grid parameters when evaluating PM</w:t>
      </w:r>
      <w:r w:rsidRPr="004F1685">
        <w:rPr>
          <w:bCs/>
          <w:sz w:val="22"/>
          <w:szCs w:val="22"/>
          <w:vertAlign w:val="subscript"/>
        </w:rPr>
        <w:t xml:space="preserve">2.5 </w:t>
      </w:r>
      <w:r w:rsidRPr="004F1685">
        <w:rPr>
          <w:bCs/>
          <w:sz w:val="22"/>
          <w:szCs w:val="22"/>
        </w:rPr>
        <w:t xml:space="preserve">concentrations against the </w:t>
      </w:r>
      <w:r w:rsidRPr="004F1685">
        <w:rPr>
          <w:sz w:val="22"/>
          <w:szCs w:val="22"/>
        </w:rPr>
        <w:t xml:space="preserve">NAAQS.  Single source modeling for </w:t>
      </w:r>
      <w:r w:rsidRPr="004F1685">
        <w:rPr>
          <w:bCs/>
          <w:sz w:val="22"/>
          <w:szCs w:val="22"/>
        </w:rPr>
        <w:t>PM</w:t>
      </w:r>
      <w:r w:rsidRPr="004F1685">
        <w:rPr>
          <w:bCs/>
          <w:sz w:val="22"/>
          <w:szCs w:val="22"/>
          <w:vertAlign w:val="subscript"/>
        </w:rPr>
        <w:t>2.5</w:t>
      </w:r>
      <w:r w:rsidRPr="004F1685">
        <w:rPr>
          <w:bCs/>
          <w:sz w:val="22"/>
          <w:szCs w:val="22"/>
        </w:rPr>
        <w:t xml:space="preserve"> showed the only receptors to be in violation</w:t>
      </w:r>
      <w:r w:rsidRPr="004F1685">
        <w:rPr>
          <w:bCs/>
          <w:sz w:val="22"/>
          <w:szCs w:val="22"/>
          <w:vertAlign w:val="subscript"/>
        </w:rPr>
        <w:t xml:space="preserve"> </w:t>
      </w:r>
      <w:r w:rsidRPr="004F1685">
        <w:rPr>
          <w:sz w:val="22"/>
          <w:szCs w:val="22"/>
        </w:rPr>
        <w:t xml:space="preserve">of the SIL was located within a radius of 4.2 kilometers around the source. </w:t>
      </w:r>
      <w:r>
        <w:rPr>
          <w:sz w:val="22"/>
          <w:szCs w:val="22"/>
        </w:rPr>
        <w:t xml:space="preserve"> </w:t>
      </w:r>
      <w:r w:rsidRPr="004F1685">
        <w:rPr>
          <w:sz w:val="22"/>
          <w:szCs w:val="22"/>
        </w:rPr>
        <w:t xml:space="preserve">Therefore, the applicant used a circular grid, with a radius of approximately 4.2 kilometers, which encompassed all receptors in violation. </w:t>
      </w:r>
      <w:r>
        <w:rPr>
          <w:sz w:val="22"/>
          <w:szCs w:val="22"/>
        </w:rPr>
        <w:t xml:space="preserve"> </w:t>
      </w:r>
      <w:r w:rsidRPr="004F1685">
        <w:rPr>
          <w:sz w:val="22"/>
          <w:szCs w:val="22"/>
        </w:rPr>
        <w:t>A discrete Cartesian grid of 1,032 receptors was located at the following intervals and distances:</w:t>
      </w:r>
    </w:p>
    <w:p w:rsidR="004F1685" w:rsidRPr="004F1685" w:rsidRDefault="004F1685" w:rsidP="004F1685">
      <w:pPr>
        <w:widowControl w:val="0"/>
        <w:numPr>
          <w:ilvl w:val="0"/>
          <w:numId w:val="27"/>
        </w:numPr>
        <w:spacing w:after="60"/>
        <w:ind w:left="360"/>
        <w:rPr>
          <w:sz w:val="22"/>
          <w:szCs w:val="22"/>
        </w:rPr>
      </w:pPr>
      <w:r w:rsidRPr="004F1685">
        <w:rPr>
          <w:sz w:val="22"/>
          <w:szCs w:val="22"/>
        </w:rPr>
        <w:lastRenderedPageBreak/>
        <w:t>Every 50 m along the property boundary and fence line;</w:t>
      </w:r>
    </w:p>
    <w:p w:rsidR="004F1685" w:rsidRPr="004F1685" w:rsidRDefault="004F1685" w:rsidP="004F1685">
      <w:pPr>
        <w:widowControl w:val="0"/>
        <w:numPr>
          <w:ilvl w:val="0"/>
          <w:numId w:val="27"/>
        </w:numPr>
        <w:spacing w:after="120"/>
        <w:ind w:left="360"/>
        <w:rPr>
          <w:sz w:val="22"/>
          <w:szCs w:val="22"/>
        </w:rPr>
      </w:pPr>
      <w:r w:rsidRPr="004F1685">
        <w:rPr>
          <w:sz w:val="22"/>
          <w:szCs w:val="22"/>
        </w:rPr>
        <w:t>Every 250 m in a 4.2 km semi-circle, centered at the origin, excluding areas within the property boundary;</w:t>
      </w:r>
    </w:p>
    <w:p w:rsidR="004F1685" w:rsidRPr="004F1685" w:rsidRDefault="004F1685" w:rsidP="004F1685">
      <w:pPr>
        <w:widowControl w:val="0"/>
        <w:tabs>
          <w:tab w:val="left" w:pos="720"/>
        </w:tabs>
        <w:spacing w:after="120"/>
        <w:rPr>
          <w:bCs/>
          <w:sz w:val="22"/>
          <w:szCs w:val="22"/>
        </w:rPr>
      </w:pPr>
      <w:r w:rsidRPr="004F1685">
        <w:rPr>
          <w:bCs/>
          <w:sz w:val="22"/>
          <w:szCs w:val="22"/>
        </w:rPr>
        <w:t xml:space="preserve">To determine which sources would have a significant impact on </w:t>
      </w:r>
      <w:r w:rsidRPr="004F1685">
        <w:rPr>
          <w:sz w:val="22"/>
          <w:szCs w:val="22"/>
        </w:rPr>
        <w:t>PM</w:t>
      </w:r>
      <w:r w:rsidRPr="004F1685">
        <w:rPr>
          <w:sz w:val="22"/>
          <w:szCs w:val="22"/>
          <w:vertAlign w:val="subscript"/>
        </w:rPr>
        <w:t xml:space="preserve">2.5 </w:t>
      </w:r>
      <w:r w:rsidRPr="004F1685">
        <w:rPr>
          <w:sz w:val="22"/>
          <w:szCs w:val="22"/>
        </w:rPr>
        <w:t>levels,</w:t>
      </w:r>
      <w:r w:rsidRPr="004540D7">
        <w:rPr>
          <w:sz w:val="22"/>
          <w:szCs w:val="22"/>
        </w:rPr>
        <w:t xml:space="preserve"> </w:t>
      </w:r>
      <w:r w:rsidRPr="004F1685">
        <w:rPr>
          <w:bCs/>
          <w:sz w:val="22"/>
          <w:szCs w:val="22"/>
        </w:rPr>
        <w:t>sources were evaluated using the widely used “20D” approach.  For NO</w:t>
      </w:r>
      <w:r w:rsidRPr="004F1685">
        <w:rPr>
          <w:bCs/>
          <w:sz w:val="22"/>
          <w:szCs w:val="22"/>
          <w:vertAlign w:val="subscript"/>
        </w:rPr>
        <w:t>2</w:t>
      </w:r>
      <w:r w:rsidRPr="004F1685">
        <w:rPr>
          <w:bCs/>
          <w:sz w:val="22"/>
          <w:szCs w:val="22"/>
        </w:rPr>
        <w:t>, guidance issued by the EPA (Tyler Fox, March 1, 2011; Additional Clarification Regarding Application of Appendix W Modeling Guidance for the 1-hour NO</w:t>
      </w:r>
      <w:r w:rsidRPr="004F1685">
        <w:rPr>
          <w:bCs/>
          <w:sz w:val="22"/>
          <w:szCs w:val="22"/>
          <w:vertAlign w:val="subscript"/>
        </w:rPr>
        <w:t>2</w:t>
      </w:r>
      <w:r w:rsidRPr="004F1685">
        <w:rPr>
          <w:bCs/>
          <w:sz w:val="22"/>
          <w:szCs w:val="22"/>
        </w:rPr>
        <w:t xml:space="preserve"> National Ambient Air Quality Standard) suggests that background sources within 10 km are generally sufficient for assessing air quality impacts over a 1-hour averaging time. </w:t>
      </w:r>
      <w:r>
        <w:rPr>
          <w:bCs/>
          <w:sz w:val="22"/>
          <w:szCs w:val="22"/>
        </w:rPr>
        <w:t xml:space="preserve"> </w:t>
      </w:r>
      <w:r w:rsidRPr="004F1685">
        <w:rPr>
          <w:bCs/>
          <w:sz w:val="22"/>
          <w:szCs w:val="22"/>
        </w:rPr>
        <w:t>Considering this guidance, sources within 10 km of the project site with emissions greater than 25 TPY were included.</w:t>
      </w:r>
      <w:r>
        <w:rPr>
          <w:bCs/>
          <w:sz w:val="22"/>
          <w:szCs w:val="22"/>
        </w:rPr>
        <w:t xml:space="preserve"> </w:t>
      </w:r>
      <w:r w:rsidRPr="004F1685">
        <w:rPr>
          <w:bCs/>
          <w:sz w:val="22"/>
          <w:szCs w:val="22"/>
        </w:rPr>
        <w:t xml:space="preserve"> Several sources located 10-30 km from the site were not included due to their low emission rates.</w:t>
      </w:r>
    </w:p>
    <w:p w:rsidR="004F1685" w:rsidRPr="004F1685" w:rsidRDefault="004F1685" w:rsidP="004F1685">
      <w:pPr>
        <w:widowControl w:val="0"/>
        <w:tabs>
          <w:tab w:val="left" w:pos="720"/>
        </w:tabs>
        <w:spacing w:after="120"/>
        <w:rPr>
          <w:bCs/>
          <w:sz w:val="22"/>
          <w:szCs w:val="22"/>
        </w:rPr>
      </w:pPr>
      <w:r w:rsidRPr="004F1685">
        <w:rPr>
          <w:bCs/>
          <w:sz w:val="22"/>
          <w:szCs w:val="22"/>
        </w:rPr>
        <w:t>Data on current NO</w:t>
      </w:r>
      <w:r w:rsidRPr="004F1685">
        <w:rPr>
          <w:bCs/>
          <w:sz w:val="22"/>
          <w:szCs w:val="22"/>
          <w:vertAlign w:val="subscript"/>
        </w:rPr>
        <w:t>2</w:t>
      </w:r>
      <w:r w:rsidRPr="004F1685">
        <w:rPr>
          <w:bCs/>
          <w:sz w:val="22"/>
          <w:szCs w:val="22"/>
        </w:rPr>
        <w:t xml:space="preserve"> and </w:t>
      </w:r>
      <w:r w:rsidRPr="004F1685">
        <w:rPr>
          <w:sz w:val="22"/>
          <w:szCs w:val="22"/>
        </w:rPr>
        <w:t>PM</w:t>
      </w:r>
      <w:r w:rsidRPr="004F1685">
        <w:rPr>
          <w:sz w:val="22"/>
          <w:szCs w:val="22"/>
          <w:vertAlign w:val="subscript"/>
        </w:rPr>
        <w:t xml:space="preserve">2.5 </w:t>
      </w:r>
      <w:r w:rsidRPr="004F1685">
        <w:rPr>
          <w:bCs/>
          <w:sz w:val="22"/>
          <w:szCs w:val="22"/>
        </w:rPr>
        <w:t xml:space="preserve">background sources were obtained from the DEP and all facilities located within 10 km of the proposed project were identified.  </w:t>
      </w:r>
      <w:r w:rsidR="004540D7" w:rsidRPr="004F1685">
        <w:rPr>
          <w:bCs/>
          <w:sz w:val="22"/>
          <w:szCs w:val="22"/>
        </w:rPr>
        <w:t>There</w:t>
      </w:r>
      <w:r w:rsidRPr="004F1685">
        <w:rPr>
          <w:bCs/>
          <w:sz w:val="22"/>
          <w:szCs w:val="22"/>
        </w:rPr>
        <w:t xml:space="preserve"> are three background sources included in the cumulative modeling analysis</w:t>
      </w:r>
      <w:r w:rsidR="004540D7">
        <w:rPr>
          <w:bCs/>
          <w:sz w:val="22"/>
          <w:szCs w:val="22"/>
        </w:rPr>
        <w:t xml:space="preserve"> (see </w:t>
      </w:r>
      <w:r w:rsidR="004540D7">
        <w:rPr>
          <w:bCs/>
          <w:sz w:val="22"/>
          <w:szCs w:val="22"/>
        </w:rPr>
        <w:fldChar w:fldCharType="begin"/>
      </w:r>
      <w:r w:rsidR="004540D7">
        <w:rPr>
          <w:bCs/>
          <w:sz w:val="22"/>
          <w:szCs w:val="22"/>
        </w:rPr>
        <w:instrText xml:space="preserve"> REF _Ref371664891 \h </w:instrText>
      </w:r>
      <w:r w:rsidR="004540D7">
        <w:rPr>
          <w:bCs/>
          <w:sz w:val="22"/>
          <w:szCs w:val="22"/>
        </w:rPr>
      </w:r>
      <w:r w:rsidR="004540D7">
        <w:rPr>
          <w:bCs/>
          <w:sz w:val="22"/>
          <w:szCs w:val="22"/>
        </w:rPr>
        <w:fldChar w:fldCharType="separate"/>
      </w:r>
      <w:r w:rsidR="007F3589" w:rsidRPr="007C045A">
        <w:rPr>
          <w:b/>
          <w:sz w:val="22"/>
          <w:szCs w:val="22"/>
        </w:rPr>
        <w:t xml:space="preserve">Figure </w:t>
      </w:r>
      <w:r w:rsidR="007F3589">
        <w:rPr>
          <w:b/>
          <w:noProof/>
          <w:sz w:val="22"/>
          <w:szCs w:val="22"/>
        </w:rPr>
        <w:t>20</w:t>
      </w:r>
      <w:r w:rsidR="004540D7">
        <w:rPr>
          <w:bCs/>
          <w:sz w:val="22"/>
          <w:szCs w:val="22"/>
        </w:rPr>
        <w:fldChar w:fldCharType="end"/>
      </w:r>
      <w:r w:rsidR="004540D7">
        <w:rPr>
          <w:bCs/>
          <w:sz w:val="22"/>
          <w:szCs w:val="22"/>
        </w:rPr>
        <w:t>)</w:t>
      </w:r>
      <w:r w:rsidRPr="004F1685">
        <w:rPr>
          <w:bCs/>
          <w:sz w:val="22"/>
          <w:szCs w:val="22"/>
        </w:rPr>
        <w:t xml:space="preserve">. </w:t>
      </w:r>
      <w:r w:rsidR="004540D7">
        <w:rPr>
          <w:bCs/>
          <w:sz w:val="22"/>
          <w:szCs w:val="22"/>
        </w:rPr>
        <w:t xml:space="preserve"> </w:t>
      </w:r>
      <w:r w:rsidRPr="004F1685">
        <w:rPr>
          <w:bCs/>
          <w:sz w:val="22"/>
          <w:szCs w:val="22"/>
        </w:rPr>
        <w:t>The maximum allowable emissions for these sites were entered into AERMOD for the modeling demonstration. In addition, a non-modeled background concentration obtained from a nearby, representative monitor (</w:t>
      </w:r>
      <w:r w:rsidR="004540D7">
        <w:rPr>
          <w:bCs/>
          <w:sz w:val="22"/>
          <w:szCs w:val="22"/>
        </w:rPr>
        <w:t xml:space="preserve">see </w:t>
      </w:r>
      <w:r w:rsidR="00701BB8" w:rsidRPr="00701BB8">
        <w:rPr>
          <w:b/>
          <w:bCs/>
          <w:sz w:val="22"/>
          <w:szCs w:val="22"/>
        </w:rPr>
        <w:fldChar w:fldCharType="begin"/>
      </w:r>
      <w:r w:rsidR="00701BB8" w:rsidRPr="00701BB8">
        <w:rPr>
          <w:b/>
          <w:bCs/>
          <w:sz w:val="22"/>
          <w:szCs w:val="22"/>
        </w:rPr>
        <w:instrText xml:space="preserve"> REF _Ref372024082 \h  \* MERGEFORMAT </w:instrText>
      </w:r>
      <w:r w:rsidR="00701BB8" w:rsidRPr="00701BB8">
        <w:rPr>
          <w:b/>
          <w:bCs/>
          <w:sz w:val="22"/>
          <w:szCs w:val="22"/>
        </w:rPr>
      </w:r>
      <w:r w:rsidR="00701BB8" w:rsidRPr="00701BB8">
        <w:rPr>
          <w:b/>
          <w:bCs/>
          <w:sz w:val="22"/>
          <w:szCs w:val="22"/>
        </w:rPr>
        <w:fldChar w:fldCharType="separate"/>
      </w:r>
      <w:r w:rsidR="007F3589" w:rsidRPr="007F3589">
        <w:rPr>
          <w:b/>
          <w:sz w:val="22"/>
          <w:szCs w:val="22"/>
        </w:rPr>
        <w:t xml:space="preserve">Table </w:t>
      </w:r>
      <w:r w:rsidR="007F3589" w:rsidRPr="007F3589">
        <w:rPr>
          <w:b/>
          <w:noProof/>
          <w:sz w:val="22"/>
          <w:szCs w:val="22"/>
        </w:rPr>
        <w:t>19</w:t>
      </w:r>
      <w:r w:rsidR="00701BB8" w:rsidRPr="00701BB8">
        <w:rPr>
          <w:b/>
          <w:bCs/>
          <w:sz w:val="22"/>
          <w:szCs w:val="22"/>
        </w:rPr>
        <w:fldChar w:fldCharType="end"/>
      </w:r>
      <w:r w:rsidRPr="004F1685">
        <w:rPr>
          <w:bCs/>
          <w:sz w:val="22"/>
          <w:szCs w:val="22"/>
        </w:rPr>
        <w:t>) for NO</w:t>
      </w:r>
      <w:r w:rsidRPr="004F1685">
        <w:rPr>
          <w:bCs/>
          <w:sz w:val="22"/>
          <w:szCs w:val="22"/>
          <w:vertAlign w:val="subscript"/>
        </w:rPr>
        <w:t>2</w:t>
      </w:r>
      <w:r w:rsidRPr="004F1685">
        <w:rPr>
          <w:bCs/>
          <w:sz w:val="22"/>
          <w:szCs w:val="22"/>
        </w:rPr>
        <w:t xml:space="preserve"> (45.4 ppb) and </w:t>
      </w:r>
      <w:r w:rsidRPr="004F1685">
        <w:rPr>
          <w:sz w:val="22"/>
          <w:szCs w:val="22"/>
        </w:rPr>
        <w:t>PM</w:t>
      </w:r>
      <w:r w:rsidRPr="004F1685">
        <w:rPr>
          <w:sz w:val="22"/>
          <w:szCs w:val="22"/>
          <w:vertAlign w:val="subscript"/>
        </w:rPr>
        <w:t xml:space="preserve">2.5 </w:t>
      </w:r>
      <w:r w:rsidRPr="004F1685">
        <w:rPr>
          <w:bCs/>
          <w:sz w:val="22"/>
          <w:szCs w:val="22"/>
        </w:rPr>
        <w:t>(14.6 µg/m</w:t>
      </w:r>
      <w:r w:rsidRPr="004F1685">
        <w:rPr>
          <w:bCs/>
          <w:sz w:val="22"/>
          <w:szCs w:val="22"/>
          <w:vertAlign w:val="superscript"/>
        </w:rPr>
        <w:t>3</w:t>
      </w:r>
      <w:r w:rsidRPr="004F1685">
        <w:rPr>
          <w:bCs/>
          <w:sz w:val="22"/>
          <w:szCs w:val="22"/>
        </w:rPr>
        <w:t xml:space="preserve">) were included to represent potential impacts due to emission sources not directly included in the modeling analysis. </w:t>
      </w:r>
    </w:p>
    <w:p w:rsidR="004F1685" w:rsidRPr="004F1685" w:rsidRDefault="004F1685" w:rsidP="004F1685">
      <w:pPr>
        <w:widowControl w:val="0"/>
        <w:tabs>
          <w:tab w:val="left" w:pos="720"/>
        </w:tabs>
        <w:spacing w:after="120"/>
        <w:rPr>
          <w:bCs/>
          <w:sz w:val="22"/>
          <w:szCs w:val="22"/>
        </w:rPr>
      </w:pPr>
      <w:r w:rsidRPr="004F1685">
        <w:rPr>
          <w:bCs/>
          <w:sz w:val="22"/>
          <w:szCs w:val="22"/>
        </w:rPr>
        <w:t>For both NO</w:t>
      </w:r>
      <w:r w:rsidRPr="004F1685">
        <w:rPr>
          <w:bCs/>
          <w:sz w:val="22"/>
          <w:szCs w:val="22"/>
          <w:vertAlign w:val="subscript"/>
        </w:rPr>
        <w:t xml:space="preserve">2 </w:t>
      </w:r>
      <w:r w:rsidRPr="004F1685">
        <w:rPr>
          <w:bCs/>
          <w:sz w:val="22"/>
          <w:szCs w:val="22"/>
        </w:rPr>
        <w:t xml:space="preserve">and </w:t>
      </w:r>
      <w:r w:rsidRPr="004F1685">
        <w:rPr>
          <w:sz w:val="22"/>
          <w:szCs w:val="22"/>
        </w:rPr>
        <w:t>PM</w:t>
      </w:r>
      <w:r w:rsidRPr="004F1685">
        <w:rPr>
          <w:sz w:val="22"/>
          <w:szCs w:val="22"/>
          <w:vertAlign w:val="subscript"/>
        </w:rPr>
        <w:t>2.5</w:t>
      </w:r>
      <w:r w:rsidRPr="004F1685">
        <w:rPr>
          <w:bCs/>
          <w:sz w:val="22"/>
          <w:szCs w:val="22"/>
        </w:rPr>
        <w:t>, the maximum emission rates are associated with a Siemens F5 turbine operating on ULSD oil, at 100% load, at an ambient air temperature of 35</w:t>
      </w:r>
      <w:r>
        <w:rPr>
          <w:bCs/>
          <w:sz w:val="22"/>
          <w:szCs w:val="22"/>
        </w:rPr>
        <w:t xml:space="preserve"> º</w:t>
      </w:r>
      <w:r w:rsidRPr="004F1685">
        <w:rPr>
          <w:bCs/>
          <w:sz w:val="22"/>
          <w:szCs w:val="22"/>
        </w:rPr>
        <w:t xml:space="preserve">F. </w:t>
      </w:r>
      <w:r>
        <w:rPr>
          <w:bCs/>
          <w:sz w:val="22"/>
          <w:szCs w:val="22"/>
        </w:rPr>
        <w:t xml:space="preserve"> </w:t>
      </w:r>
      <w:r w:rsidRPr="004F1685">
        <w:rPr>
          <w:bCs/>
          <w:sz w:val="22"/>
          <w:szCs w:val="22"/>
        </w:rPr>
        <w:t>Emission rates of 53.0 lb/hr and 378.0 lb/hr were used in the model for PM</w:t>
      </w:r>
      <w:r w:rsidRPr="004F1685">
        <w:rPr>
          <w:bCs/>
          <w:sz w:val="22"/>
          <w:szCs w:val="22"/>
          <w:vertAlign w:val="subscript"/>
        </w:rPr>
        <w:t xml:space="preserve">2.5 </w:t>
      </w:r>
      <w:r w:rsidRPr="004F1685">
        <w:rPr>
          <w:bCs/>
          <w:sz w:val="22"/>
          <w:szCs w:val="22"/>
        </w:rPr>
        <w:t>and NO</w:t>
      </w:r>
      <w:r w:rsidRPr="004F1685">
        <w:rPr>
          <w:bCs/>
          <w:sz w:val="22"/>
          <w:szCs w:val="22"/>
          <w:vertAlign w:val="subscript"/>
        </w:rPr>
        <w:t>2</w:t>
      </w:r>
      <w:r w:rsidRPr="004F1685">
        <w:rPr>
          <w:bCs/>
          <w:sz w:val="22"/>
          <w:szCs w:val="22"/>
        </w:rPr>
        <w:t xml:space="preserve"> respectively.</w:t>
      </w:r>
    </w:p>
    <w:p w:rsidR="004F1685" w:rsidRPr="004F1685" w:rsidRDefault="00790D95" w:rsidP="004F1685">
      <w:pPr>
        <w:widowControl w:val="0"/>
        <w:tabs>
          <w:tab w:val="left" w:pos="720"/>
        </w:tabs>
        <w:spacing w:after="120"/>
        <w:rPr>
          <w:sz w:val="22"/>
          <w:szCs w:val="22"/>
        </w:rPr>
      </w:pPr>
      <w:r w:rsidRPr="00790D95">
        <w:rPr>
          <w:b/>
          <w:sz w:val="22"/>
          <w:szCs w:val="22"/>
        </w:rPr>
        <w:fldChar w:fldCharType="begin"/>
      </w:r>
      <w:r w:rsidRPr="00790D95">
        <w:rPr>
          <w:b/>
          <w:sz w:val="22"/>
          <w:szCs w:val="22"/>
        </w:rPr>
        <w:instrText xml:space="preserve"> REF _Ref378672407 \h  \* MERGEFORMAT </w:instrText>
      </w:r>
      <w:r w:rsidRPr="00790D95">
        <w:rPr>
          <w:b/>
          <w:sz w:val="22"/>
          <w:szCs w:val="22"/>
        </w:rPr>
      </w:r>
      <w:r w:rsidRPr="00790D95">
        <w:rPr>
          <w:b/>
          <w:sz w:val="22"/>
          <w:szCs w:val="22"/>
        </w:rPr>
        <w:fldChar w:fldCharType="separate"/>
      </w:r>
      <w:r w:rsidR="007F3589" w:rsidRPr="007F3589">
        <w:rPr>
          <w:b/>
          <w:sz w:val="22"/>
          <w:szCs w:val="22"/>
        </w:rPr>
        <w:t xml:space="preserve">Table </w:t>
      </w:r>
      <w:r w:rsidR="007F3589" w:rsidRPr="007F3589">
        <w:rPr>
          <w:b/>
          <w:noProof/>
          <w:sz w:val="22"/>
          <w:szCs w:val="22"/>
        </w:rPr>
        <w:t>22</w:t>
      </w:r>
      <w:r w:rsidRPr="00790D95">
        <w:rPr>
          <w:b/>
          <w:sz w:val="22"/>
          <w:szCs w:val="22"/>
        </w:rPr>
        <w:fldChar w:fldCharType="end"/>
      </w:r>
      <w:r w:rsidR="004F1685" w:rsidRPr="004F1685">
        <w:rPr>
          <w:sz w:val="22"/>
          <w:szCs w:val="22"/>
        </w:rPr>
        <w:t xml:space="preserve"> shows the results of this analysis. </w:t>
      </w:r>
      <w:r w:rsidR="004F1685">
        <w:rPr>
          <w:sz w:val="22"/>
          <w:szCs w:val="22"/>
        </w:rPr>
        <w:t xml:space="preserve"> </w:t>
      </w:r>
      <w:r w:rsidR="004F1685" w:rsidRPr="004F1685">
        <w:rPr>
          <w:sz w:val="22"/>
          <w:szCs w:val="22"/>
        </w:rPr>
        <w:t>In order to satisfy the NAAQS for NO</w:t>
      </w:r>
      <w:r w:rsidR="004F1685" w:rsidRPr="004F1685">
        <w:rPr>
          <w:sz w:val="22"/>
          <w:szCs w:val="22"/>
          <w:vertAlign w:val="subscript"/>
        </w:rPr>
        <w:t>2</w:t>
      </w:r>
      <w:r w:rsidR="004F1685" w:rsidRPr="004F1685">
        <w:rPr>
          <w:sz w:val="22"/>
          <w:szCs w:val="22"/>
        </w:rPr>
        <w:t>, the 5-year average of the 98</w:t>
      </w:r>
      <w:r w:rsidR="004F1685" w:rsidRPr="004F1685">
        <w:rPr>
          <w:sz w:val="22"/>
          <w:szCs w:val="22"/>
          <w:vertAlign w:val="superscript"/>
        </w:rPr>
        <w:t>th</w:t>
      </w:r>
      <w:r w:rsidR="004F1685" w:rsidRPr="004F1685">
        <w:rPr>
          <w:sz w:val="22"/>
          <w:szCs w:val="22"/>
        </w:rPr>
        <w:t xml:space="preserve"> percentile (eighth-high) daily maximum NO</w:t>
      </w:r>
      <w:r w:rsidR="004F1685" w:rsidRPr="004F1685">
        <w:rPr>
          <w:sz w:val="22"/>
          <w:szCs w:val="22"/>
          <w:vertAlign w:val="subscript"/>
        </w:rPr>
        <w:t>2</w:t>
      </w:r>
      <w:r w:rsidR="004F1685" w:rsidRPr="004F1685">
        <w:rPr>
          <w:sz w:val="22"/>
          <w:szCs w:val="22"/>
        </w:rPr>
        <w:t xml:space="preserve"> concentration must not exceed the established limit. For PM</w:t>
      </w:r>
      <w:r w:rsidR="004F1685" w:rsidRPr="004F1685">
        <w:rPr>
          <w:sz w:val="22"/>
          <w:szCs w:val="22"/>
          <w:vertAlign w:val="subscript"/>
        </w:rPr>
        <w:t>2.5</w:t>
      </w:r>
      <w:r w:rsidR="004F1685" w:rsidRPr="004F1685">
        <w:rPr>
          <w:sz w:val="22"/>
          <w:szCs w:val="22"/>
        </w:rPr>
        <w:t>, NAAQS is based on the 98</w:t>
      </w:r>
      <w:r w:rsidR="004F1685" w:rsidRPr="004F1685">
        <w:rPr>
          <w:sz w:val="22"/>
          <w:szCs w:val="22"/>
          <w:vertAlign w:val="superscript"/>
        </w:rPr>
        <w:t>th</w:t>
      </w:r>
      <w:r w:rsidR="004F1685" w:rsidRPr="004F1685">
        <w:rPr>
          <w:sz w:val="22"/>
          <w:szCs w:val="22"/>
        </w:rPr>
        <w:t xml:space="preserve"> percentile of all daily measurements per year, averaged over five years.</w:t>
      </w:r>
      <w:r w:rsidR="003C1DED">
        <w:rPr>
          <w:sz w:val="22"/>
          <w:szCs w:val="22"/>
        </w:rPr>
        <w:t xml:space="preserve">  </w:t>
      </w:r>
      <w:r w:rsidR="004F1685" w:rsidRPr="004F1685">
        <w:rPr>
          <w:sz w:val="22"/>
          <w:szCs w:val="22"/>
        </w:rPr>
        <w:t>As shown in the table, NO</w:t>
      </w:r>
      <w:r w:rsidR="004F1685" w:rsidRPr="004F1685">
        <w:rPr>
          <w:sz w:val="22"/>
          <w:szCs w:val="22"/>
          <w:vertAlign w:val="subscript"/>
        </w:rPr>
        <w:t>2</w:t>
      </w:r>
      <w:r w:rsidR="004F1685" w:rsidRPr="004F1685">
        <w:rPr>
          <w:sz w:val="22"/>
          <w:szCs w:val="22"/>
        </w:rPr>
        <w:t xml:space="preserve"> and PM</w:t>
      </w:r>
      <w:r w:rsidR="004F1685" w:rsidRPr="004F1685">
        <w:rPr>
          <w:sz w:val="22"/>
          <w:szCs w:val="22"/>
          <w:vertAlign w:val="subscript"/>
        </w:rPr>
        <w:t>2.5</w:t>
      </w:r>
      <w:r w:rsidR="004F1685" w:rsidRPr="004F1685">
        <w:rPr>
          <w:sz w:val="22"/>
          <w:szCs w:val="22"/>
        </w:rPr>
        <w:t xml:space="preserve"> emissions from the proposed FTY project are not expected to cause or contribute to a violation of the 1-hour NO</w:t>
      </w:r>
      <w:r w:rsidR="004F1685" w:rsidRPr="004F1685">
        <w:rPr>
          <w:sz w:val="22"/>
          <w:szCs w:val="22"/>
          <w:vertAlign w:val="subscript"/>
        </w:rPr>
        <w:t>2</w:t>
      </w:r>
      <w:r w:rsidR="004F1685" w:rsidRPr="004F1685">
        <w:rPr>
          <w:sz w:val="22"/>
          <w:szCs w:val="22"/>
        </w:rPr>
        <w:t xml:space="preserve"> or 24-hour PM</w:t>
      </w:r>
      <w:r w:rsidR="004F1685" w:rsidRPr="004F1685">
        <w:rPr>
          <w:sz w:val="22"/>
          <w:szCs w:val="22"/>
          <w:vertAlign w:val="subscript"/>
        </w:rPr>
        <w:t>2.5</w:t>
      </w:r>
      <w:r w:rsidR="004F1685" w:rsidRPr="004F1685">
        <w:rPr>
          <w:sz w:val="22"/>
          <w:szCs w:val="22"/>
        </w:rPr>
        <w:t xml:space="preserve"> NAAQS. </w:t>
      </w:r>
    </w:p>
    <w:p w:rsidR="0084055F" w:rsidRDefault="003C1DED" w:rsidP="003C1DED">
      <w:pPr>
        <w:pStyle w:val="Caption"/>
        <w:spacing w:before="0"/>
        <w:jc w:val="center"/>
        <w:rPr>
          <w:szCs w:val="22"/>
        </w:rPr>
      </w:pPr>
      <w:bookmarkStart w:id="49" w:name="_Ref378672407"/>
      <w:r>
        <w:t xml:space="preserve">Table </w:t>
      </w:r>
      <w:fldSimple w:instr=" SEQ Table \* ARABIC ">
        <w:r w:rsidR="007F3589">
          <w:rPr>
            <w:noProof/>
          </w:rPr>
          <w:t>22</w:t>
        </w:r>
      </w:fldSimple>
      <w:bookmarkEnd w:id="49"/>
      <w:r w:rsidRPr="009B1D4A">
        <w:rPr>
          <w:szCs w:val="22"/>
        </w:rPr>
        <w:t xml:space="preserve"> –</w:t>
      </w:r>
      <w:r>
        <w:rPr>
          <w:szCs w:val="22"/>
        </w:rPr>
        <w:t xml:space="preserve"> </w:t>
      </w:r>
      <w:r w:rsidRPr="003C1DED">
        <w:rPr>
          <w:szCs w:val="22"/>
        </w:rPr>
        <w:t>Ambient Air Quality Impacts from all Sources near the FTY Project Site</w:t>
      </w:r>
      <w:r>
        <w:rPr>
          <w:szCs w:val="22"/>
        </w:rPr>
        <w:t>.</w:t>
      </w:r>
    </w:p>
    <w:tbl>
      <w:tblPr>
        <w:tblW w:w="9154" w:type="dxa"/>
        <w:tblInd w:w="108"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080"/>
        <w:gridCol w:w="1260"/>
        <w:gridCol w:w="1675"/>
        <w:gridCol w:w="1475"/>
        <w:gridCol w:w="990"/>
        <w:gridCol w:w="990"/>
        <w:gridCol w:w="1684"/>
      </w:tblGrid>
      <w:tr w:rsidR="003C1DED" w:rsidRPr="000E3BDE" w:rsidTr="002E7738">
        <w:trPr>
          <w:trHeight w:val="20"/>
        </w:trPr>
        <w:tc>
          <w:tcPr>
            <w:tcW w:w="1080" w:type="dxa"/>
            <w:tcBorders>
              <w:top w:val="single" w:sz="6" w:space="0" w:color="000000"/>
              <w:bottom w:val="single" w:sz="6" w:space="0" w:color="000000"/>
              <w:right w:val="single" w:sz="6" w:space="0" w:color="000000"/>
            </w:tcBorders>
            <w:shd w:val="clear" w:color="auto" w:fill="C6D9F1"/>
            <w:vAlign w:val="center"/>
          </w:tcPr>
          <w:p w:rsidR="003C1DED" w:rsidRPr="003C1DED" w:rsidRDefault="003C1DED" w:rsidP="003C1DED">
            <w:pPr>
              <w:autoSpaceDE w:val="0"/>
              <w:autoSpaceDN w:val="0"/>
              <w:adjustRightInd w:val="0"/>
              <w:spacing w:before="240" w:after="20"/>
              <w:jc w:val="center"/>
              <w:rPr>
                <w:b/>
              </w:rPr>
            </w:pPr>
            <w:r w:rsidRPr="003C1DED">
              <w:rPr>
                <w:b/>
              </w:rPr>
              <w:t>Pollutant</w:t>
            </w:r>
          </w:p>
        </w:tc>
        <w:tc>
          <w:tcPr>
            <w:tcW w:w="126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3C1DED" w:rsidRPr="003C1DED" w:rsidRDefault="003C1DED" w:rsidP="003C1DED">
            <w:pPr>
              <w:autoSpaceDE w:val="0"/>
              <w:autoSpaceDN w:val="0"/>
              <w:adjustRightInd w:val="0"/>
              <w:spacing w:before="20" w:after="20"/>
              <w:jc w:val="center"/>
              <w:rPr>
                <w:b/>
              </w:rPr>
            </w:pPr>
            <w:r w:rsidRPr="003C1DED">
              <w:rPr>
                <w:b/>
              </w:rPr>
              <w:t>Averaging</w:t>
            </w:r>
            <w:r w:rsidRPr="003C1DED">
              <w:rPr>
                <w:b/>
              </w:rPr>
              <w:br/>
              <w:t>Time</w:t>
            </w:r>
          </w:p>
        </w:tc>
        <w:tc>
          <w:tcPr>
            <w:tcW w:w="1675"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3C1DED" w:rsidRPr="003C1DED" w:rsidRDefault="003C1DED" w:rsidP="003C1DED">
            <w:pPr>
              <w:autoSpaceDE w:val="0"/>
              <w:autoSpaceDN w:val="0"/>
              <w:adjustRightInd w:val="0"/>
              <w:spacing w:before="20" w:after="20"/>
              <w:jc w:val="center"/>
              <w:rPr>
                <w:b/>
              </w:rPr>
            </w:pPr>
            <w:r w:rsidRPr="003C1DED">
              <w:rPr>
                <w:b/>
              </w:rPr>
              <w:t>Major Sources</w:t>
            </w:r>
            <w:r w:rsidRPr="003C1DED">
              <w:rPr>
                <w:b/>
              </w:rPr>
              <w:br/>
              <w:t xml:space="preserve">Impact </w:t>
            </w:r>
            <w:r w:rsidRPr="003C1DED">
              <w:rPr>
                <w:b/>
                <w:vertAlign w:val="superscript"/>
              </w:rPr>
              <w:t>a</w:t>
            </w:r>
            <w:r w:rsidRPr="003C1DED">
              <w:rPr>
                <w:b/>
              </w:rPr>
              <w:br/>
              <w:t>(μg/m</w:t>
            </w:r>
            <w:r w:rsidRPr="003C1DED">
              <w:rPr>
                <w:b/>
                <w:vertAlign w:val="superscript"/>
              </w:rPr>
              <w:t>3</w:t>
            </w:r>
            <w:r w:rsidRPr="003C1DED">
              <w:rPr>
                <w:b/>
              </w:rPr>
              <w:t>)</w:t>
            </w:r>
          </w:p>
        </w:tc>
        <w:tc>
          <w:tcPr>
            <w:tcW w:w="1475"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3C1DED" w:rsidRPr="003C1DED" w:rsidRDefault="003C1DED" w:rsidP="003C1DED">
            <w:pPr>
              <w:autoSpaceDE w:val="0"/>
              <w:autoSpaceDN w:val="0"/>
              <w:adjustRightInd w:val="0"/>
              <w:spacing w:before="20" w:after="20"/>
              <w:jc w:val="center"/>
              <w:rPr>
                <w:b/>
              </w:rPr>
            </w:pPr>
            <w:r w:rsidRPr="003C1DED">
              <w:rPr>
                <w:b/>
              </w:rPr>
              <w:t>Monitored Background</w:t>
            </w:r>
            <w:r w:rsidRPr="003C1DED">
              <w:rPr>
                <w:b/>
              </w:rPr>
              <w:br/>
              <w:t>Conc.(μg/m</w:t>
            </w:r>
            <w:r w:rsidRPr="003C1DED">
              <w:rPr>
                <w:b/>
                <w:vertAlign w:val="superscript"/>
              </w:rPr>
              <w:t>3</w:t>
            </w:r>
            <w:r w:rsidRPr="003C1DED">
              <w:rPr>
                <w:b/>
              </w:rPr>
              <w:t>)</w:t>
            </w:r>
          </w:p>
        </w:tc>
        <w:tc>
          <w:tcPr>
            <w:tcW w:w="99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3C1DED" w:rsidRPr="003C1DED" w:rsidRDefault="003C1DED" w:rsidP="003C1DED">
            <w:pPr>
              <w:autoSpaceDE w:val="0"/>
              <w:autoSpaceDN w:val="0"/>
              <w:adjustRightInd w:val="0"/>
              <w:spacing w:before="20" w:after="20"/>
              <w:jc w:val="center"/>
              <w:rPr>
                <w:b/>
              </w:rPr>
            </w:pPr>
            <w:r w:rsidRPr="003C1DED">
              <w:rPr>
                <w:b/>
              </w:rPr>
              <w:t>Total</w:t>
            </w:r>
            <w:r w:rsidRPr="003C1DED">
              <w:rPr>
                <w:b/>
              </w:rPr>
              <w:br/>
              <w:t>Impact</w:t>
            </w:r>
            <w:r w:rsidRPr="003C1DED">
              <w:rPr>
                <w:b/>
              </w:rPr>
              <w:br/>
              <w:t>(μg/m</w:t>
            </w:r>
            <w:r w:rsidRPr="003C1DED">
              <w:rPr>
                <w:b/>
                <w:vertAlign w:val="superscript"/>
              </w:rPr>
              <w:t>3</w:t>
            </w:r>
            <w:r w:rsidRPr="003C1DED">
              <w:rPr>
                <w:b/>
              </w:rPr>
              <w:t>)</w:t>
            </w:r>
          </w:p>
        </w:tc>
        <w:tc>
          <w:tcPr>
            <w:tcW w:w="99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3C1DED" w:rsidRPr="003C1DED" w:rsidRDefault="003C1DED" w:rsidP="003C1DED">
            <w:pPr>
              <w:autoSpaceDE w:val="0"/>
              <w:autoSpaceDN w:val="0"/>
              <w:adjustRightInd w:val="0"/>
              <w:spacing w:before="20" w:after="20"/>
              <w:jc w:val="center"/>
              <w:rPr>
                <w:b/>
              </w:rPr>
            </w:pPr>
            <w:r w:rsidRPr="003C1DED">
              <w:rPr>
                <w:b/>
              </w:rPr>
              <w:t>NAAQS</w:t>
            </w:r>
            <w:r w:rsidRPr="003C1DED">
              <w:rPr>
                <w:b/>
              </w:rPr>
              <w:br/>
              <w:t>(μg/m</w:t>
            </w:r>
            <w:r w:rsidRPr="003C1DED">
              <w:rPr>
                <w:b/>
                <w:vertAlign w:val="superscript"/>
              </w:rPr>
              <w:t>3</w:t>
            </w:r>
            <w:r w:rsidRPr="003C1DED">
              <w:rPr>
                <w:b/>
              </w:rPr>
              <w:t>)</w:t>
            </w:r>
          </w:p>
        </w:tc>
        <w:tc>
          <w:tcPr>
            <w:tcW w:w="1684" w:type="dxa"/>
            <w:tcBorders>
              <w:top w:val="single" w:sz="6" w:space="0" w:color="000000"/>
              <w:left w:val="single" w:sz="6" w:space="0" w:color="000000"/>
              <w:bottom w:val="single" w:sz="6" w:space="0" w:color="000000"/>
            </w:tcBorders>
            <w:shd w:val="clear" w:color="auto" w:fill="C6D9F1"/>
            <w:vAlign w:val="center"/>
          </w:tcPr>
          <w:p w:rsidR="003C1DED" w:rsidRPr="003C1DED" w:rsidRDefault="003C1DED" w:rsidP="003C1DED">
            <w:pPr>
              <w:autoSpaceDE w:val="0"/>
              <w:autoSpaceDN w:val="0"/>
              <w:adjustRightInd w:val="0"/>
              <w:spacing w:before="20" w:after="20"/>
              <w:jc w:val="center"/>
              <w:rPr>
                <w:b/>
              </w:rPr>
            </w:pPr>
            <w:r w:rsidRPr="003C1DED">
              <w:rPr>
                <w:b/>
              </w:rPr>
              <w:t>Total Impact</w:t>
            </w:r>
            <w:r w:rsidRPr="003C1DED">
              <w:rPr>
                <w:b/>
              </w:rPr>
              <w:br/>
              <w:t>Greater Than</w:t>
            </w:r>
            <w:r w:rsidRPr="003C1DED">
              <w:rPr>
                <w:b/>
              </w:rPr>
              <w:br/>
              <w:t>NAAQS?</w:t>
            </w:r>
          </w:p>
        </w:tc>
      </w:tr>
      <w:tr w:rsidR="003C1DED" w:rsidRPr="000E3BDE" w:rsidTr="002E7738">
        <w:trPr>
          <w:trHeight w:val="20"/>
        </w:trPr>
        <w:tc>
          <w:tcPr>
            <w:tcW w:w="1080" w:type="dxa"/>
            <w:tcBorders>
              <w:top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rPr>
                <w:vertAlign w:val="superscript"/>
              </w:rPr>
            </w:pPr>
            <w:r w:rsidRPr="003C1DED">
              <w:t>NO</w:t>
            </w:r>
            <w:r w:rsidRPr="003C1DED">
              <w:rPr>
                <w:vertAlign w:val="subscript"/>
              </w:rPr>
              <w:t>2</w:t>
            </w:r>
          </w:p>
        </w:tc>
        <w:tc>
          <w:tcPr>
            <w:tcW w:w="1260"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1-hour</w:t>
            </w:r>
          </w:p>
        </w:tc>
        <w:tc>
          <w:tcPr>
            <w:tcW w:w="1675"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82.4</w:t>
            </w:r>
          </w:p>
        </w:tc>
        <w:tc>
          <w:tcPr>
            <w:tcW w:w="1475"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85.3</w:t>
            </w:r>
          </w:p>
        </w:tc>
        <w:tc>
          <w:tcPr>
            <w:tcW w:w="990"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167.7</w:t>
            </w:r>
          </w:p>
        </w:tc>
        <w:tc>
          <w:tcPr>
            <w:tcW w:w="990"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188.1</w:t>
            </w:r>
          </w:p>
        </w:tc>
        <w:tc>
          <w:tcPr>
            <w:tcW w:w="1684" w:type="dxa"/>
            <w:tcBorders>
              <w:top w:val="single" w:sz="4" w:space="0" w:color="auto"/>
              <w:left w:val="single" w:sz="4" w:space="0" w:color="auto"/>
              <w:bottom w:val="single" w:sz="4" w:space="0" w:color="auto"/>
            </w:tcBorders>
            <w:vAlign w:val="center"/>
          </w:tcPr>
          <w:p w:rsidR="003C1DED" w:rsidRPr="003C1DED" w:rsidRDefault="003C1DED" w:rsidP="003C1DED">
            <w:pPr>
              <w:autoSpaceDE w:val="0"/>
              <w:autoSpaceDN w:val="0"/>
              <w:adjustRightInd w:val="0"/>
              <w:spacing w:before="20" w:after="20"/>
              <w:jc w:val="center"/>
            </w:pPr>
            <w:r w:rsidRPr="003C1DED">
              <w:t>No</w:t>
            </w:r>
          </w:p>
        </w:tc>
      </w:tr>
      <w:tr w:rsidR="003C1DED" w:rsidRPr="000E3BDE" w:rsidTr="002E7738">
        <w:trPr>
          <w:trHeight w:val="20"/>
        </w:trPr>
        <w:tc>
          <w:tcPr>
            <w:tcW w:w="1080" w:type="dxa"/>
            <w:tcBorders>
              <w:top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rPr>
                <w:bCs/>
              </w:rPr>
              <w:t>PM</w:t>
            </w:r>
            <w:r w:rsidRPr="003C1DED">
              <w:rPr>
                <w:bCs/>
                <w:vertAlign w:val="subscript"/>
              </w:rPr>
              <w:t>2.5</w:t>
            </w:r>
          </w:p>
        </w:tc>
        <w:tc>
          <w:tcPr>
            <w:tcW w:w="1260"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24-hour</w:t>
            </w:r>
          </w:p>
        </w:tc>
        <w:tc>
          <w:tcPr>
            <w:tcW w:w="1675"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3.2</w:t>
            </w:r>
          </w:p>
        </w:tc>
        <w:tc>
          <w:tcPr>
            <w:tcW w:w="1475"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14.6</w:t>
            </w:r>
          </w:p>
        </w:tc>
        <w:tc>
          <w:tcPr>
            <w:tcW w:w="990"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17.8</w:t>
            </w:r>
          </w:p>
        </w:tc>
        <w:tc>
          <w:tcPr>
            <w:tcW w:w="990" w:type="dxa"/>
            <w:tcBorders>
              <w:top w:val="single" w:sz="4" w:space="0" w:color="auto"/>
              <w:left w:val="single" w:sz="4" w:space="0" w:color="auto"/>
              <w:bottom w:val="single" w:sz="4" w:space="0" w:color="auto"/>
              <w:right w:val="single" w:sz="4" w:space="0" w:color="auto"/>
            </w:tcBorders>
            <w:vAlign w:val="center"/>
          </w:tcPr>
          <w:p w:rsidR="003C1DED" w:rsidRPr="003C1DED" w:rsidRDefault="003C1DED" w:rsidP="003C1DED">
            <w:pPr>
              <w:autoSpaceDE w:val="0"/>
              <w:autoSpaceDN w:val="0"/>
              <w:adjustRightInd w:val="0"/>
              <w:spacing w:before="20" w:after="20"/>
              <w:jc w:val="center"/>
            </w:pPr>
            <w:r w:rsidRPr="003C1DED">
              <w:t>35</w:t>
            </w:r>
          </w:p>
        </w:tc>
        <w:tc>
          <w:tcPr>
            <w:tcW w:w="1684" w:type="dxa"/>
            <w:tcBorders>
              <w:top w:val="single" w:sz="4" w:space="0" w:color="auto"/>
              <w:left w:val="single" w:sz="4" w:space="0" w:color="auto"/>
              <w:bottom w:val="single" w:sz="4" w:space="0" w:color="auto"/>
            </w:tcBorders>
            <w:vAlign w:val="center"/>
          </w:tcPr>
          <w:p w:rsidR="003C1DED" w:rsidRPr="003C1DED" w:rsidRDefault="003C1DED" w:rsidP="003C1DED">
            <w:pPr>
              <w:autoSpaceDE w:val="0"/>
              <w:autoSpaceDN w:val="0"/>
              <w:adjustRightInd w:val="0"/>
              <w:spacing w:before="20" w:after="20"/>
              <w:jc w:val="center"/>
            </w:pPr>
            <w:r w:rsidRPr="003C1DED">
              <w:t>No</w:t>
            </w:r>
          </w:p>
        </w:tc>
      </w:tr>
      <w:tr w:rsidR="003C1DED" w:rsidRPr="000E3BDE" w:rsidTr="002E7738">
        <w:trPr>
          <w:trHeight w:val="359"/>
        </w:trPr>
        <w:tc>
          <w:tcPr>
            <w:tcW w:w="9154" w:type="dxa"/>
            <w:gridSpan w:val="7"/>
            <w:tcBorders>
              <w:top w:val="single" w:sz="4" w:space="0" w:color="auto"/>
              <w:bottom w:val="single" w:sz="4" w:space="0" w:color="auto"/>
            </w:tcBorders>
            <w:vAlign w:val="center"/>
          </w:tcPr>
          <w:p w:rsidR="003C1DED" w:rsidRPr="003C1DED" w:rsidRDefault="003C1DED" w:rsidP="00D60E10">
            <w:pPr>
              <w:numPr>
                <w:ilvl w:val="0"/>
                <w:numId w:val="31"/>
              </w:numPr>
              <w:autoSpaceDE w:val="0"/>
              <w:autoSpaceDN w:val="0"/>
              <w:adjustRightInd w:val="0"/>
              <w:ind w:left="346" w:hanging="274"/>
              <w:rPr>
                <w:sz w:val="18"/>
                <w:szCs w:val="18"/>
              </w:rPr>
            </w:pPr>
            <w:r w:rsidRPr="003C1DED">
              <w:rPr>
                <w:sz w:val="18"/>
                <w:szCs w:val="18"/>
              </w:rPr>
              <w:t>Calculated based on five turbines operating 8,760 hr/yr on ULSD oil, i.e., a conservative approach.</w:t>
            </w:r>
          </w:p>
        </w:tc>
      </w:tr>
    </w:tbl>
    <w:p w:rsidR="00CB17AF" w:rsidRDefault="004F1685" w:rsidP="00790D95">
      <w:pPr>
        <w:widowControl w:val="0"/>
        <w:tabs>
          <w:tab w:val="left" w:pos="720"/>
        </w:tabs>
        <w:spacing w:before="120" w:after="120"/>
        <w:rPr>
          <w:sz w:val="22"/>
          <w:szCs w:val="22"/>
        </w:rPr>
      </w:pPr>
      <w:r w:rsidRPr="004F1685">
        <w:rPr>
          <w:sz w:val="22"/>
          <w:szCs w:val="22"/>
        </w:rPr>
        <w:t>Secondary PM</w:t>
      </w:r>
      <w:r w:rsidRPr="004F1685">
        <w:rPr>
          <w:sz w:val="22"/>
          <w:szCs w:val="22"/>
          <w:vertAlign w:val="subscript"/>
        </w:rPr>
        <w:t>2.5</w:t>
      </w:r>
      <w:r w:rsidRPr="004F1685">
        <w:rPr>
          <w:sz w:val="22"/>
          <w:szCs w:val="22"/>
        </w:rPr>
        <w:t xml:space="preserve"> formation from the emissions of SO</w:t>
      </w:r>
      <w:r w:rsidRPr="00F0501D">
        <w:rPr>
          <w:sz w:val="22"/>
          <w:szCs w:val="22"/>
          <w:vertAlign w:val="subscript"/>
        </w:rPr>
        <w:t>2</w:t>
      </w:r>
      <w:r w:rsidRPr="004F1685">
        <w:rPr>
          <w:sz w:val="22"/>
          <w:szCs w:val="22"/>
        </w:rPr>
        <w:t>, NO</w:t>
      </w:r>
      <w:r w:rsidR="00F0501D" w:rsidRPr="00F0501D">
        <w:rPr>
          <w:sz w:val="22"/>
          <w:szCs w:val="22"/>
          <w:vertAlign w:val="subscript"/>
        </w:rPr>
        <w:t>X</w:t>
      </w:r>
      <w:r w:rsidRPr="004F1685">
        <w:rPr>
          <w:sz w:val="22"/>
          <w:szCs w:val="22"/>
        </w:rPr>
        <w:t xml:space="preserve"> and VOC is expected to be minimal.  The </w:t>
      </w:r>
      <w:r w:rsidR="00F0501D" w:rsidRPr="004F1685">
        <w:rPr>
          <w:sz w:val="22"/>
          <w:szCs w:val="22"/>
        </w:rPr>
        <w:t xml:space="preserve">increases in emissions of these pollutants as a result of the Lauderdale </w:t>
      </w:r>
      <w:r w:rsidR="007A70FB">
        <w:rPr>
          <w:sz w:val="22"/>
          <w:szCs w:val="22"/>
        </w:rPr>
        <w:t>P</w:t>
      </w:r>
      <w:r w:rsidR="00F0501D" w:rsidRPr="004F1685">
        <w:rPr>
          <w:sz w:val="22"/>
          <w:szCs w:val="22"/>
        </w:rPr>
        <w:t>roject are</w:t>
      </w:r>
      <w:r w:rsidR="00F0501D">
        <w:rPr>
          <w:sz w:val="22"/>
          <w:szCs w:val="22"/>
        </w:rPr>
        <w:t xml:space="preserve">: </w:t>
      </w:r>
      <w:r w:rsidRPr="004F1685">
        <w:rPr>
          <w:sz w:val="22"/>
          <w:szCs w:val="22"/>
        </w:rPr>
        <w:t xml:space="preserve"> 37</w:t>
      </w:r>
      <w:r w:rsidR="00F0501D">
        <w:rPr>
          <w:sz w:val="22"/>
          <w:szCs w:val="22"/>
        </w:rPr>
        <w:t xml:space="preserve"> TPY (SO</w:t>
      </w:r>
      <w:r w:rsidR="00F0501D" w:rsidRPr="00F0501D">
        <w:rPr>
          <w:sz w:val="22"/>
          <w:szCs w:val="22"/>
          <w:vertAlign w:val="subscript"/>
        </w:rPr>
        <w:t>2</w:t>
      </w:r>
      <w:r w:rsidR="00F0501D">
        <w:rPr>
          <w:sz w:val="22"/>
          <w:szCs w:val="22"/>
        </w:rPr>
        <w:t>);</w:t>
      </w:r>
      <w:r w:rsidRPr="004F1685">
        <w:rPr>
          <w:sz w:val="22"/>
          <w:szCs w:val="22"/>
        </w:rPr>
        <w:t xml:space="preserve"> 749</w:t>
      </w:r>
      <w:r w:rsidR="00F0501D">
        <w:rPr>
          <w:sz w:val="22"/>
          <w:szCs w:val="22"/>
        </w:rPr>
        <w:t xml:space="preserve"> TPY (NO</w:t>
      </w:r>
      <w:r w:rsidR="00F0501D" w:rsidRPr="00F0501D">
        <w:rPr>
          <w:sz w:val="22"/>
          <w:szCs w:val="22"/>
          <w:vertAlign w:val="subscript"/>
        </w:rPr>
        <w:t>X</w:t>
      </w:r>
      <w:r w:rsidR="00F0501D">
        <w:rPr>
          <w:sz w:val="22"/>
          <w:szCs w:val="22"/>
        </w:rPr>
        <w:t>);</w:t>
      </w:r>
      <w:r w:rsidRPr="004F1685">
        <w:rPr>
          <w:sz w:val="22"/>
          <w:szCs w:val="22"/>
        </w:rPr>
        <w:t xml:space="preserve"> and 70</w:t>
      </w:r>
      <w:r w:rsidR="00F0501D">
        <w:rPr>
          <w:sz w:val="22"/>
          <w:szCs w:val="22"/>
        </w:rPr>
        <w:t xml:space="preserve"> TPY (VOC)</w:t>
      </w:r>
      <w:r w:rsidRPr="004F1685">
        <w:rPr>
          <w:sz w:val="22"/>
          <w:szCs w:val="22"/>
        </w:rPr>
        <w:t>.  Currently, air dispersion and transport models do not account for the contributions these compounds make in the formation of secondary PM</w:t>
      </w:r>
      <w:r w:rsidRPr="004F1685">
        <w:rPr>
          <w:sz w:val="22"/>
          <w:szCs w:val="22"/>
          <w:vertAlign w:val="subscript"/>
        </w:rPr>
        <w:t>2.5</w:t>
      </w:r>
      <w:r w:rsidRPr="004F1685">
        <w:rPr>
          <w:sz w:val="22"/>
          <w:szCs w:val="22"/>
        </w:rPr>
        <w:t xml:space="preserve">. </w:t>
      </w:r>
      <w:r w:rsidR="00F0501D">
        <w:rPr>
          <w:sz w:val="22"/>
          <w:szCs w:val="22"/>
        </w:rPr>
        <w:t xml:space="preserve"> </w:t>
      </w:r>
      <w:r w:rsidRPr="004F1685">
        <w:rPr>
          <w:sz w:val="22"/>
          <w:szCs w:val="22"/>
        </w:rPr>
        <w:t>However, estimates of the relationship between PM</w:t>
      </w:r>
      <w:r w:rsidRPr="004F1685">
        <w:rPr>
          <w:sz w:val="22"/>
          <w:szCs w:val="22"/>
          <w:vertAlign w:val="subscript"/>
        </w:rPr>
        <w:t>2.5</w:t>
      </w:r>
      <w:r w:rsidRPr="004F1685">
        <w:rPr>
          <w:sz w:val="22"/>
          <w:szCs w:val="22"/>
        </w:rPr>
        <w:t xml:space="preserve"> and its precursors can be made.  Because secondarily formed PM</w:t>
      </w:r>
      <w:r w:rsidRPr="004F1685">
        <w:rPr>
          <w:sz w:val="22"/>
          <w:szCs w:val="22"/>
          <w:vertAlign w:val="subscript"/>
        </w:rPr>
        <w:t>2.5</w:t>
      </w:r>
      <w:r w:rsidRPr="004F1685">
        <w:rPr>
          <w:sz w:val="22"/>
          <w:szCs w:val="22"/>
        </w:rPr>
        <w:t xml:space="preserve"> takes time for the chemistry conversions, this component of the PM</w:t>
      </w:r>
      <w:r w:rsidRPr="004F1685">
        <w:rPr>
          <w:sz w:val="22"/>
          <w:szCs w:val="22"/>
          <w:vertAlign w:val="subscript"/>
        </w:rPr>
        <w:t>2.5</w:t>
      </w:r>
      <w:r w:rsidRPr="004F1685">
        <w:rPr>
          <w:sz w:val="22"/>
          <w:szCs w:val="22"/>
        </w:rPr>
        <w:t xml:space="preserve"> is more widespread and diffuse.  An estimate of the change in PM</w:t>
      </w:r>
      <w:r w:rsidRPr="004F1685">
        <w:rPr>
          <w:sz w:val="22"/>
          <w:szCs w:val="22"/>
          <w:vertAlign w:val="subscript"/>
        </w:rPr>
        <w:t>2.5</w:t>
      </w:r>
      <w:r w:rsidRPr="004F1685">
        <w:rPr>
          <w:sz w:val="22"/>
          <w:szCs w:val="22"/>
        </w:rPr>
        <w:t xml:space="preserve"> that could occur as a result of the NO</w:t>
      </w:r>
      <w:r w:rsidR="00F0501D" w:rsidRPr="00F0501D">
        <w:rPr>
          <w:sz w:val="22"/>
          <w:szCs w:val="22"/>
          <w:vertAlign w:val="subscript"/>
        </w:rPr>
        <w:t>X</w:t>
      </w:r>
      <w:r w:rsidRPr="004F1685">
        <w:rPr>
          <w:sz w:val="22"/>
          <w:szCs w:val="22"/>
        </w:rPr>
        <w:t xml:space="preserve"> increase can be made by noting that NO</w:t>
      </w:r>
      <w:r w:rsidR="00F0501D" w:rsidRPr="00F0501D">
        <w:rPr>
          <w:sz w:val="22"/>
          <w:szCs w:val="22"/>
          <w:vertAlign w:val="subscript"/>
        </w:rPr>
        <w:t>X</w:t>
      </w:r>
      <w:r w:rsidRPr="004F1685">
        <w:rPr>
          <w:sz w:val="22"/>
          <w:szCs w:val="22"/>
        </w:rPr>
        <w:t xml:space="preserve"> emissions in Broward County reduced by about 14,000 </w:t>
      </w:r>
      <w:r w:rsidR="00F0501D">
        <w:rPr>
          <w:sz w:val="22"/>
          <w:szCs w:val="22"/>
        </w:rPr>
        <w:t>TPY</w:t>
      </w:r>
      <w:r w:rsidRPr="004F1685">
        <w:rPr>
          <w:sz w:val="22"/>
          <w:szCs w:val="22"/>
        </w:rPr>
        <w:t xml:space="preserve"> from 2008 to 2011.  The PM</w:t>
      </w:r>
      <w:r w:rsidRPr="004F1685">
        <w:rPr>
          <w:sz w:val="22"/>
          <w:szCs w:val="22"/>
          <w:vertAlign w:val="subscript"/>
        </w:rPr>
        <w:t>2.5</w:t>
      </w:r>
      <w:r w:rsidRPr="004F1685">
        <w:rPr>
          <w:sz w:val="22"/>
          <w:szCs w:val="22"/>
        </w:rPr>
        <w:t xml:space="preserve"> 24-hr design values at monitors in the county reduced by </w:t>
      </w:r>
      <w:r w:rsidR="00F0501D">
        <w:rPr>
          <w:sz w:val="22"/>
          <w:szCs w:val="22"/>
        </w:rPr>
        <w:t>7.0</w:t>
      </w:r>
      <w:r w:rsidRPr="004F1685">
        <w:rPr>
          <w:sz w:val="22"/>
          <w:szCs w:val="22"/>
        </w:rPr>
        <w:t xml:space="preserve"> </w:t>
      </w:r>
      <w:r w:rsidR="00F0501D">
        <w:rPr>
          <w:sz w:val="22"/>
          <w:szCs w:val="22"/>
        </w:rPr>
        <w:t>µ</w:t>
      </w:r>
      <w:r w:rsidRPr="004F1685">
        <w:rPr>
          <w:sz w:val="22"/>
          <w:szCs w:val="22"/>
        </w:rPr>
        <w:t>g/m</w:t>
      </w:r>
      <w:r w:rsidRPr="004F1685">
        <w:rPr>
          <w:sz w:val="22"/>
          <w:szCs w:val="22"/>
          <w:vertAlign w:val="superscript"/>
        </w:rPr>
        <w:t>3</w:t>
      </w:r>
      <w:r w:rsidRPr="004F1685">
        <w:rPr>
          <w:sz w:val="22"/>
          <w:szCs w:val="22"/>
        </w:rPr>
        <w:t xml:space="preserve">.  Thus, if all of this </w:t>
      </w:r>
      <w:r w:rsidR="00F0501D">
        <w:rPr>
          <w:sz w:val="22"/>
          <w:szCs w:val="22"/>
        </w:rPr>
        <w:t>PM</w:t>
      </w:r>
      <w:r w:rsidR="00F0501D" w:rsidRPr="00F0501D">
        <w:rPr>
          <w:sz w:val="22"/>
          <w:szCs w:val="22"/>
          <w:vertAlign w:val="subscript"/>
        </w:rPr>
        <w:t>2.5</w:t>
      </w:r>
      <w:r w:rsidR="00F0501D">
        <w:rPr>
          <w:sz w:val="22"/>
          <w:szCs w:val="22"/>
        </w:rPr>
        <w:t xml:space="preserve"> </w:t>
      </w:r>
      <w:r w:rsidRPr="004F1685">
        <w:rPr>
          <w:sz w:val="22"/>
          <w:szCs w:val="22"/>
        </w:rPr>
        <w:t>concentration reduction were attributed to the NO</w:t>
      </w:r>
      <w:r w:rsidR="00F0501D" w:rsidRPr="00F0501D">
        <w:rPr>
          <w:sz w:val="22"/>
          <w:szCs w:val="22"/>
          <w:vertAlign w:val="subscript"/>
        </w:rPr>
        <w:t>X</w:t>
      </w:r>
      <w:r w:rsidRPr="004F1685">
        <w:rPr>
          <w:sz w:val="22"/>
          <w:szCs w:val="22"/>
        </w:rPr>
        <w:t xml:space="preserve"> emissions reduction, the average reduction would be </w:t>
      </w:r>
      <w:r w:rsidR="00F0501D">
        <w:rPr>
          <w:sz w:val="22"/>
          <w:szCs w:val="22"/>
        </w:rPr>
        <w:t>approximately</w:t>
      </w:r>
      <w:r w:rsidRPr="004F1685">
        <w:rPr>
          <w:sz w:val="22"/>
          <w:szCs w:val="22"/>
        </w:rPr>
        <w:t xml:space="preserve"> 0.0005 </w:t>
      </w:r>
      <w:r w:rsidR="00F0501D">
        <w:rPr>
          <w:sz w:val="22"/>
          <w:szCs w:val="22"/>
        </w:rPr>
        <w:t>µ</w:t>
      </w:r>
      <w:r w:rsidRPr="004F1685">
        <w:rPr>
          <w:sz w:val="22"/>
          <w:szCs w:val="22"/>
        </w:rPr>
        <w:t>g/m</w:t>
      </w:r>
      <w:r w:rsidRPr="004F1685">
        <w:rPr>
          <w:sz w:val="22"/>
          <w:szCs w:val="22"/>
          <w:vertAlign w:val="superscript"/>
        </w:rPr>
        <w:t>3</w:t>
      </w:r>
      <w:r w:rsidRPr="004F1685">
        <w:rPr>
          <w:sz w:val="22"/>
          <w:szCs w:val="22"/>
        </w:rPr>
        <w:t xml:space="preserve"> per ton.  This would mean a</w:t>
      </w:r>
      <w:r w:rsidR="00F0501D">
        <w:rPr>
          <w:sz w:val="22"/>
          <w:szCs w:val="22"/>
        </w:rPr>
        <w:t>n</w:t>
      </w:r>
      <w:r w:rsidRPr="004F1685">
        <w:rPr>
          <w:sz w:val="22"/>
          <w:szCs w:val="22"/>
        </w:rPr>
        <w:t xml:space="preserve"> increase of </w:t>
      </w:r>
      <w:r w:rsidR="00F0501D">
        <w:rPr>
          <w:sz w:val="22"/>
          <w:szCs w:val="22"/>
        </w:rPr>
        <w:t xml:space="preserve">approximately </w:t>
      </w:r>
      <w:r w:rsidRPr="004F1685">
        <w:rPr>
          <w:sz w:val="22"/>
          <w:szCs w:val="22"/>
        </w:rPr>
        <w:t xml:space="preserve">0.37 </w:t>
      </w:r>
      <w:r w:rsidR="00F0501D">
        <w:rPr>
          <w:sz w:val="22"/>
          <w:szCs w:val="22"/>
        </w:rPr>
        <w:t>µ</w:t>
      </w:r>
      <w:r w:rsidRPr="004F1685">
        <w:rPr>
          <w:sz w:val="22"/>
          <w:szCs w:val="22"/>
        </w:rPr>
        <w:t>g/m</w:t>
      </w:r>
      <w:r w:rsidRPr="004F1685">
        <w:rPr>
          <w:sz w:val="22"/>
          <w:szCs w:val="22"/>
          <w:vertAlign w:val="superscript"/>
        </w:rPr>
        <w:t>3</w:t>
      </w:r>
      <w:r w:rsidRPr="004F1685">
        <w:rPr>
          <w:sz w:val="22"/>
          <w:szCs w:val="22"/>
        </w:rPr>
        <w:t xml:space="preserve"> </w:t>
      </w:r>
      <w:r w:rsidR="00F0501D">
        <w:rPr>
          <w:sz w:val="22"/>
          <w:szCs w:val="22"/>
        </w:rPr>
        <w:t>of PM</w:t>
      </w:r>
      <w:r w:rsidR="00F0501D" w:rsidRPr="00F0501D">
        <w:rPr>
          <w:sz w:val="22"/>
          <w:szCs w:val="22"/>
          <w:vertAlign w:val="subscript"/>
        </w:rPr>
        <w:t>2.5</w:t>
      </w:r>
      <w:r w:rsidR="00F0501D">
        <w:rPr>
          <w:sz w:val="22"/>
          <w:szCs w:val="22"/>
        </w:rPr>
        <w:t xml:space="preserve"> </w:t>
      </w:r>
      <w:r w:rsidRPr="004F1685">
        <w:rPr>
          <w:sz w:val="22"/>
          <w:szCs w:val="22"/>
        </w:rPr>
        <w:t>for the 749 ton increase in NO</w:t>
      </w:r>
      <w:r w:rsidR="00F0501D" w:rsidRPr="00F0501D">
        <w:rPr>
          <w:sz w:val="22"/>
          <w:szCs w:val="22"/>
          <w:vertAlign w:val="subscript"/>
        </w:rPr>
        <w:t>X</w:t>
      </w:r>
      <w:r w:rsidRPr="004F1685">
        <w:rPr>
          <w:sz w:val="22"/>
          <w:szCs w:val="22"/>
        </w:rPr>
        <w:t xml:space="preserve"> </w:t>
      </w:r>
      <w:r w:rsidR="00F0501D">
        <w:rPr>
          <w:sz w:val="22"/>
          <w:szCs w:val="22"/>
        </w:rPr>
        <w:t xml:space="preserve">resulting </w:t>
      </w:r>
      <w:r w:rsidRPr="004F1685">
        <w:rPr>
          <w:sz w:val="22"/>
          <w:szCs w:val="22"/>
        </w:rPr>
        <w:t xml:space="preserve">from the </w:t>
      </w:r>
      <w:r w:rsidR="00F0501D">
        <w:rPr>
          <w:sz w:val="22"/>
          <w:szCs w:val="22"/>
        </w:rPr>
        <w:t xml:space="preserve">Lauderdale </w:t>
      </w:r>
      <w:r w:rsidR="007A70FB">
        <w:rPr>
          <w:sz w:val="22"/>
          <w:szCs w:val="22"/>
        </w:rPr>
        <w:t>P</w:t>
      </w:r>
      <w:r w:rsidRPr="004F1685">
        <w:rPr>
          <w:sz w:val="22"/>
          <w:szCs w:val="22"/>
        </w:rPr>
        <w:t>roject.  Such an increase would not affect compliance with meeting the NAAQS or PSD increments.</w:t>
      </w:r>
    </w:p>
    <w:p w:rsidR="00CB17AF" w:rsidRDefault="00CB17AF" w:rsidP="00CB17AF">
      <w:r>
        <w:br w:type="page"/>
      </w:r>
    </w:p>
    <w:p w:rsidR="004F1685" w:rsidRDefault="00F0501D" w:rsidP="00F0501D">
      <w:pPr>
        <w:widowControl w:val="0"/>
        <w:numPr>
          <w:ilvl w:val="2"/>
          <w:numId w:val="2"/>
        </w:numPr>
        <w:tabs>
          <w:tab w:val="left" w:pos="720"/>
        </w:tabs>
        <w:spacing w:after="120"/>
        <w:ind w:left="720" w:hanging="720"/>
        <w:rPr>
          <w:sz w:val="22"/>
          <w:szCs w:val="22"/>
        </w:rPr>
      </w:pPr>
      <w:r w:rsidRPr="00F0501D">
        <w:rPr>
          <w:bCs/>
          <w:sz w:val="22"/>
          <w:szCs w:val="22"/>
          <w:u w:val="single"/>
        </w:rPr>
        <w:lastRenderedPageBreak/>
        <w:t>24-Hour PM</w:t>
      </w:r>
      <w:r w:rsidRPr="00F0501D">
        <w:rPr>
          <w:bCs/>
          <w:sz w:val="22"/>
          <w:szCs w:val="22"/>
          <w:u w:val="single"/>
          <w:vertAlign w:val="subscript"/>
        </w:rPr>
        <w:t xml:space="preserve">2.5 </w:t>
      </w:r>
      <w:r w:rsidRPr="00F0501D">
        <w:rPr>
          <w:bCs/>
          <w:sz w:val="22"/>
          <w:szCs w:val="22"/>
          <w:u w:val="single"/>
        </w:rPr>
        <w:t>PSD Class II Increment Analysis</w:t>
      </w:r>
    </w:p>
    <w:p w:rsidR="00F0501D" w:rsidRPr="00F0501D" w:rsidRDefault="00F0501D" w:rsidP="00F0501D">
      <w:pPr>
        <w:spacing w:after="120"/>
        <w:rPr>
          <w:sz w:val="22"/>
          <w:szCs w:val="22"/>
        </w:rPr>
      </w:pPr>
      <w:r w:rsidRPr="00F0501D">
        <w:rPr>
          <w:sz w:val="22"/>
          <w:szCs w:val="22"/>
        </w:rPr>
        <w:t>The PSD increment represents the amount new sources in an area may increase ambient ground level concentrations of a pollutant from a baseline concentration in order to avoid approaching the NAAQS.</w:t>
      </w:r>
      <w:r>
        <w:rPr>
          <w:sz w:val="22"/>
          <w:szCs w:val="22"/>
        </w:rPr>
        <w:t xml:space="preserve"> </w:t>
      </w:r>
      <w:r w:rsidRPr="00F0501D">
        <w:rPr>
          <w:sz w:val="22"/>
          <w:szCs w:val="22"/>
        </w:rPr>
        <w:t xml:space="preserve"> As mentioned, there is no established PSD increment for the 1-hour NO</w:t>
      </w:r>
      <w:r w:rsidRPr="00F0501D">
        <w:rPr>
          <w:sz w:val="22"/>
          <w:szCs w:val="22"/>
          <w:vertAlign w:val="subscript"/>
        </w:rPr>
        <w:t>2</w:t>
      </w:r>
      <w:r w:rsidRPr="00F0501D">
        <w:rPr>
          <w:sz w:val="22"/>
          <w:szCs w:val="22"/>
        </w:rPr>
        <w:t xml:space="preserve"> standard but an increment analysis was required for the 24-hour PM</w:t>
      </w:r>
      <w:r w:rsidRPr="00F0501D">
        <w:rPr>
          <w:sz w:val="22"/>
          <w:szCs w:val="22"/>
          <w:vertAlign w:val="subscript"/>
        </w:rPr>
        <w:t>2.5</w:t>
      </w:r>
      <w:r w:rsidRPr="00F0501D">
        <w:rPr>
          <w:sz w:val="22"/>
          <w:szCs w:val="22"/>
        </w:rPr>
        <w:t xml:space="preserve"> standard. </w:t>
      </w:r>
      <w:r>
        <w:rPr>
          <w:sz w:val="22"/>
          <w:szCs w:val="22"/>
        </w:rPr>
        <w:t xml:space="preserve"> </w:t>
      </w:r>
      <w:r w:rsidRPr="00F0501D">
        <w:rPr>
          <w:sz w:val="22"/>
          <w:szCs w:val="22"/>
        </w:rPr>
        <w:t xml:space="preserve">The combined impacts of all increment-consuming sources in the area of the new source cannot exceed the PSD increment. </w:t>
      </w:r>
      <w:r>
        <w:rPr>
          <w:sz w:val="22"/>
          <w:szCs w:val="22"/>
        </w:rPr>
        <w:t xml:space="preserve"> </w:t>
      </w:r>
      <w:r w:rsidRPr="00F0501D">
        <w:rPr>
          <w:sz w:val="22"/>
          <w:szCs w:val="22"/>
        </w:rPr>
        <w:t xml:space="preserve">The proposed </w:t>
      </w:r>
      <w:r>
        <w:rPr>
          <w:sz w:val="22"/>
          <w:szCs w:val="22"/>
        </w:rPr>
        <w:t xml:space="preserve">Lauderdale </w:t>
      </w:r>
      <w:r w:rsidR="007A70FB">
        <w:rPr>
          <w:sz w:val="22"/>
          <w:szCs w:val="22"/>
        </w:rPr>
        <w:t>P</w:t>
      </w:r>
      <w:r w:rsidRPr="00F0501D">
        <w:rPr>
          <w:sz w:val="22"/>
          <w:szCs w:val="22"/>
        </w:rPr>
        <w:t>roject was modeled assuming base load operation of the five new CT’s as well as the operation of the Port Everglades Power Plant.</w:t>
      </w:r>
      <w:r>
        <w:rPr>
          <w:sz w:val="22"/>
          <w:szCs w:val="22"/>
        </w:rPr>
        <w:t xml:space="preserve"> </w:t>
      </w:r>
      <w:r w:rsidRPr="00F0501D">
        <w:rPr>
          <w:sz w:val="22"/>
          <w:szCs w:val="22"/>
        </w:rPr>
        <w:t xml:space="preserve"> No other PSD increment consuming sources were used in the area, as other sources in the region were built before the baseline date. </w:t>
      </w:r>
      <w:r>
        <w:rPr>
          <w:sz w:val="22"/>
          <w:szCs w:val="22"/>
        </w:rPr>
        <w:t xml:space="preserve"> </w:t>
      </w:r>
      <w:r w:rsidRPr="00F0501D">
        <w:rPr>
          <w:sz w:val="22"/>
          <w:szCs w:val="22"/>
        </w:rPr>
        <w:t>The results of this analysis are presented in</w:t>
      </w:r>
      <w:r w:rsidR="007A70FB">
        <w:rPr>
          <w:sz w:val="22"/>
          <w:szCs w:val="22"/>
        </w:rPr>
        <w:t xml:space="preserve"> </w:t>
      </w:r>
      <w:r w:rsidR="007A70FB" w:rsidRPr="007A70FB">
        <w:rPr>
          <w:b/>
          <w:sz w:val="22"/>
          <w:szCs w:val="22"/>
        </w:rPr>
        <w:fldChar w:fldCharType="begin"/>
      </w:r>
      <w:r w:rsidR="007A70FB" w:rsidRPr="007A70FB">
        <w:rPr>
          <w:b/>
          <w:sz w:val="22"/>
          <w:szCs w:val="22"/>
        </w:rPr>
        <w:instrText xml:space="preserve"> REF _Ref372030155 \h  \* MERGEFORMAT </w:instrText>
      </w:r>
      <w:r w:rsidR="007A70FB" w:rsidRPr="007A70FB">
        <w:rPr>
          <w:b/>
          <w:sz w:val="22"/>
          <w:szCs w:val="22"/>
        </w:rPr>
      </w:r>
      <w:r w:rsidR="007A70FB" w:rsidRPr="007A70FB">
        <w:rPr>
          <w:b/>
          <w:sz w:val="22"/>
          <w:szCs w:val="22"/>
        </w:rPr>
        <w:fldChar w:fldCharType="separate"/>
      </w:r>
      <w:r w:rsidR="007F3589" w:rsidRPr="007F3589">
        <w:rPr>
          <w:b/>
          <w:sz w:val="22"/>
          <w:szCs w:val="22"/>
        </w:rPr>
        <w:t xml:space="preserve">Table </w:t>
      </w:r>
      <w:r w:rsidR="007F3589" w:rsidRPr="007F3589">
        <w:rPr>
          <w:b/>
          <w:noProof/>
          <w:sz w:val="22"/>
          <w:szCs w:val="22"/>
        </w:rPr>
        <w:t>23</w:t>
      </w:r>
      <w:r w:rsidR="007A70FB" w:rsidRPr="007A70FB">
        <w:rPr>
          <w:b/>
          <w:sz w:val="22"/>
          <w:szCs w:val="22"/>
        </w:rPr>
        <w:fldChar w:fldCharType="end"/>
      </w:r>
      <w:r w:rsidR="007A70FB">
        <w:rPr>
          <w:sz w:val="22"/>
          <w:szCs w:val="22"/>
        </w:rPr>
        <w:t xml:space="preserve"> b</w:t>
      </w:r>
      <w:r w:rsidRPr="00F0501D">
        <w:rPr>
          <w:sz w:val="22"/>
          <w:szCs w:val="22"/>
        </w:rPr>
        <w:t>elow and show that the combination of the emissions from the project and all background sources does not exceed the applicable PSD increment for 24-hour PM</w:t>
      </w:r>
      <w:r w:rsidRPr="00F0501D">
        <w:rPr>
          <w:sz w:val="22"/>
          <w:szCs w:val="22"/>
          <w:vertAlign w:val="subscript"/>
        </w:rPr>
        <w:t>2.5</w:t>
      </w:r>
      <w:r w:rsidRPr="00F0501D">
        <w:rPr>
          <w:sz w:val="22"/>
          <w:szCs w:val="22"/>
        </w:rPr>
        <w:t xml:space="preserve"> concentrations.</w:t>
      </w:r>
    </w:p>
    <w:p w:rsidR="004F1685" w:rsidRDefault="00F0501D" w:rsidP="000772C9">
      <w:pPr>
        <w:pStyle w:val="Caption"/>
        <w:spacing w:before="0"/>
        <w:jc w:val="center"/>
        <w:rPr>
          <w:szCs w:val="22"/>
        </w:rPr>
      </w:pPr>
      <w:bookmarkStart w:id="50" w:name="_Ref372030155"/>
      <w:r>
        <w:t xml:space="preserve">Table </w:t>
      </w:r>
      <w:fldSimple w:instr=" SEQ Table \* ARABIC ">
        <w:r w:rsidR="007F3589">
          <w:rPr>
            <w:noProof/>
          </w:rPr>
          <w:t>23</w:t>
        </w:r>
      </w:fldSimple>
      <w:bookmarkEnd w:id="50"/>
      <w:r w:rsidRPr="009B1D4A">
        <w:rPr>
          <w:szCs w:val="22"/>
        </w:rPr>
        <w:t xml:space="preserve"> –</w:t>
      </w:r>
      <w:r>
        <w:rPr>
          <w:szCs w:val="22"/>
        </w:rPr>
        <w:t xml:space="preserve"> </w:t>
      </w:r>
      <w:r w:rsidRPr="00F0501D">
        <w:rPr>
          <w:szCs w:val="22"/>
        </w:rPr>
        <w:t>PSD Increment Analysis Results</w:t>
      </w:r>
      <w:r w:rsidR="002774CE">
        <w:rPr>
          <w:szCs w:val="22"/>
        </w:rPr>
        <w:t>.</w:t>
      </w:r>
    </w:p>
    <w:tbl>
      <w:tblPr>
        <w:tblW w:w="9526" w:type="dxa"/>
        <w:tblInd w:w="18"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1080"/>
        <w:gridCol w:w="1144"/>
        <w:gridCol w:w="2070"/>
        <w:gridCol w:w="1864"/>
        <w:gridCol w:w="2044"/>
        <w:gridCol w:w="1324"/>
      </w:tblGrid>
      <w:tr w:rsidR="00F0501D" w:rsidRPr="000E3BDE" w:rsidTr="002E7738">
        <w:trPr>
          <w:trHeight w:val="20"/>
        </w:trPr>
        <w:tc>
          <w:tcPr>
            <w:tcW w:w="1080" w:type="dxa"/>
            <w:tcBorders>
              <w:top w:val="single" w:sz="6" w:space="0" w:color="000000"/>
              <w:bottom w:val="single" w:sz="6" w:space="0" w:color="000000"/>
              <w:right w:val="single" w:sz="6" w:space="0" w:color="000000"/>
            </w:tcBorders>
            <w:shd w:val="clear" w:color="auto" w:fill="C6D9F1"/>
            <w:vAlign w:val="center"/>
          </w:tcPr>
          <w:p w:rsidR="00F0501D" w:rsidRPr="00F0501D" w:rsidRDefault="00F0501D" w:rsidP="00F0501D">
            <w:pPr>
              <w:autoSpaceDE w:val="0"/>
              <w:autoSpaceDN w:val="0"/>
              <w:adjustRightInd w:val="0"/>
              <w:spacing w:before="20" w:after="20"/>
              <w:jc w:val="center"/>
              <w:rPr>
                <w:b/>
              </w:rPr>
            </w:pPr>
            <w:r w:rsidRPr="00F0501D">
              <w:rPr>
                <w:b/>
              </w:rPr>
              <w:t>Pollutant</w:t>
            </w:r>
          </w:p>
        </w:tc>
        <w:tc>
          <w:tcPr>
            <w:tcW w:w="1144"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F0501D" w:rsidRPr="00F0501D" w:rsidRDefault="00F0501D" w:rsidP="00F0501D">
            <w:pPr>
              <w:autoSpaceDE w:val="0"/>
              <w:autoSpaceDN w:val="0"/>
              <w:adjustRightInd w:val="0"/>
              <w:spacing w:before="20" w:after="20"/>
              <w:jc w:val="center"/>
              <w:rPr>
                <w:b/>
              </w:rPr>
            </w:pPr>
            <w:r w:rsidRPr="00F0501D">
              <w:rPr>
                <w:b/>
              </w:rPr>
              <w:t>Averaging</w:t>
            </w:r>
            <w:r w:rsidRPr="00F0501D">
              <w:rPr>
                <w:b/>
              </w:rPr>
              <w:br/>
              <w:t>Time</w:t>
            </w:r>
          </w:p>
        </w:tc>
        <w:tc>
          <w:tcPr>
            <w:tcW w:w="2070"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F0501D" w:rsidRPr="00F0501D" w:rsidRDefault="00F0501D" w:rsidP="00F0501D">
            <w:pPr>
              <w:autoSpaceDE w:val="0"/>
              <w:autoSpaceDN w:val="0"/>
              <w:adjustRightInd w:val="0"/>
              <w:spacing w:before="20" w:after="20"/>
              <w:jc w:val="center"/>
              <w:rPr>
                <w:b/>
              </w:rPr>
            </w:pPr>
            <w:r w:rsidRPr="00F0501D">
              <w:rPr>
                <w:b/>
              </w:rPr>
              <w:t>Maximum Combined Impact (μg/m</w:t>
            </w:r>
            <w:r w:rsidRPr="00F0501D">
              <w:rPr>
                <w:b/>
                <w:vertAlign w:val="superscript"/>
              </w:rPr>
              <w:t>3</w:t>
            </w:r>
            <w:r w:rsidRPr="00F0501D">
              <w:rPr>
                <w:b/>
              </w:rPr>
              <w:t>)</w:t>
            </w:r>
          </w:p>
        </w:tc>
        <w:tc>
          <w:tcPr>
            <w:tcW w:w="1864" w:type="dxa"/>
            <w:tcBorders>
              <w:top w:val="single" w:sz="6" w:space="0" w:color="000000"/>
              <w:left w:val="single" w:sz="6" w:space="0" w:color="000000"/>
              <w:bottom w:val="single" w:sz="6" w:space="0" w:color="000000"/>
              <w:right w:val="single" w:sz="6" w:space="0" w:color="000000"/>
            </w:tcBorders>
            <w:shd w:val="clear" w:color="auto" w:fill="C6D9F1"/>
            <w:vAlign w:val="center"/>
          </w:tcPr>
          <w:p w:rsidR="00F0501D" w:rsidRPr="00F0501D" w:rsidRDefault="00F0501D" w:rsidP="00F0501D">
            <w:pPr>
              <w:autoSpaceDE w:val="0"/>
              <w:autoSpaceDN w:val="0"/>
              <w:adjustRightInd w:val="0"/>
              <w:spacing w:before="20" w:after="20"/>
              <w:jc w:val="center"/>
              <w:rPr>
                <w:b/>
              </w:rPr>
            </w:pPr>
            <w:r w:rsidRPr="00F0501D">
              <w:rPr>
                <w:b/>
              </w:rPr>
              <w:t>PSD Class II Increment (μg/m</w:t>
            </w:r>
            <w:r w:rsidRPr="00F0501D">
              <w:rPr>
                <w:b/>
                <w:vertAlign w:val="superscript"/>
              </w:rPr>
              <w:t>3</w:t>
            </w:r>
            <w:r w:rsidRPr="00F0501D">
              <w:rPr>
                <w:b/>
              </w:rPr>
              <w:t>)</w:t>
            </w:r>
          </w:p>
        </w:tc>
        <w:tc>
          <w:tcPr>
            <w:tcW w:w="2044" w:type="dxa"/>
            <w:tcBorders>
              <w:top w:val="single" w:sz="6" w:space="0" w:color="000000"/>
              <w:left w:val="single" w:sz="6" w:space="0" w:color="000000"/>
              <w:bottom w:val="single" w:sz="4" w:space="0" w:color="auto"/>
            </w:tcBorders>
            <w:shd w:val="clear" w:color="auto" w:fill="C6D9F1"/>
            <w:vAlign w:val="center"/>
          </w:tcPr>
          <w:p w:rsidR="00F0501D" w:rsidRPr="00F0501D" w:rsidRDefault="00F0501D" w:rsidP="00F0501D">
            <w:pPr>
              <w:autoSpaceDE w:val="0"/>
              <w:autoSpaceDN w:val="0"/>
              <w:adjustRightInd w:val="0"/>
              <w:spacing w:before="20" w:after="20"/>
              <w:jc w:val="center"/>
              <w:rPr>
                <w:b/>
              </w:rPr>
            </w:pPr>
            <w:r w:rsidRPr="00F0501D">
              <w:rPr>
                <w:b/>
              </w:rPr>
              <w:t>Total Impacts Exceed Increment?</w:t>
            </w:r>
          </w:p>
        </w:tc>
        <w:tc>
          <w:tcPr>
            <w:tcW w:w="1324" w:type="dxa"/>
            <w:tcBorders>
              <w:top w:val="single" w:sz="6" w:space="0" w:color="000000"/>
              <w:left w:val="single" w:sz="6" w:space="0" w:color="000000"/>
              <w:bottom w:val="single" w:sz="4" w:space="0" w:color="auto"/>
            </w:tcBorders>
            <w:shd w:val="clear" w:color="auto" w:fill="C6D9F1"/>
            <w:vAlign w:val="center"/>
          </w:tcPr>
          <w:p w:rsidR="00F0501D" w:rsidRPr="00F0501D" w:rsidRDefault="00F0501D" w:rsidP="00F0501D">
            <w:pPr>
              <w:autoSpaceDE w:val="0"/>
              <w:autoSpaceDN w:val="0"/>
              <w:adjustRightInd w:val="0"/>
              <w:spacing w:before="20" w:after="20"/>
              <w:jc w:val="center"/>
              <w:rPr>
                <w:b/>
              </w:rPr>
            </w:pPr>
            <w:r w:rsidRPr="00F0501D">
              <w:rPr>
                <w:b/>
              </w:rPr>
              <w:t>Increment Consumed</w:t>
            </w:r>
          </w:p>
        </w:tc>
      </w:tr>
      <w:tr w:rsidR="00F0501D" w:rsidRPr="000E3BDE" w:rsidTr="002E7738">
        <w:trPr>
          <w:trHeight w:val="20"/>
        </w:trPr>
        <w:tc>
          <w:tcPr>
            <w:tcW w:w="1080" w:type="dxa"/>
            <w:tcBorders>
              <w:top w:val="single" w:sz="4" w:space="0" w:color="auto"/>
              <w:bottom w:val="single" w:sz="4" w:space="0" w:color="auto"/>
              <w:right w:val="single" w:sz="4" w:space="0" w:color="auto"/>
            </w:tcBorders>
            <w:vAlign w:val="center"/>
          </w:tcPr>
          <w:p w:rsidR="00F0501D" w:rsidRPr="00F0501D" w:rsidRDefault="00F0501D" w:rsidP="00F0501D">
            <w:pPr>
              <w:autoSpaceDE w:val="0"/>
              <w:autoSpaceDN w:val="0"/>
              <w:adjustRightInd w:val="0"/>
              <w:spacing w:before="20" w:after="20"/>
              <w:jc w:val="center"/>
              <w:rPr>
                <w:vertAlign w:val="superscript"/>
              </w:rPr>
            </w:pPr>
            <w:r w:rsidRPr="00F0501D">
              <w:t>PM</w:t>
            </w:r>
            <w:r w:rsidRPr="00F0501D">
              <w:rPr>
                <w:vertAlign w:val="subscript"/>
              </w:rPr>
              <w:t>2.5</w:t>
            </w:r>
            <w:r w:rsidRPr="00F0501D">
              <w:rPr>
                <w:vertAlign w:val="superscript"/>
              </w:rPr>
              <w:t>a</w:t>
            </w:r>
          </w:p>
        </w:tc>
        <w:tc>
          <w:tcPr>
            <w:tcW w:w="1144" w:type="dxa"/>
            <w:tcBorders>
              <w:top w:val="single" w:sz="4" w:space="0" w:color="auto"/>
              <w:left w:val="single" w:sz="4" w:space="0" w:color="auto"/>
              <w:bottom w:val="single" w:sz="4" w:space="0" w:color="auto"/>
              <w:right w:val="single" w:sz="4" w:space="0" w:color="auto"/>
            </w:tcBorders>
            <w:vAlign w:val="center"/>
          </w:tcPr>
          <w:p w:rsidR="00F0501D" w:rsidRPr="00F0501D" w:rsidRDefault="00F0501D" w:rsidP="00F0501D">
            <w:pPr>
              <w:autoSpaceDE w:val="0"/>
              <w:autoSpaceDN w:val="0"/>
              <w:adjustRightInd w:val="0"/>
              <w:spacing w:before="20" w:after="20"/>
              <w:jc w:val="center"/>
            </w:pPr>
            <w:r w:rsidRPr="00F0501D">
              <w:t>24-hour</w:t>
            </w:r>
          </w:p>
        </w:tc>
        <w:tc>
          <w:tcPr>
            <w:tcW w:w="2070" w:type="dxa"/>
            <w:tcBorders>
              <w:top w:val="single" w:sz="4" w:space="0" w:color="auto"/>
              <w:left w:val="single" w:sz="4" w:space="0" w:color="auto"/>
              <w:bottom w:val="single" w:sz="4" w:space="0" w:color="auto"/>
              <w:right w:val="single" w:sz="4" w:space="0" w:color="auto"/>
            </w:tcBorders>
            <w:vAlign w:val="center"/>
          </w:tcPr>
          <w:p w:rsidR="00F0501D" w:rsidRPr="00F0501D" w:rsidRDefault="00F0501D" w:rsidP="00F0501D">
            <w:pPr>
              <w:autoSpaceDE w:val="0"/>
              <w:autoSpaceDN w:val="0"/>
              <w:adjustRightInd w:val="0"/>
              <w:spacing w:before="20" w:after="20"/>
              <w:jc w:val="center"/>
            </w:pPr>
            <w:r w:rsidRPr="00F0501D">
              <w:t>2.0</w:t>
            </w:r>
          </w:p>
        </w:tc>
        <w:tc>
          <w:tcPr>
            <w:tcW w:w="1864" w:type="dxa"/>
            <w:tcBorders>
              <w:top w:val="single" w:sz="4" w:space="0" w:color="auto"/>
              <w:left w:val="single" w:sz="4" w:space="0" w:color="auto"/>
              <w:bottom w:val="single" w:sz="4" w:space="0" w:color="auto"/>
              <w:right w:val="single" w:sz="4" w:space="0" w:color="auto"/>
            </w:tcBorders>
            <w:vAlign w:val="center"/>
          </w:tcPr>
          <w:p w:rsidR="00F0501D" w:rsidRPr="00F0501D" w:rsidRDefault="00F0501D" w:rsidP="00F0501D">
            <w:pPr>
              <w:autoSpaceDE w:val="0"/>
              <w:autoSpaceDN w:val="0"/>
              <w:adjustRightInd w:val="0"/>
              <w:spacing w:before="20" w:after="20"/>
              <w:jc w:val="center"/>
            </w:pPr>
            <w:r w:rsidRPr="00F0501D">
              <w:t>9.0</w:t>
            </w:r>
          </w:p>
        </w:tc>
        <w:tc>
          <w:tcPr>
            <w:tcW w:w="2044" w:type="dxa"/>
            <w:tcBorders>
              <w:top w:val="single" w:sz="4" w:space="0" w:color="auto"/>
              <w:left w:val="single" w:sz="4" w:space="0" w:color="auto"/>
              <w:bottom w:val="single" w:sz="4" w:space="0" w:color="auto"/>
              <w:right w:val="single" w:sz="4" w:space="0" w:color="auto"/>
            </w:tcBorders>
            <w:shd w:val="clear" w:color="auto" w:fill="auto"/>
            <w:vAlign w:val="center"/>
          </w:tcPr>
          <w:p w:rsidR="00F0501D" w:rsidRPr="00F0501D" w:rsidRDefault="00F0501D" w:rsidP="00F0501D">
            <w:pPr>
              <w:autoSpaceDE w:val="0"/>
              <w:autoSpaceDN w:val="0"/>
              <w:adjustRightInd w:val="0"/>
              <w:spacing w:before="20" w:after="20"/>
              <w:jc w:val="center"/>
            </w:pPr>
            <w:r w:rsidRPr="00F0501D">
              <w:t>No</w:t>
            </w:r>
          </w:p>
        </w:tc>
        <w:tc>
          <w:tcPr>
            <w:tcW w:w="1324" w:type="dxa"/>
            <w:tcBorders>
              <w:top w:val="single" w:sz="4" w:space="0" w:color="auto"/>
              <w:left w:val="single" w:sz="4" w:space="0" w:color="auto"/>
              <w:bottom w:val="single" w:sz="4" w:space="0" w:color="auto"/>
              <w:right w:val="single" w:sz="4" w:space="0" w:color="auto"/>
            </w:tcBorders>
            <w:shd w:val="clear" w:color="auto" w:fill="auto"/>
            <w:vAlign w:val="center"/>
          </w:tcPr>
          <w:p w:rsidR="00F0501D" w:rsidRPr="00F0501D" w:rsidRDefault="00F0501D" w:rsidP="00F0501D">
            <w:pPr>
              <w:autoSpaceDE w:val="0"/>
              <w:autoSpaceDN w:val="0"/>
              <w:adjustRightInd w:val="0"/>
              <w:spacing w:before="20" w:after="20"/>
              <w:jc w:val="center"/>
            </w:pPr>
            <w:r w:rsidRPr="00F0501D">
              <w:t>22.2%</w:t>
            </w:r>
          </w:p>
        </w:tc>
      </w:tr>
      <w:tr w:rsidR="00F0501D" w:rsidRPr="000E3BDE" w:rsidTr="002E7738">
        <w:trPr>
          <w:trHeight w:val="359"/>
        </w:trPr>
        <w:tc>
          <w:tcPr>
            <w:tcW w:w="9526" w:type="dxa"/>
            <w:gridSpan w:val="6"/>
            <w:tcBorders>
              <w:top w:val="single" w:sz="4" w:space="0" w:color="auto"/>
              <w:bottom w:val="single" w:sz="6" w:space="0" w:color="000000"/>
            </w:tcBorders>
            <w:vAlign w:val="center"/>
          </w:tcPr>
          <w:p w:rsidR="00F0501D" w:rsidRPr="00F0501D" w:rsidRDefault="00F0501D" w:rsidP="00D60E10">
            <w:pPr>
              <w:pStyle w:val="ListParagraph"/>
              <w:numPr>
                <w:ilvl w:val="1"/>
                <w:numId w:val="32"/>
              </w:numPr>
              <w:tabs>
                <w:tab w:val="clear" w:pos="360"/>
                <w:tab w:val="num" w:pos="342"/>
              </w:tabs>
              <w:autoSpaceDE w:val="0"/>
              <w:autoSpaceDN w:val="0"/>
              <w:adjustRightInd w:val="0"/>
              <w:ind w:left="0" w:hanging="14"/>
              <w:rPr>
                <w:sz w:val="18"/>
                <w:szCs w:val="18"/>
              </w:rPr>
            </w:pPr>
            <w:r w:rsidRPr="00F0501D">
              <w:rPr>
                <w:sz w:val="18"/>
                <w:szCs w:val="18"/>
              </w:rPr>
              <w:t>Concentration reported is the highest, second highest 5-year daily value, based on five turbines operating 8</w:t>
            </w:r>
            <w:r w:rsidR="00D60E10">
              <w:rPr>
                <w:sz w:val="18"/>
                <w:szCs w:val="18"/>
              </w:rPr>
              <w:t>,</w:t>
            </w:r>
            <w:r w:rsidRPr="00F0501D">
              <w:rPr>
                <w:sz w:val="18"/>
                <w:szCs w:val="18"/>
              </w:rPr>
              <w:t>760 on ULSD oil</w:t>
            </w:r>
          </w:p>
        </w:tc>
      </w:tr>
    </w:tbl>
    <w:p w:rsidR="00F0501D" w:rsidRDefault="000772C9" w:rsidP="000772C9">
      <w:pPr>
        <w:widowControl w:val="0"/>
        <w:numPr>
          <w:ilvl w:val="2"/>
          <w:numId w:val="2"/>
        </w:numPr>
        <w:tabs>
          <w:tab w:val="left" w:pos="720"/>
        </w:tabs>
        <w:spacing w:before="120" w:after="120"/>
        <w:ind w:left="720" w:hanging="720"/>
        <w:rPr>
          <w:sz w:val="22"/>
          <w:szCs w:val="22"/>
        </w:rPr>
      </w:pPr>
      <w:r w:rsidRPr="000772C9">
        <w:rPr>
          <w:bCs/>
          <w:sz w:val="22"/>
          <w:szCs w:val="22"/>
          <w:u w:val="single"/>
        </w:rPr>
        <w:t>24-Hour PM</w:t>
      </w:r>
      <w:r w:rsidRPr="000772C9">
        <w:rPr>
          <w:bCs/>
          <w:sz w:val="22"/>
          <w:szCs w:val="22"/>
          <w:u w:val="single"/>
          <w:vertAlign w:val="subscript"/>
        </w:rPr>
        <w:t>2.5</w:t>
      </w:r>
      <w:r w:rsidRPr="000772C9">
        <w:rPr>
          <w:bCs/>
          <w:sz w:val="22"/>
          <w:szCs w:val="22"/>
          <w:u w:val="single"/>
        </w:rPr>
        <w:t xml:space="preserve"> and PM</w:t>
      </w:r>
      <w:r w:rsidRPr="000772C9">
        <w:rPr>
          <w:bCs/>
          <w:sz w:val="22"/>
          <w:szCs w:val="22"/>
          <w:u w:val="single"/>
          <w:vertAlign w:val="subscript"/>
        </w:rPr>
        <w:t xml:space="preserve">10 </w:t>
      </w:r>
      <w:r w:rsidRPr="000772C9">
        <w:rPr>
          <w:bCs/>
          <w:sz w:val="22"/>
          <w:szCs w:val="22"/>
          <w:u w:val="single"/>
        </w:rPr>
        <w:t>PSD Class I Increment Analysis</w:t>
      </w:r>
    </w:p>
    <w:p w:rsidR="002774CE" w:rsidRPr="002774CE" w:rsidRDefault="002774CE" w:rsidP="002774CE">
      <w:pPr>
        <w:spacing w:after="120"/>
        <w:rPr>
          <w:bCs/>
          <w:sz w:val="22"/>
        </w:rPr>
      </w:pPr>
      <w:r w:rsidRPr="002774CE">
        <w:rPr>
          <w:bCs/>
          <w:sz w:val="22"/>
        </w:rPr>
        <w:t>Since both PM</w:t>
      </w:r>
      <w:r w:rsidRPr="002774CE">
        <w:rPr>
          <w:bCs/>
          <w:sz w:val="22"/>
          <w:vertAlign w:val="subscript"/>
        </w:rPr>
        <w:t>10</w:t>
      </w:r>
      <w:r w:rsidRPr="002774CE">
        <w:rPr>
          <w:bCs/>
          <w:sz w:val="22"/>
        </w:rPr>
        <w:t xml:space="preserve"> and PM</w:t>
      </w:r>
      <w:r w:rsidRPr="002774CE">
        <w:rPr>
          <w:bCs/>
          <w:sz w:val="22"/>
          <w:vertAlign w:val="subscript"/>
        </w:rPr>
        <w:t>2.5</w:t>
      </w:r>
      <w:r w:rsidRPr="002774CE">
        <w:rPr>
          <w:bCs/>
          <w:sz w:val="22"/>
        </w:rPr>
        <w:t xml:space="preserve"> exceeded the Class I SIL’s during single source modeling, Comprehensive multi-source modeling is necessary to show that concentrations of these pollutants will not exceed PSD Class I increments.  The California Puff (CALPUFF) model is a non-steady state Langrangian puff long range transport model, recommended by the EPA for calculating long-range impacts and pollutant concentrations.  The model is used by the applicant to predict the change in PSD increment for PM</w:t>
      </w:r>
      <w:r w:rsidRPr="002774CE">
        <w:rPr>
          <w:bCs/>
          <w:sz w:val="22"/>
          <w:vertAlign w:val="subscript"/>
        </w:rPr>
        <w:t>10</w:t>
      </w:r>
      <w:r w:rsidRPr="002774CE">
        <w:rPr>
          <w:bCs/>
          <w:sz w:val="22"/>
        </w:rPr>
        <w:t xml:space="preserve"> and PM</w:t>
      </w:r>
      <w:r w:rsidRPr="002774CE">
        <w:rPr>
          <w:bCs/>
          <w:sz w:val="22"/>
          <w:vertAlign w:val="subscript"/>
        </w:rPr>
        <w:t>2.5</w:t>
      </w:r>
      <w:r w:rsidRPr="002774CE">
        <w:rPr>
          <w:bCs/>
          <w:sz w:val="22"/>
        </w:rPr>
        <w:t xml:space="preserve"> at ENP, located between 48.2 and 150 km away from the Project site.  For both PM</w:t>
      </w:r>
      <w:r w:rsidRPr="002774CE">
        <w:rPr>
          <w:bCs/>
          <w:sz w:val="22"/>
          <w:vertAlign w:val="subscript"/>
        </w:rPr>
        <w:t>10</w:t>
      </w:r>
      <w:r w:rsidRPr="002774CE">
        <w:rPr>
          <w:bCs/>
          <w:sz w:val="22"/>
        </w:rPr>
        <w:t xml:space="preserve"> and PM</w:t>
      </w:r>
      <w:r w:rsidRPr="002774CE">
        <w:rPr>
          <w:bCs/>
          <w:sz w:val="22"/>
          <w:vertAlign w:val="subscript"/>
        </w:rPr>
        <w:t>2.5</w:t>
      </w:r>
      <w:r w:rsidRPr="002774CE">
        <w:rPr>
          <w:bCs/>
          <w:sz w:val="22"/>
        </w:rPr>
        <w:t xml:space="preserve">, the highest, second highest 24-hour concentration for any year was compared to the PSD Class I increment.  </w:t>
      </w:r>
      <w:r w:rsidR="007A70FB" w:rsidRPr="007A70FB">
        <w:rPr>
          <w:b/>
          <w:bCs/>
          <w:sz w:val="22"/>
          <w:szCs w:val="22"/>
        </w:rPr>
        <w:fldChar w:fldCharType="begin"/>
      </w:r>
      <w:r w:rsidR="007A70FB" w:rsidRPr="007A70FB">
        <w:rPr>
          <w:b/>
          <w:bCs/>
          <w:sz w:val="22"/>
          <w:szCs w:val="22"/>
        </w:rPr>
        <w:instrText xml:space="preserve"> REF _Ref378672858 \h  \* MERGEFORMAT </w:instrText>
      </w:r>
      <w:r w:rsidR="007A70FB" w:rsidRPr="007A70FB">
        <w:rPr>
          <w:b/>
          <w:bCs/>
          <w:sz w:val="22"/>
          <w:szCs w:val="22"/>
        </w:rPr>
      </w:r>
      <w:r w:rsidR="007A70FB" w:rsidRPr="007A70FB">
        <w:rPr>
          <w:b/>
          <w:bCs/>
          <w:sz w:val="22"/>
          <w:szCs w:val="22"/>
        </w:rPr>
        <w:fldChar w:fldCharType="separate"/>
      </w:r>
      <w:r w:rsidR="007F3589" w:rsidRPr="007F3589">
        <w:rPr>
          <w:b/>
          <w:sz w:val="22"/>
          <w:szCs w:val="22"/>
        </w:rPr>
        <w:t xml:space="preserve">Table </w:t>
      </w:r>
      <w:r w:rsidR="007F3589" w:rsidRPr="007F3589">
        <w:rPr>
          <w:b/>
          <w:noProof/>
          <w:sz w:val="22"/>
          <w:szCs w:val="22"/>
        </w:rPr>
        <w:t>24</w:t>
      </w:r>
      <w:r w:rsidR="007A70FB" w:rsidRPr="007A70FB">
        <w:rPr>
          <w:b/>
          <w:bCs/>
          <w:sz w:val="22"/>
          <w:szCs w:val="22"/>
        </w:rPr>
        <w:fldChar w:fldCharType="end"/>
      </w:r>
      <w:r w:rsidRPr="002774CE">
        <w:rPr>
          <w:bCs/>
          <w:sz w:val="22"/>
        </w:rPr>
        <w:t xml:space="preserve"> below shows the increment consumption for the sources modeled are well below the Class I PSD increments.</w:t>
      </w:r>
    </w:p>
    <w:p w:rsidR="000772C9" w:rsidRDefault="002774CE" w:rsidP="002774CE">
      <w:pPr>
        <w:pStyle w:val="Caption"/>
        <w:spacing w:before="0"/>
        <w:jc w:val="center"/>
        <w:rPr>
          <w:szCs w:val="22"/>
        </w:rPr>
      </w:pPr>
      <w:bookmarkStart w:id="51" w:name="_Ref378672858"/>
      <w:r>
        <w:t xml:space="preserve">Table </w:t>
      </w:r>
      <w:fldSimple w:instr=" SEQ Table \* ARABIC ">
        <w:r w:rsidR="007F3589">
          <w:rPr>
            <w:noProof/>
          </w:rPr>
          <w:t>24</w:t>
        </w:r>
      </w:fldSimple>
      <w:bookmarkEnd w:id="51"/>
      <w:r w:rsidRPr="009B1D4A">
        <w:rPr>
          <w:szCs w:val="22"/>
        </w:rPr>
        <w:t xml:space="preserve"> –</w:t>
      </w:r>
      <w:r>
        <w:rPr>
          <w:szCs w:val="22"/>
        </w:rPr>
        <w:t xml:space="preserve"> </w:t>
      </w:r>
      <w:r w:rsidRPr="002774CE">
        <w:rPr>
          <w:szCs w:val="22"/>
        </w:rPr>
        <w:t>PSD Class I Increment Analysis</w:t>
      </w:r>
      <w:r>
        <w:rPr>
          <w:szCs w:val="22"/>
        </w:rPr>
        <w:t>.</w:t>
      </w:r>
    </w:p>
    <w:tbl>
      <w:tblPr>
        <w:tblW w:w="9599" w:type="dxa"/>
        <w:jc w:val="center"/>
        <w:shd w:val="clear" w:color="auto" w:fill="FFFFFF"/>
        <w:tblLayout w:type="fixed"/>
        <w:tblLook w:val="0000" w:firstRow="0" w:lastRow="0" w:firstColumn="0" w:lastColumn="0" w:noHBand="0" w:noVBand="0"/>
      </w:tblPr>
      <w:tblGrid>
        <w:gridCol w:w="1080"/>
        <w:gridCol w:w="1260"/>
        <w:gridCol w:w="2790"/>
        <w:gridCol w:w="1620"/>
        <w:gridCol w:w="1440"/>
        <w:gridCol w:w="1409"/>
      </w:tblGrid>
      <w:tr w:rsidR="002774CE" w:rsidRPr="00B55404" w:rsidTr="002774CE">
        <w:trPr>
          <w:trHeight w:val="20"/>
          <w:tblHeader/>
          <w:jc w:val="center"/>
        </w:trPr>
        <w:tc>
          <w:tcPr>
            <w:tcW w:w="108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2774CE" w:rsidRPr="002774CE" w:rsidRDefault="002774CE" w:rsidP="00745B49">
            <w:pPr>
              <w:autoSpaceDE w:val="0"/>
              <w:autoSpaceDN w:val="0"/>
              <w:adjustRightInd w:val="0"/>
              <w:ind w:left="90"/>
              <w:jc w:val="center"/>
              <w:rPr>
                <w:b/>
              </w:rPr>
            </w:pPr>
            <w:r w:rsidRPr="002774CE">
              <w:rPr>
                <w:b/>
              </w:rPr>
              <w:t>Pollutant</w:t>
            </w:r>
          </w:p>
        </w:tc>
        <w:tc>
          <w:tcPr>
            <w:tcW w:w="126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2774CE" w:rsidRPr="002774CE" w:rsidRDefault="002774CE" w:rsidP="00745B49">
            <w:pPr>
              <w:autoSpaceDE w:val="0"/>
              <w:autoSpaceDN w:val="0"/>
              <w:adjustRightInd w:val="0"/>
              <w:ind w:left="109"/>
              <w:jc w:val="center"/>
              <w:rPr>
                <w:b/>
              </w:rPr>
            </w:pPr>
            <w:r w:rsidRPr="002774CE">
              <w:rPr>
                <w:b/>
              </w:rPr>
              <w:t>Averaging Time</w:t>
            </w:r>
          </w:p>
        </w:tc>
        <w:tc>
          <w:tcPr>
            <w:tcW w:w="279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2774CE" w:rsidRPr="002774CE" w:rsidRDefault="002774CE" w:rsidP="00745B49">
            <w:pPr>
              <w:autoSpaceDE w:val="0"/>
              <w:autoSpaceDN w:val="0"/>
              <w:adjustRightInd w:val="0"/>
              <w:ind w:left="133"/>
              <w:jc w:val="center"/>
              <w:rPr>
                <w:b/>
              </w:rPr>
            </w:pPr>
            <w:r w:rsidRPr="002774CE">
              <w:rPr>
                <w:b/>
              </w:rPr>
              <w:t>Highest, Second Highest Concentration (µg/m</w:t>
            </w:r>
            <w:r w:rsidRPr="002774CE">
              <w:rPr>
                <w:b/>
                <w:vertAlign w:val="superscript"/>
              </w:rPr>
              <w:t>3</w:t>
            </w:r>
            <w:r w:rsidRPr="002774CE">
              <w:rPr>
                <w:b/>
              </w:rPr>
              <w:t>)</w:t>
            </w:r>
            <w:r w:rsidRPr="002774CE">
              <w:rPr>
                <w:b/>
              </w:rPr>
              <w:br/>
              <w:t xml:space="preserve">at ENP </w:t>
            </w:r>
          </w:p>
        </w:tc>
        <w:tc>
          <w:tcPr>
            <w:tcW w:w="1620"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2774CE" w:rsidRPr="002774CE" w:rsidRDefault="002774CE" w:rsidP="00745B49">
            <w:pPr>
              <w:autoSpaceDE w:val="0"/>
              <w:autoSpaceDN w:val="0"/>
              <w:adjustRightInd w:val="0"/>
              <w:ind w:left="180"/>
              <w:jc w:val="center"/>
              <w:rPr>
                <w:b/>
              </w:rPr>
            </w:pPr>
            <w:r w:rsidRPr="002774CE">
              <w:rPr>
                <w:b/>
              </w:rPr>
              <w:t>Class I PSD</w:t>
            </w:r>
            <w:r w:rsidRPr="002774CE">
              <w:rPr>
                <w:b/>
              </w:rPr>
              <w:cr/>
              <w:t xml:space="preserve"> (µg/m</w:t>
            </w:r>
            <w:r w:rsidRPr="002774CE">
              <w:rPr>
                <w:b/>
                <w:vertAlign w:val="superscript"/>
              </w:rPr>
              <w:t>3</w:t>
            </w:r>
            <w:r w:rsidRPr="002774CE">
              <w:rPr>
                <w:b/>
              </w:rPr>
              <w:t>)</w:t>
            </w:r>
          </w:p>
        </w:tc>
        <w:tc>
          <w:tcPr>
            <w:tcW w:w="1440" w:type="dxa"/>
            <w:tcBorders>
              <w:top w:val="single" w:sz="4" w:space="0" w:color="000000"/>
              <w:left w:val="single" w:sz="4" w:space="0" w:color="000000"/>
              <w:right w:val="single" w:sz="4" w:space="0" w:color="000000"/>
            </w:tcBorders>
            <w:shd w:val="clear" w:color="auto" w:fill="C6D9F1"/>
            <w:vAlign w:val="center"/>
          </w:tcPr>
          <w:p w:rsidR="002774CE" w:rsidRPr="002774CE" w:rsidRDefault="002774CE" w:rsidP="00745B49">
            <w:pPr>
              <w:autoSpaceDE w:val="0"/>
              <w:autoSpaceDN w:val="0"/>
              <w:adjustRightInd w:val="0"/>
              <w:ind w:left="90"/>
              <w:jc w:val="center"/>
              <w:rPr>
                <w:b/>
              </w:rPr>
            </w:pPr>
            <w:r w:rsidRPr="002774CE">
              <w:rPr>
                <w:b/>
              </w:rPr>
              <w:t>Increment Consumed</w:t>
            </w:r>
          </w:p>
        </w:tc>
        <w:tc>
          <w:tcPr>
            <w:tcW w:w="1409" w:type="dxa"/>
            <w:tcBorders>
              <w:top w:val="single" w:sz="4" w:space="0" w:color="000000"/>
              <w:left w:val="single" w:sz="4" w:space="0" w:color="000000"/>
              <w:right w:val="single" w:sz="4" w:space="0" w:color="000000"/>
            </w:tcBorders>
            <w:shd w:val="clear" w:color="auto" w:fill="C6D9F1"/>
            <w:tcMar>
              <w:top w:w="0" w:type="dxa"/>
              <w:left w:w="0" w:type="dxa"/>
              <w:bottom w:w="0" w:type="dxa"/>
              <w:right w:w="0" w:type="dxa"/>
            </w:tcMar>
            <w:vAlign w:val="center"/>
          </w:tcPr>
          <w:p w:rsidR="002774CE" w:rsidRPr="002774CE" w:rsidRDefault="002774CE" w:rsidP="00745B49">
            <w:pPr>
              <w:autoSpaceDE w:val="0"/>
              <w:autoSpaceDN w:val="0"/>
              <w:adjustRightInd w:val="0"/>
              <w:ind w:left="90"/>
              <w:jc w:val="center"/>
              <w:rPr>
                <w:b/>
              </w:rPr>
            </w:pPr>
            <w:r w:rsidRPr="002774CE">
              <w:rPr>
                <w:b/>
              </w:rPr>
              <w:t>Exceed Increment?</w:t>
            </w:r>
          </w:p>
        </w:tc>
      </w:tr>
      <w:tr w:rsidR="002774CE" w:rsidRPr="00B55404" w:rsidTr="002774CE">
        <w:trPr>
          <w:cantSplit/>
          <w:trHeight w:val="20"/>
          <w:jc w:val="center"/>
        </w:trPr>
        <w:tc>
          <w:tcPr>
            <w:tcW w:w="108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ind w:left="90"/>
              <w:jc w:val="center"/>
              <w:rPr>
                <w:vertAlign w:val="subscript"/>
              </w:rPr>
            </w:pPr>
            <w:r w:rsidRPr="002774CE">
              <w:t>PM</w:t>
            </w:r>
            <w:r w:rsidRPr="002774CE">
              <w:rPr>
                <w:vertAlign w:val="subscript"/>
              </w:rPr>
              <w:t>10</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jc w:val="center"/>
            </w:pPr>
            <w:r w:rsidRPr="002774CE">
              <w:t>24-Hour</w:t>
            </w:r>
          </w:p>
        </w:tc>
        <w:tc>
          <w:tcPr>
            <w:tcW w:w="27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ind w:left="133"/>
              <w:jc w:val="center"/>
              <w:rPr>
                <w:vertAlign w:val="superscript"/>
              </w:rPr>
            </w:pPr>
            <w:r w:rsidRPr="002774CE">
              <w:t xml:space="preserve">1.29 </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ind w:left="180"/>
              <w:jc w:val="center"/>
            </w:pPr>
            <w:r w:rsidRPr="002774CE">
              <w:t>4.0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2774CE" w:rsidRPr="002774CE" w:rsidRDefault="002774CE" w:rsidP="00745B49">
            <w:pPr>
              <w:autoSpaceDE w:val="0"/>
              <w:autoSpaceDN w:val="0"/>
              <w:adjustRightInd w:val="0"/>
              <w:ind w:left="90"/>
              <w:jc w:val="center"/>
            </w:pPr>
            <w:r w:rsidRPr="002774CE">
              <w:t>32.3%</w:t>
            </w:r>
          </w:p>
        </w:tc>
        <w:tc>
          <w:tcPr>
            <w:tcW w:w="140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ind w:left="90"/>
              <w:jc w:val="center"/>
            </w:pPr>
            <w:r w:rsidRPr="002774CE">
              <w:t>No</w:t>
            </w:r>
          </w:p>
        </w:tc>
      </w:tr>
      <w:tr w:rsidR="002774CE" w:rsidRPr="00B55404" w:rsidTr="002774CE">
        <w:trPr>
          <w:cantSplit/>
          <w:trHeight w:val="20"/>
          <w:jc w:val="center"/>
        </w:trPr>
        <w:tc>
          <w:tcPr>
            <w:tcW w:w="108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ind w:left="90"/>
              <w:jc w:val="center"/>
            </w:pPr>
            <w:r w:rsidRPr="002774CE">
              <w:t>PM</w:t>
            </w:r>
            <w:r w:rsidRPr="002774CE">
              <w:rPr>
                <w:vertAlign w:val="subscript"/>
              </w:rPr>
              <w:t xml:space="preserve">2.5 </w:t>
            </w:r>
          </w:p>
        </w:tc>
        <w:tc>
          <w:tcPr>
            <w:tcW w:w="126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jc w:val="center"/>
            </w:pPr>
            <w:r w:rsidRPr="002774CE">
              <w:t>24-hour</w:t>
            </w:r>
          </w:p>
        </w:tc>
        <w:tc>
          <w:tcPr>
            <w:tcW w:w="27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ind w:left="133"/>
              <w:jc w:val="center"/>
            </w:pPr>
            <w:r w:rsidRPr="002774CE">
              <w:t>0.16</w:t>
            </w:r>
          </w:p>
        </w:tc>
        <w:tc>
          <w:tcPr>
            <w:tcW w:w="162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ind w:left="180"/>
              <w:jc w:val="center"/>
            </w:pPr>
            <w:r w:rsidRPr="002774CE">
              <w:t>2.0</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2774CE" w:rsidRPr="002774CE" w:rsidRDefault="002774CE" w:rsidP="00745B49">
            <w:pPr>
              <w:autoSpaceDE w:val="0"/>
              <w:autoSpaceDN w:val="0"/>
              <w:adjustRightInd w:val="0"/>
              <w:ind w:left="90"/>
              <w:jc w:val="center"/>
            </w:pPr>
            <w:r w:rsidRPr="002774CE">
              <w:t>8.0%</w:t>
            </w:r>
          </w:p>
        </w:tc>
        <w:tc>
          <w:tcPr>
            <w:tcW w:w="140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745B49">
            <w:pPr>
              <w:autoSpaceDE w:val="0"/>
              <w:autoSpaceDN w:val="0"/>
              <w:adjustRightInd w:val="0"/>
              <w:ind w:left="90"/>
              <w:jc w:val="center"/>
            </w:pPr>
            <w:r w:rsidRPr="002774CE">
              <w:t>No</w:t>
            </w:r>
          </w:p>
        </w:tc>
      </w:tr>
      <w:tr w:rsidR="002774CE" w:rsidRPr="00B55404" w:rsidTr="00745B49">
        <w:trPr>
          <w:cantSplit/>
          <w:trHeight w:val="293"/>
          <w:jc w:val="center"/>
        </w:trPr>
        <w:tc>
          <w:tcPr>
            <w:tcW w:w="9599" w:type="dxa"/>
            <w:gridSpan w:val="6"/>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rsidR="002774CE" w:rsidRPr="002774CE" w:rsidRDefault="002774CE" w:rsidP="00D60E10">
            <w:pPr>
              <w:pStyle w:val="ListParagraph"/>
              <w:numPr>
                <w:ilvl w:val="0"/>
                <w:numId w:val="33"/>
              </w:numPr>
              <w:tabs>
                <w:tab w:val="clear" w:pos="342"/>
                <w:tab w:val="left" w:pos="390"/>
              </w:tabs>
              <w:autoSpaceDE w:val="0"/>
              <w:autoSpaceDN w:val="0"/>
              <w:adjustRightInd w:val="0"/>
              <w:spacing w:line="276" w:lineRule="auto"/>
              <w:ind w:left="30"/>
              <w:rPr>
                <w:sz w:val="18"/>
                <w:szCs w:val="18"/>
              </w:rPr>
            </w:pPr>
            <w:r w:rsidRPr="002774CE">
              <w:rPr>
                <w:sz w:val="18"/>
                <w:szCs w:val="18"/>
              </w:rPr>
              <w:t>Concentration reported is the highest, second highest 5-year daily value, based on five turbines operating 8</w:t>
            </w:r>
            <w:r>
              <w:rPr>
                <w:sz w:val="18"/>
                <w:szCs w:val="18"/>
              </w:rPr>
              <w:t>,</w:t>
            </w:r>
            <w:r w:rsidRPr="002774CE">
              <w:rPr>
                <w:sz w:val="18"/>
                <w:szCs w:val="18"/>
              </w:rPr>
              <w:t>760 on ULSD oil</w:t>
            </w:r>
          </w:p>
        </w:tc>
      </w:tr>
    </w:tbl>
    <w:p w:rsidR="00F0501D" w:rsidRDefault="002774CE" w:rsidP="002774CE">
      <w:pPr>
        <w:widowControl w:val="0"/>
        <w:numPr>
          <w:ilvl w:val="2"/>
          <w:numId w:val="2"/>
        </w:numPr>
        <w:tabs>
          <w:tab w:val="left" w:pos="720"/>
        </w:tabs>
        <w:spacing w:before="120" w:after="120"/>
        <w:ind w:left="720" w:hanging="720"/>
        <w:rPr>
          <w:sz w:val="22"/>
          <w:szCs w:val="22"/>
        </w:rPr>
      </w:pPr>
      <w:r w:rsidRPr="002774CE">
        <w:rPr>
          <w:sz w:val="22"/>
          <w:szCs w:val="22"/>
          <w:u w:val="single"/>
        </w:rPr>
        <w:t xml:space="preserve">Ozone </w:t>
      </w:r>
      <w:r w:rsidRPr="002774CE">
        <w:rPr>
          <w:bCs/>
          <w:sz w:val="22"/>
          <w:szCs w:val="22"/>
          <w:u w:val="single"/>
        </w:rPr>
        <w:t>Analysis</w:t>
      </w:r>
    </w:p>
    <w:p w:rsidR="002774CE" w:rsidRPr="002774CE" w:rsidRDefault="002774CE" w:rsidP="002774CE">
      <w:pPr>
        <w:widowControl w:val="0"/>
        <w:tabs>
          <w:tab w:val="left" w:pos="720"/>
        </w:tabs>
        <w:spacing w:after="120"/>
        <w:rPr>
          <w:bCs/>
          <w:sz w:val="22"/>
          <w:szCs w:val="22"/>
        </w:rPr>
      </w:pPr>
      <w:r w:rsidRPr="002774CE">
        <w:rPr>
          <w:bCs/>
          <w:sz w:val="22"/>
          <w:szCs w:val="22"/>
        </w:rPr>
        <w:t>Projects with VOC or NO</w:t>
      </w:r>
      <w:r w:rsidR="00745B49">
        <w:rPr>
          <w:bCs/>
          <w:sz w:val="22"/>
          <w:szCs w:val="22"/>
          <w:vertAlign w:val="subscript"/>
        </w:rPr>
        <w:t>X</w:t>
      </w:r>
      <w:r w:rsidRPr="002774CE">
        <w:rPr>
          <w:bCs/>
          <w:sz w:val="22"/>
          <w:szCs w:val="22"/>
        </w:rPr>
        <w:t xml:space="preserve"> emissions greater than 100 TPY are required to perform an ambient air impact analysis for ozone including the gathering of pre-construction ambient air quality data.  The applicant estimated annual potential VOC and NO</w:t>
      </w:r>
      <w:r w:rsidR="00745B49">
        <w:rPr>
          <w:bCs/>
          <w:sz w:val="22"/>
          <w:szCs w:val="22"/>
          <w:vertAlign w:val="subscript"/>
        </w:rPr>
        <w:t>X</w:t>
      </w:r>
      <w:r w:rsidRPr="002774CE">
        <w:rPr>
          <w:bCs/>
          <w:sz w:val="22"/>
          <w:szCs w:val="22"/>
        </w:rPr>
        <w:t xml:space="preserve"> emissions from the project to be 69.9 and 749 TPY</w:t>
      </w:r>
      <w:r w:rsidR="00745B49">
        <w:rPr>
          <w:bCs/>
          <w:sz w:val="22"/>
          <w:szCs w:val="22"/>
        </w:rPr>
        <w:t>,</w:t>
      </w:r>
      <w:r w:rsidRPr="002774CE">
        <w:rPr>
          <w:bCs/>
          <w:sz w:val="22"/>
          <w:szCs w:val="22"/>
        </w:rPr>
        <w:t xml:space="preserve"> respectively</w:t>
      </w:r>
      <w:r w:rsidR="00745B49">
        <w:rPr>
          <w:bCs/>
          <w:sz w:val="22"/>
          <w:szCs w:val="22"/>
        </w:rPr>
        <w:t>,</w:t>
      </w:r>
      <w:r w:rsidRPr="002774CE">
        <w:rPr>
          <w:bCs/>
          <w:sz w:val="22"/>
          <w:szCs w:val="22"/>
        </w:rPr>
        <w:t xml:space="preserve"> and is therefore required to provide an ambient air impact analysis for ozone.</w:t>
      </w:r>
    </w:p>
    <w:p w:rsidR="00CB17AF" w:rsidRDefault="002774CE" w:rsidP="002774CE">
      <w:pPr>
        <w:widowControl w:val="0"/>
        <w:tabs>
          <w:tab w:val="left" w:pos="720"/>
        </w:tabs>
        <w:spacing w:after="120"/>
        <w:rPr>
          <w:bCs/>
          <w:sz w:val="22"/>
          <w:szCs w:val="22"/>
        </w:rPr>
      </w:pPr>
      <w:r w:rsidRPr="002774CE">
        <w:rPr>
          <w:bCs/>
          <w:sz w:val="22"/>
          <w:szCs w:val="22"/>
        </w:rPr>
        <w:t>Ozone site-specific modeling is not typically completed for single source permitting because of its complexity.  Ozone is a secondarily formed pollutant that is known to be caused by the regional emissions of VOC and NO</w:t>
      </w:r>
      <w:r w:rsidR="00745B49">
        <w:rPr>
          <w:bCs/>
          <w:sz w:val="22"/>
          <w:szCs w:val="22"/>
          <w:vertAlign w:val="subscript"/>
        </w:rPr>
        <w:t>X</w:t>
      </w:r>
      <w:r w:rsidRPr="002774CE">
        <w:rPr>
          <w:bCs/>
          <w:sz w:val="22"/>
          <w:szCs w:val="22"/>
          <w:vertAlign w:val="subscript"/>
        </w:rPr>
        <w:t xml:space="preserve"> </w:t>
      </w:r>
      <w:r w:rsidRPr="002774CE">
        <w:rPr>
          <w:bCs/>
          <w:sz w:val="22"/>
          <w:szCs w:val="22"/>
        </w:rPr>
        <w:t xml:space="preserve">in combination with meteorological conducive meteorological conditions (temperature, rainfall, solar radiation, </w:t>
      </w:r>
      <w:r w:rsidR="003F6091" w:rsidRPr="002774CE">
        <w:rPr>
          <w:bCs/>
          <w:sz w:val="22"/>
          <w:szCs w:val="22"/>
        </w:rPr>
        <w:t>etc.</w:t>
      </w:r>
      <w:r w:rsidRPr="002774CE">
        <w:rPr>
          <w:bCs/>
          <w:sz w:val="22"/>
          <w:szCs w:val="22"/>
        </w:rPr>
        <w:t>).  Despite significant increases in population and motor vehicle activity, ambient ozone air quality in Florida has improved over the last 5 years due to improvements in motor vehicle emissions rates.  Continued reductions in average motor fleet emissions would be expected to further improve ozone air quality.  In addition, implementation of CAIR has resulted in significant actual reductions in existing power plant NO</w:t>
      </w:r>
      <w:r w:rsidR="00745B49">
        <w:rPr>
          <w:bCs/>
          <w:sz w:val="22"/>
          <w:szCs w:val="22"/>
          <w:vertAlign w:val="subscript"/>
        </w:rPr>
        <w:t>X</w:t>
      </w:r>
      <w:r w:rsidRPr="002774CE">
        <w:rPr>
          <w:bCs/>
          <w:sz w:val="22"/>
          <w:szCs w:val="22"/>
        </w:rPr>
        <w:t xml:space="preserve"> emissions throughout Florida.  </w:t>
      </w:r>
    </w:p>
    <w:p w:rsidR="002774CE" w:rsidRPr="00745B49" w:rsidRDefault="00745B49" w:rsidP="00745B49">
      <w:pPr>
        <w:widowControl w:val="0"/>
        <w:numPr>
          <w:ilvl w:val="1"/>
          <w:numId w:val="2"/>
        </w:numPr>
        <w:tabs>
          <w:tab w:val="left" w:pos="720"/>
        </w:tabs>
        <w:spacing w:after="120"/>
        <w:ind w:left="720" w:hanging="720"/>
        <w:rPr>
          <w:sz w:val="22"/>
          <w:szCs w:val="22"/>
        </w:rPr>
      </w:pPr>
      <w:r w:rsidRPr="00745B49">
        <w:rPr>
          <w:rFonts w:ascii="Times New Roman Bold" w:hAnsi="Times New Roman Bold"/>
          <w:b/>
          <w:sz w:val="22"/>
          <w:szCs w:val="22"/>
        </w:rPr>
        <w:lastRenderedPageBreak/>
        <w:t>Additional Impacts Analysis</w:t>
      </w:r>
    </w:p>
    <w:p w:rsidR="00745B49" w:rsidRDefault="00745B49" w:rsidP="00745B49">
      <w:pPr>
        <w:widowControl w:val="0"/>
        <w:numPr>
          <w:ilvl w:val="2"/>
          <w:numId w:val="2"/>
        </w:numPr>
        <w:tabs>
          <w:tab w:val="left" w:pos="720"/>
        </w:tabs>
        <w:spacing w:after="120"/>
        <w:ind w:left="720" w:hanging="720"/>
        <w:rPr>
          <w:sz w:val="22"/>
          <w:szCs w:val="22"/>
        </w:rPr>
      </w:pPr>
      <w:r w:rsidRPr="00745B49">
        <w:rPr>
          <w:sz w:val="22"/>
          <w:szCs w:val="22"/>
          <w:u w:val="single"/>
        </w:rPr>
        <w:t>Growth-Related Impacts Due to the Proposed Project</w:t>
      </w:r>
    </w:p>
    <w:p w:rsidR="00745B49" w:rsidRPr="00745B49" w:rsidRDefault="00745B49" w:rsidP="00745B49">
      <w:pPr>
        <w:widowControl w:val="0"/>
        <w:tabs>
          <w:tab w:val="left" w:pos="720"/>
        </w:tabs>
        <w:spacing w:after="120"/>
        <w:rPr>
          <w:sz w:val="22"/>
          <w:szCs w:val="22"/>
        </w:rPr>
      </w:pPr>
      <w:r w:rsidRPr="00745B49">
        <w:rPr>
          <w:sz w:val="22"/>
          <w:szCs w:val="22"/>
        </w:rPr>
        <w:t xml:space="preserve">The impacts associated with the construction of the FTY project are expected to be minor. </w:t>
      </w:r>
      <w:r w:rsidR="003F6091">
        <w:rPr>
          <w:sz w:val="22"/>
          <w:szCs w:val="22"/>
        </w:rPr>
        <w:t xml:space="preserve"> </w:t>
      </w:r>
      <w:r w:rsidRPr="00745B49">
        <w:rPr>
          <w:sz w:val="22"/>
          <w:szCs w:val="22"/>
        </w:rPr>
        <w:t xml:space="preserve">Construction will occur over 18-24 months and will employ approximately 100 workers during that time frame. </w:t>
      </w:r>
      <w:r>
        <w:rPr>
          <w:sz w:val="22"/>
          <w:szCs w:val="22"/>
        </w:rPr>
        <w:t xml:space="preserve"> </w:t>
      </w:r>
      <w:r w:rsidRPr="00745B49">
        <w:rPr>
          <w:sz w:val="22"/>
          <w:szCs w:val="22"/>
        </w:rPr>
        <w:t>The impacts associated with the temporary increase in vehicular traffic are expected to be negligible.</w:t>
      </w:r>
      <w:r>
        <w:rPr>
          <w:sz w:val="22"/>
          <w:szCs w:val="22"/>
        </w:rPr>
        <w:t xml:space="preserve"> </w:t>
      </w:r>
      <w:r w:rsidRPr="00745B49">
        <w:rPr>
          <w:sz w:val="22"/>
          <w:szCs w:val="22"/>
        </w:rPr>
        <w:t xml:space="preserve"> No additional permanent employees will be hired. </w:t>
      </w:r>
    </w:p>
    <w:p w:rsidR="00745B49" w:rsidRPr="00745B49" w:rsidRDefault="00745B49" w:rsidP="00745B49">
      <w:pPr>
        <w:widowControl w:val="0"/>
        <w:tabs>
          <w:tab w:val="left" w:pos="720"/>
        </w:tabs>
        <w:spacing w:after="120"/>
        <w:rPr>
          <w:sz w:val="22"/>
          <w:szCs w:val="22"/>
        </w:rPr>
      </w:pPr>
      <w:r w:rsidRPr="00745B49">
        <w:rPr>
          <w:sz w:val="22"/>
          <w:szCs w:val="22"/>
        </w:rPr>
        <w:t>Existing infrastructure, both onsite and around the site, are sufficient to meet any support demands of the project.</w:t>
      </w:r>
      <w:r>
        <w:rPr>
          <w:sz w:val="22"/>
          <w:szCs w:val="22"/>
        </w:rPr>
        <w:t xml:space="preserve"> </w:t>
      </w:r>
      <w:r w:rsidRPr="00745B49">
        <w:rPr>
          <w:sz w:val="22"/>
          <w:szCs w:val="22"/>
        </w:rPr>
        <w:t xml:space="preserve"> The project itself is being undertaken to improve the efficiency of the Fort Lauderdale Plant and actually results in a slightly decreased capacity and significant improvement in air quality associated with the retirement of the older turbines; therefore, little to no secondary growth as a result of the project is expected. </w:t>
      </w:r>
    </w:p>
    <w:p w:rsidR="00745B49" w:rsidRDefault="00745B49" w:rsidP="00745B49">
      <w:pPr>
        <w:widowControl w:val="0"/>
        <w:numPr>
          <w:ilvl w:val="2"/>
          <w:numId w:val="2"/>
        </w:numPr>
        <w:tabs>
          <w:tab w:val="left" w:pos="720"/>
        </w:tabs>
        <w:spacing w:after="120"/>
        <w:ind w:left="720" w:hanging="720"/>
        <w:rPr>
          <w:sz w:val="22"/>
          <w:szCs w:val="22"/>
        </w:rPr>
      </w:pPr>
      <w:r w:rsidRPr="00745B49">
        <w:rPr>
          <w:sz w:val="22"/>
          <w:szCs w:val="22"/>
          <w:u w:val="single"/>
        </w:rPr>
        <w:t>Impact on Soils and Vegetation</w:t>
      </w:r>
    </w:p>
    <w:p w:rsidR="00745B49" w:rsidRDefault="00745B49" w:rsidP="00E26245">
      <w:pPr>
        <w:widowControl w:val="0"/>
        <w:tabs>
          <w:tab w:val="left" w:pos="720"/>
        </w:tabs>
        <w:spacing w:after="120"/>
        <w:rPr>
          <w:sz w:val="22"/>
          <w:szCs w:val="22"/>
        </w:rPr>
      </w:pPr>
      <w:r w:rsidRPr="00745B49">
        <w:rPr>
          <w:sz w:val="22"/>
          <w:szCs w:val="22"/>
        </w:rPr>
        <w:t>Emissions of pollutants have the potential to negatively affect soils and vegetation near the project site. To analyze these potential impacts, the applicant utilized a screening approach to compare the project’s maximum potential ambient concentrations of pollutants with effect threshold limits as reported in the scientific literature.</w:t>
      </w:r>
      <w:r>
        <w:rPr>
          <w:sz w:val="22"/>
          <w:szCs w:val="22"/>
        </w:rPr>
        <w:t xml:space="preserve"> </w:t>
      </w:r>
      <w:r w:rsidRPr="00745B49">
        <w:rPr>
          <w:sz w:val="22"/>
          <w:szCs w:val="22"/>
        </w:rPr>
        <w:t xml:space="preserve"> As previously mentioned, the project’s maximum potential air quality impacts are expected to be less than the NAAQS and PSD increments and thus the project’s impacts on soils and vegetation in the vicinity, including the ENP Class I area, are expected to be negligible.</w:t>
      </w:r>
    </w:p>
    <w:p w:rsidR="00745B49" w:rsidRDefault="00745B49" w:rsidP="00745B49">
      <w:pPr>
        <w:widowControl w:val="0"/>
        <w:numPr>
          <w:ilvl w:val="2"/>
          <w:numId w:val="2"/>
        </w:numPr>
        <w:tabs>
          <w:tab w:val="left" w:pos="720"/>
        </w:tabs>
        <w:spacing w:after="120"/>
        <w:ind w:left="720" w:hanging="720"/>
        <w:rPr>
          <w:sz w:val="22"/>
          <w:szCs w:val="22"/>
        </w:rPr>
      </w:pPr>
      <w:r w:rsidRPr="00745B49">
        <w:rPr>
          <w:sz w:val="22"/>
          <w:szCs w:val="22"/>
          <w:u w:val="single"/>
        </w:rPr>
        <w:t>Impact on Wildlife</w:t>
      </w:r>
    </w:p>
    <w:p w:rsidR="00745B49" w:rsidRDefault="00745B49" w:rsidP="00E26245">
      <w:pPr>
        <w:widowControl w:val="0"/>
        <w:tabs>
          <w:tab w:val="left" w:pos="720"/>
        </w:tabs>
        <w:spacing w:after="120"/>
        <w:rPr>
          <w:sz w:val="22"/>
          <w:szCs w:val="22"/>
        </w:rPr>
      </w:pPr>
      <w:r w:rsidRPr="00745B49">
        <w:rPr>
          <w:sz w:val="22"/>
          <w:szCs w:val="22"/>
        </w:rPr>
        <w:t>Impacts to wildlife in the vicinity of the project are expected to be negligible as well.</w:t>
      </w:r>
      <w:r>
        <w:rPr>
          <w:sz w:val="22"/>
          <w:szCs w:val="22"/>
        </w:rPr>
        <w:t xml:space="preserve"> </w:t>
      </w:r>
      <w:r w:rsidRPr="00745B49">
        <w:rPr>
          <w:sz w:val="22"/>
          <w:szCs w:val="22"/>
        </w:rPr>
        <w:t xml:space="preserve"> Conservative estimates of the project’s pollutant emissions are expected to be below the applicable NAAQS and PSD increments.</w:t>
      </w:r>
    </w:p>
    <w:p w:rsidR="00745B49" w:rsidRDefault="00745B49" w:rsidP="00745B49">
      <w:pPr>
        <w:widowControl w:val="0"/>
        <w:numPr>
          <w:ilvl w:val="2"/>
          <w:numId w:val="2"/>
        </w:numPr>
        <w:tabs>
          <w:tab w:val="left" w:pos="720"/>
        </w:tabs>
        <w:spacing w:after="120"/>
        <w:ind w:left="720" w:hanging="720"/>
        <w:rPr>
          <w:sz w:val="22"/>
          <w:szCs w:val="22"/>
        </w:rPr>
      </w:pPr>
      <w:r w:rsidRPr="00745B49">
        <w:rPr>
          <w:sz w:val="22"/>
          <w:szCs w:val="22"/>
          <w:u w:val="single"/>
        </w:rPr>
        <w:t>Class I Area Impacts- Air Quality Related Values (AQRV)</w:t>
      </w:r>
    </w:p>
    <w:p w:rsidR="00745B49" w:rsidRPr="00745B49" w:rsidRDefault="00745B49" w:rsidP="00745B49">
      <w:pPr>
        <w:widowControl w:val="0"/>
        <w:tabs>
          <w:tab w:val="left" w:pos="720"/>
        </w:tabs>
        <w:spacing w:after="120"/>
        <w:rPr>
          <w:sz w:val="22"/>
          <w:szCs w:val="22"/>
        </w:rPr>
      </w:pPr>
      <w:r w:rsidRPr="00745B49">
        <w:rPr>
          <w:sz w:val="22"/>
          <w:szCs w:val="22"/>
        </w:rPr>
        <w:t xml:space="preserve">According to the U.S. Department of the Interior, an AQRV is defined as “all those values possessed by an area except those that are not affected by changes in air quality and include all those assets of an area whose vitality, significance, or integrity is dependent in some way upon the air environment.” </w:t>
      </w:r>
      <w:r>
        <w:rPr>
          <w:sz w:val="22"/>
          <w:szCs w:val="22"/>
        </w:rPr>
        <w:t xml:space="preserve"> </w:t>
      </w:r>
      <w:r w:rsidRPr="00745B49">
        <w:rPr>
          <w:sz w:val="22"/>
          <w:szCs w:val="22"/>
        </w:rPr>
        <w:t>An analysis of a project’s impacts on AQRV in Class 1 areas is required as part of an application for an air construction permit.</w:t>
      </w:r>
    </w:p>
    <w:p w:rsidR="00745B49" w:rsidRPr="00745B49" w:rsidRDefault="00745B49" w:rsidP="00745B49">
      <w:pPr>
        <w:widowControl w:val="0"/>
        <w:tabs>
          <w:tab w:val="left" w:pos="720"/>
        </w:tabs>
        <w:spacing w:after="120"/>
        <w:rPr>
          <w:sz w:val="22"/>
          <w:szCs w:val="22"/>
        </w:rPr>
      </w:pPr>
      <w:r w:rsidRPr="00745B49">
        <w:rPr>
          <w:sz w:val="22"/>
          <w:szCs w:val="22"/>
        </w:rPr>
        <w:t xml:space="preserve">In October 2010, the Federal Land Managers (FLMs), consisting of the National Park Service, U.S. Forest Service, and U.S. Fish and Wildlife Service, issued the Federal Land Managers’ Air Quality Related Values Work Group (FLAG), Phase I Report- Revised (2010).  Based on the report, the FLM recommended initial screening criteria that would exempt a source from AQRV impact review based on a source’s annual emissions and distance from a Class I area.  </w:t>
      </w:r>
    </w:p>
    <w:p w:rsidR="00745B49" w:rsidRDefault="00745B49" w:rsidP="00745B49">
      <w:pPr>
        <w:widowControl w:val="0"/>
        <w:tabs>
          <w:tab w:val="left" w:pos="720"/>
        </w:tabs>
        <w:spacing w:after="120"/>
        <w:rPr>
          <w:sz w:val="22"/>
          <w:szCs w:val="22"/>
        </w:rPr>
      </w:pPr>
      <w:r w:rsidRPr="00745B49">
        <w:rPr>
          <w:sz w:val="22"/>
          <w:szCs w:val="22"/>
        </w:rPr>
        <w:t>The FLM will consider a source located greater than 50 km from a Class I area (the ENP is located between 48.2 and 150 km away) to have negligible impacts with respect to Class I AQRV if its total SO</w:t>
      </w:r>
      <w:r w:rsidRPr="00745B49">
        <w:rPr>
          <w:sz w:val="22"/>
          <w:szCs w:val="22"/>
          <w:vertAlign w:val="subscript"/>
        </w:rPr>
        <w:t>2</w:t>
      </w:r>
      <w:r w:rsidRPr="00745B49">
        <w:rPr>
          <w:sz w:val="22"/>
          <w:szCs w:val="22"/>
        </w:rPr>
        <w:t>, NO</w:t>
      </w:r>
      <w:r>
        <w:rPr>
          <w:sz w:val="22"/>
          <w:szCs w:val="22"/>
          <w:vertAlign w:val="subscript"/>
        </w:rPr>
        <w:t>X</w:t>
      </w:r>
      <w:r w:rsidRPr="00745B49">
        <w:rPr>
          <w:sz w:val="22"/>
          <w:szCs w:val="22"/>
        </w:rPr>
        <w:t>, PM</w:t>
      </w:r>
      <w:r w:rsidRPr="00745B49">
        <w:rPr>
          <w:sz w:val="22"/>
          <w:szCs w:val="22"/>
          <w:vertAlign w:val="subscript"/>
        </w:rPr>
        <w:t>10</w:t>
      </w:r>
      <w:r w:rsidRPr="00745B49">
        <w:rPr>
          <w:sz w:val="22"/>
          <w:szCs w:val="22"/>
        </w:rPr>
        <w:t xml:space="preserve">, and sulfuric acid mist (SAM) annual emissions in TPY (based on 24-hour maximum allowable emissions), divided by the distance (km) from the Class I area (Q/D) is 10 or less.  The FLM would not request any further Class I AQRV impact analyses from such sources. </w:t>
      </w:r>
      <w:r>
        <w:rPr>
          <w:sz w:val="22"/>
          <w:szCs w:val="22"/>
        </w:rPr>
        <w:t xml:space="preserve"> </w:t>
      </w:r>
      <w:r w:rsidRPr="00745B49">
        <w:rPr>
          <w:sz w:val="22"/>
          <w:szCs w:val="22"/>
        </w:rPr>
        <w:t>However, as shown in</w:t>
      </w:r>
      <w:r w:rsidR="003F6091">
        <w:rPr>
          <w:sz w:val="22"/>
          <w:szCs w:val="22"/>
        </w:rPr>
        <w:t xml:space="preserve"> </w:t>
      </w:r>
      <w:r w:rsidR="003F6091" w:rsidRPr="003F6091">
        <w:rPr>
          <w:b/>
          <w:sz w:val="22"/>
          <w:szCs w:val="22"/>
        </w:rPr>
        <w:fldChar w:fldCharType="begin"/>
      </w:r>
      <w:r w:rsidR="003F6091" w:rsidRPr="003F6091">
        <w:rPr>
          <w:b/>
          <w:sz w:val="22"/>
          <w:szCs w:val="22"/>
        </w:rPr>
        <w:instrText xml:space="preserve"> REF _Ref372031389 \h  \* MERGEFORMAT </w:instrText>
      </w:r>
      <w:r w:rsidR="003F6091" w:rsidRPr="003F6091">
        <w:rPr>
          <w:b/>
          <w:sz w:val="22"/>
          <w:szCs w:val="22"/>
        </w:rPr>
      </w:r>
      <w:r w:rsidR="003F6091" w:rsidRPr="003F6091">
        <w:rPr>
          <w:b/>
          <w:sz w:val="22"/>
          <w:szCs w:val="22"/>
        </w:rPr>
        <w:fldChar w:fldCharType="separate"/>
      </w:r>
      <w:r w:rsidR="007F3589" w:rsidRPr="007F3589">
        <w:rPr>
          <w:b/>
          <w:sz w:val="22"/>
          <w:szCs w:val="22"/>
        </w:rPr>
        <w:t xml:space="preserve">Table </w:t>
      </w:r>
      <w:r w:rsidR="007F3589" w:rsidRPr="007F3589">
        <w:rPr>
          <w:b/>
          <w:noProof/>
          <w:sz w:val="22"/>
          <w:szCs w:val="22"/>
        </w:rPr>
        <w:t>25</w:t>
      </w:r>
      <w:r w:rsidR="003F6091" w:rsidRPr="003F6091">
        <w:rPr>
          <w:b/>
          <w:sz w:val="22"/>
          <w:szCs w:val="22"/>
        </w:rPr>
        <w:fldChar w:fldCharType="end"/>
      </w:r>
      <w:r w:rsidRPr="00745B49">
        <w:rPr>
          <w:sz w:val="22"/>
          <w:szCs w:val="22"/>
        </w:rPr>
        <w:t>, the Q/D value for the ENP is more than the screening criterion; therefore, additional analysis is required to assess visibility impairment and acid deposition at ENP</w:t>
      </w:r>
    </w:p>
    <w:p w:rsidR="00745B49" w:rsidRDefault="00745B49" w:rsidP="00745B49">
      <w:pPr>
        <w:pStyle w:val="Caption"/>
        <w:spacing w:before="0"/>
        <w:jc w:val="center"/>
        <w:rPr>
          <w:szCs w:val="22"/>
        </w:rPr>
      </w:pPr>
      <w:bookmarkStart w:id="52" w:name="_Ref372031389"/>
      <w:r>
        <w:t xml:space="preserve">Table </w:t>
      </w:r>
      <w:fldSimple w:instr=" SEQ Table \* ARABIC ">
        <w:r w:rsidR="007F3589">
          <w:rPr>
            <w:noProof/>
          </w:rPr>
          <w:t>25</w:t>
        </w:r>
      </w:fldSimple>
      <w:bookmarkEnd w:id="52"/>
      <w:r w:rsidRPr="009B1D4A">
        <w:rPr>
          <w:szCs w:val="22"/>
        </w:rPr>
        <w:t xml:space="preserve"> –</w:t>
      </w:r>
      <w:r>
        <w:rPr>
          <w:szCs w:val="22"/>
        </w:rPr>
        <w:t xml:space="preserve"> </w:t>
      </w:r>
      <w:r w:rsidRPr="00745B49">
        <w:rPr>
          <w:szCs w:val="22"/>
        </w:rPr>
        <w:t>FLAG Guidance Screening Analysis</w:t>
      </w:r>
      <w:r>
        <w:rPr>
          <w:szCs w:val="22"/>
        </w:rPr>
        <w:t>.</w:t>
      </w:r>
    </w:p>
    <w:tbl>
      <w:tblPr>
        <w:tblW w:w="91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173"/>
        <w:gridCol w:w="1174"/>
        <w:gridCol w:w="1173"/>
        <w:gridCol w:w="1174"/>
        <w:gridCol w:w="976"/>
      </w:tblGrid>
      <w:tr w:rsidR="00745B49" w:rsidRPr="00D12310" w:rsidTr="002E7738">
        <w:trPr>
          <w:trHeight w:val="20"/>
        </w:trPr>
        <w:tc>
          <w:tcPr>
            <w:tcW w:w="3477" w:type="dxa"/>
            <w:tcBorders>
              <w:top w:val="single" w:sz="12" w:space="0" w:color="auto"/>
              <w:left w:val="single" w:sz="12" w:space="0" w:color="auto"/>
              <w:bottom w:val="single" w:sz="8" w:space="0" w:color="auto"/>
              <w:right w:val="single" w:sz="12" w:space="0" w:color="auto"/>
            </w:tcBorders>
            <w:shd w:val="clear" w:color="auto" w:fill="C6D9F1"/>
          </w:tcPr>
          <w:p w:rsidR="00745B49" w:rsidRPr="00745B49" w:rsidRDefault="00745B49" w:rsidP="00745B49">
            <w:pPr>
              <w:spacing w:before="20" w:after="20"/>
            </w:pPr>
            <w:r w:rsidRPr="00745B49">
              <w:t>Pollutant</w:t>
            </w:r>
          </w:p>
        </w:tc>
        <w:tc>
          <w:tcPr>
            <w:tcW w:w="1173" w:type="dxa"/>
            <w:tcBorders>
              <w:top w:val="single" w:sz="12" w:space="0" w:color="auto"/>
              <w:left w:val="single" w:sz="12" w:space="0" w:color="auto"/>
              <w:bottom w:val="single" w:sz="8" w:space="0" w:color="auto"/>
              <w:right w:val="single" w:sz="8" w:space="0" w:color="auto"/>
            </w:tcBorders>
            <w:shd w:val="clear" w:color="auto" w:fill="C6D9F1"/>
            <w:vAlign w:val="center"/>
          </w:tcPr>
          <w:p w:rsidR="00745B49" w:rsidRPr="00745B49" w:rsidRDefault="00745B49" w:rsidP="00745B49">
            <w:pPr>
              <w:spacing w:before="20" w:after="20"/>
              <w:jc w:val="center"/>
            </w:pPr>
            <w:r w:rsidRPr="00745B49">
              <w:t>SO</w:t>
            </w:r>
            <w:r w:rsidRPr="00745B49">
              <w:rPr>
                <w:vertAlign w:val="subscript"/>
              </w:rPr>
              <w:t>2</w:t>
            </w:r>
          </w:p>
        </w:tc>
        <w:tc>
          <w:tcPr>
            <w:tcW w:w="1174" w:type="dxa"/>
            <w:tcBorders>
              <w:top w:val="single" w:sz="12" w:space="0" w:color="auto"/>
              <w:left w:val="single" w:sz="8" w:space="0" w:color="auto"/>
              <w:bottom w:val="single" w:sz="8" w:space="0" w:color="auto"/>
              <w:right w:val="single" w:sz="8" w:space="0" w:color="auto"/>
            </w:tcBorders>
            <w:shd w:val="clear" w:color="auto" w:fill="C6D9F1"/>
            <w:vAlign w:val="center"/>
          </w:tcPr>
          <w:p w:rsidR="00745B49" w:rsidRPr="00745B49" w:rsidRDefault="00745B49" w:rsidP="0080724D">
            <w:pPr>
              <w:spacing w:before="20" w:after="20"/>
              <w:jc w:val="center"/>
            </w:pPr>
            <w:r w:rsidRPr="00745B49">
              <w:t>NO</w:t>
            </w:r>
            <w:r w:rsidR="0080724D">
              <w:rPr>
                <w:vertAlign w:val="subscript"/>
              </w:rPr>
              <w:t>X</w:t>
            </w:r>
            <w:r w:rsidRPr="00745B49">
              <w:t xml:space="preserve"> </w:t>
            </w:r>
          </w:p>
        </w:tc>
        <w:tc>
          <w:tcPr>
            <w:tcW w:w="1173" w:type="dxa"/>
            <w:tcBorders>
              <w:top w:val="single" w:sz="12" w:space="0" w:color="auto"/>
              <w:left w:val="single" w:sz="8" w:space="0" w:color="auto"/>
              <w:bottom w:val="single" w:sz="8" w:space="0" w:color="auto"/>
              <w:right w:val="single" w:sz="8" w:space="0" w:color="auto"/>
            </w:tcBorders>
            <w:shd w:val="clear" w:color="auto" w:fill="C6D9F1"/>
            <w:vAlign w:val="center"/>
          </w:tcPr>
          <w:p w:rsidR="00745B49" w:rsidRPr="00745B49" w:rsidRDefault="00745B49" w:rsidP="00745B49">
            <w:pPr>
              <w:spacing w:before="20" w:after="20"/>
              <w:jc w:val="center"/>
            </w:pPr>
            <w:r w:rsidRPr="00745B49">
              <w:t>SAM</w:t>
            </w:r>
          </w:p>
        </w:tc>
        <w:tc>
          <w:tcPr>
            <w:tcW w:w="1174" w:type="dxa"/>
            <w:tcBorders>
              <w:top w:val="single" w:sz="12" w:space="0" w:color="auto"/>
              <w:left w:val="single" w:sz="8" w:space="0" w:color="auto"/>
              <w:bottom w:val="single" w:sz="8" w:space="0" w:color="auto"/>
              <w:right w:val="single" w:sz="8" w:space="0" w:color="auto"/>
            </w:tcBorders>
            <w:shd w:val="clear" w:color="auto" w:fill="C6D9F1"/>
            <w:vAlign w:val="center"/>
          </w:tcPr>
          <w:p w:rsidR="00745B49" w:rsidRPr="00745B49" w:rsidRDefault="00745B49" w:rsidP="00745B49">
            <w:pPr>
              <w:spacing w:before="20" w:after="20"/>
              <w:jc w:val="center"/>
            </w:pPr>
            <w:r w:rsidRPr="00745B49">
              <w:t>PM</w:t>
            </w:r>
            <w:r w:rsidRPr="00745B49">
              <w:rPr>
                <w:vertAlign w:val="subscript"/>
              </w:rPr>
              <w:t>10</w:t>
            </w:r>
          </w:p>
        </w:tc>
        <w:tc>
          <w:tcPr>
            <w:tcW w:w="976" w:type="dxa"/>
            <w:tcBorders>
              <w:top w:val="single" w:sz="12" w:space="0" w:color="auto"/>
              <w:left w:val="single" w:sz="8" w:space="0" w:color="auto"/>
              <w:bottom w:val="single" w:sz="8" w:space="0" w:color="auto"/>
              <w:right w:val="single" w:sz="12" w:space="0" w:color="auto"/>
            </w:tcBorders>
            <w:shd w:val="clear" w:color="auto" w:fill="C6D9F1"/>
            <w:vAlign w:val="center"/>
          </w:tcPr>
          <w:p w:rsidR="00745B49" w:rsidRPr="00745B49" w:rsidRDefault="00745B49" w:rsidP="00745B49">
            <w:pPr>
              <w:spacing w:before="20" w:after="20"/>
              <w:jc w:val="center"/>
            </w:pPr>
            <w:r w:rsidRPr="00745B49">
              <w:t>Total</w:t>
            </w:r>
          </w:p>
        </w:tc>
      </w:tr>
      <w:tr w:rsidR="00745B49" w:rsidRPr="00D12310" w:rsidTr="002E7738">
        <w:trPr>
          <w:trHeight w:val="20"/>
        </w:trPr>
        <w:tc>
          <w:tcPr>
            <w:tcW w:w="3477" w:type="dxa"/>
            <w:tcBorders>
              <w:top w:val="single" w:sz="8" w:space="0" w:color="auto"/>
              <w:left w:val="single" w:sz="12" w:space="0" w:color="auto"/>
              <w:bottom w:val="single" w:sz="8" w:space="0" w:color="auto"/>
              <w:right w:val="single" w:sz="12" w:space="0" w:color="auto"/>
            </w:tcBorders>
            <w:shd w:val="clear" w:color="auto" w:fill="C6D9F1"/>
          </w:tcPr>
          <w:p w:rsidR="00745B49" w:rsidRPr="00745B49" w:rsidRDefault="00745B49" w:rsidP="00745B49">
            <w:pPr>
              <w:spacing w:before="20" w:after="20"/>
            </w:pPr>
            <w:r w:rsidRPr="00745B49">
              <w:t>Potential Emissions (Q) (TPY)</w:t>
            </w:r>
          </w:p>
        </w:tc>
        <w:tc>
          <w:tcPr>
            <w:tcW w:w="1173" w:type="dxa"/>
            <w:tcBorders>
              <w:top w:val="single" w:sz="8" w:space="0" w:color="auto"/>
              <w:left w:val="single" w:sz="12" w:space="0" w:color="auto"/>
              <w:bottom w:val="single" w:sz="12" w:space="0" w:color="auto"/>
              <w:right w:val="single" w:sz="8" w:space="0" w:color="auto"/>
            </w:tcBorders>
            <w:shd w:val="clear" w:color="auto" w:fill="auto"/>
            <w:vAlign w:val="center"/>
          </w:tcPr>
          <w:p w:rsidR="00745B49" w:rsidRPr="00745B49" w:rsidRDefault="00745B49" w:rsidP="00745B49">
            <w:pPr>
              <w:spacing w:before="20" w:after="20"/>
              <w:jc w:val="center"/>
            </w:pPr>
            <w:r w:rsidRPr="00745B49">
              <w:t>109</w:t>
            </w:r>
          </w:p>
        </w:tc>
        <w:tc>
          <w:tcPr>
            <w:tcW w:w="1174" w:type="dxa"/>
            <w:tcBorders>
              <w:top w:val="single" w:sz="8" w:space="0" w:color="auto"/>
              <w:left w:val="single" w:sz="8" w:space="0" w:color="auto"/>
              <w:bottom w:val="single" w:sz="12" w:space="0" w:color="auto"/>
              <w:right w:val="single" w:sz="8" w:space="0" w:color="auto"/>
            </w:tcBorders>
            <w:shd w:val="clear" w:color="auto" w:fill="auto"/>
            <w:vAlign w:val="center"/>
          </w:tcPr>
          <w:p w:rsidR="00745B49" w:rsidRPr="00745B49" w:rsidRDefault="00745B49" w:rsidP="00745B49">
            <w:pPr>
              <w:spacing w:before="20" w:after="20"/>
              <w:jc w:val="center"/>
            </w:pPr>
            <w:r w:rsidRPr="00745B49">
              <w:t>1041</w:t>
            </w:r>
          </w:p>
        </w:tc>
        <w:tc>
          <w:tcPr>
            <w:tcW w:w="1173" w:type="dxa"/>
            <w:tcBorders>
              <w:top w:val="single" w:sz="8" w:space="0" w:color="auto"/>
              <w:left w:val="single" w:sz="8" w:space="0" w:color="auto"/>
              <w:bottom w:val="single" w:sz="12" w:space="0" w:color="auto"/>
              <w:right w:val="single" w:sz="8" w:space="0" w:color="auto"/>
            </w:tcBorders>
            <w:shd w:val="clear" w:color="auto" w:fill="auto"/>
            <w:vAlign w:val="center"/>
          </w:tcPr>
          <w:p w:rsidR="00745B49" w:rsidRPr="00745B49" w:rsidRDefault="00745B49" w:rsidP="00745B49">
            <w:pPr>
              <w:spacing w:before="20" w:after="20"/>
              <w:jc w:val="center"/>
            </w:pPr>
            <w:r w:rsidRPr="00745B49">
              <w:t>11</w:t>
            </w:r>
          </w:p>
        </w:tc>
        <w:tc>
          <w:tcPr>
            <w:tcW w:w="1174" w:type="dxa"/>
            <w:tcBorders>
              <w:top w:val="single" w:sz="8" w:space="0" w:color="auto"/>
              <w:left w:val="single" w:sz="8" w:space="0" w:color="auto"/>
              <w:bottom w:val="single" w:sz="12" w:space="0" w:color="auto"/>
              <w:right w:val="single" w:sz="8" w:space="0" w:color="auto"/>
            </w:tcBorders>
            <w:shd w:val="clear" w:color="auto" w:fill="auto"/>
            <w:vAlign w:val="center"/>
          </w:tcPr>
          <w:p w:rsidR="00745B49" w:rsidRPr="00745B49" w:rsidRDefault="00745B49" w:rsidP="00745B49">
            <w:pPr>
              <w:spacing w:before="20" w:after="20"/>
              <w:jc w:val="center"/>
            </w:pPr>
            <w:r w:rsidRPr="00745B49">
              <w:t>137</w:t>
            </w:r>
          </w:p>
        </w:tc>
        <w:tc>
          <w:tcPr>
            <w:tcW w:w="976" w:type="dxa"/>
            <w:tcBorders>
              <w:top w:val="single" w:sz="8" w:space="0" w:color="auto"/>
              <w:left w:val="single" w:sz="8" w:space="0" w:color="auto"/>
              <w:bottom w:val="single" w:sz="12" w:space="0" w:color="auto"/>
              <w:right w:val="single" w:sz="12" w:space="0" w:color="auto"/>
            </w:tcBorders>
            <w:shd w:val="clear" w:color="auto" w:fill="auto"/>
            <w:vAlign w:val="center"/>
          </w:tcPr>
          <w:p w:rsidR="00745B49" w:rsidRPr="00745B49" w:rsidRDefault="00745B49" w:rsidP="00745B49">
            <w:pPr>
              <w:spacing w:before="20" w:after="20"/>
              <w:jc w:val="center"/>
            </w:pPr>
            <w:r w:rsidRPr="00745B49">
              <w:t>1298</w:t>
            </w:r>
          </w:p>
        </w:tc>
      </w:tr>
      <w:tr w:rsidR="00745B49" w:rsidRPr="00D12310" w:rsidTr="002E7738">
        <w:trPr>
          <w:trHeight w:val="20"/>
        </w:trPr>
        <w:tc>
          <w:tcPr>
            <w:tcW w:w="3477" w:type="dxa"/>
            <w:tcBorders>
              <w:top w:val="single" w:sz="8" w:space="0" w:color="auto"/>
              <w:left w:val="single" w:sz="12" w:space="0" w:color="auto"/>
              <w:bottom w:val="single" w:sz="8" w:space="0" w:color="auto"/>
              <w:right w:val="single" w:sz="12" w:space="0" w:color="auto"/>
            </w:tcBorders>
            <w:shd w:val="clear" w:color="auto" w:fill="C6D9F1"/>
          </w:tcPr>
          <w:p w:rsidR="00745B49" w:rsidRPr="00745B49" w:rsidRDefault="00745B49" w:rsidP="00745B49">
            <w:pPr>
              <w:spacing w:before="20" w:after="20"/>
            </w:pPr>
            <w:r w:rsidRPr="00745B49">
              <w:t>Class I area</w:t>
            </w:r>
          </w:p>
        </w:tc>
        <w:tc>
          <w:tcPr>
            <w:tcW w:w="5670" w:type="dxa"/>
            <w:gridSpan w:val="5"/>
            <w:tcBorders>
              <w:top w:val="single" w:sz="12" w:space="0" w:color="auto"/>
              <w:left w:val="single" w:sz="12" w:space="0" w:color="auto"/>
              <w:bottom w:val="single" w:sz="8" w:space="0" w:color="auto"/>
              <w:right w:val="single" w:sz="12" w:space="0" w:color="auto"/>
            </w:tcBorders>
            <w:shd w:val="clear" w:color="auto" w:fill="auto"/>
          </w:tcPr>
          <w:p w:rsidR="00745B49" w:rsidRPr="00745B49" w:rsidRDefault="00745B49" w:rsidP="00745B49">
            <w:pPr>
              <w:spacing w:before="20" w:after="20"/>
              <w:jc w:val="center"/>
            </w:pPr>
            <w:r w:rsidRPr="00745B49">
              <w:t>Everglades National Park</w:t>
            </w:r>
          </w:p>
        </w:tc>
      </w:tr>
      <w:tr w:rsidR="00745B49" w:rsidRPr="00D12310" w:rsidTr="002E7738">
        <w:trPr>
          <w:trHeight w:val="20"/>
        </w:trPr>
        <w:tc>
          <w:tcPr>
            <w:tcW w:w="3477" w:type="dxa"/>
            <w:tcBorders>
              <w:top w:val="single" w:sz="8" w:space="0" w:color="auto"/>
              <w:left w:val="single" w:sz="12" w:space="0" w:color="auto"/>
              <w:bottom w:val="single" w:sz="8" w:space="0" w:color="auto"/>
              <w:right w:val="single" w:sz="12" w:space="0" w:color="auto"/>
            </w:tcBorders>
            <w:shd w:val="clear" w:color="auto" w:fill="C6D9F1"/>
          </w:tcPr>
          <w:p w:rsidR="00745B49" w:rsidRPr="00745B49" w:rsidRDefault="00745B49" w:rsidP="00745B49">
            <w:pPr>
              <w:spacing w:before="20" w:after="20"/>
            </w:pPr>
            <w:r w:rsidRPr="00745B49">
              <w:t>Minimum Distance (D) (km)</w:t>
            </w:r>
          </w:p>
        </w:tc>
        <w:tc>
          <w:tcPr>
            <w:tcW w:w="5670" w:type="dxa"/>
            <w:gridSpan w:val="5"/>
            <w:tcBorders>
              <w:top w:val="single" w:sz="8" w:space="0" w:color="auto"/>
              <w:left w:val="single" w:sz="12" w:space="0" w:color="auto"/>
              <w:bottom w:val="single" w:sz="8" w:space="0" w:color="auto"/>
              <w:right w:val="single" w:sz="12" w:space="0" w:color="auto"/>
            </w:tcBorders>
            <w:shd w:val="clear" w:color="auto" w:fill="auto"/>
          </w:tcPr>
          <w:p w:rsidR="00745B49" w:rsidRPr="00745B49" w:rsidRDefault="00745B49" w:rsidP="00745B49">
            <w:pPr>
              <w:spacing w:before="20" w:after="20"/>
              <w:jc w:val="center"/>
            </w:pPr>
            <w:r w:rsidRPr="00745B49">
              <w:t>48.2</w:t>
            </w:r>
          </w:p>
        </w:tc>
      </w:tr>
      <w:tr w:rsidR="00745B49" w:rsidRPr="00D12310" w:rsidTr="002E7738">
        <w:trPr>
          <w:trHeight w:val="20"/>
        </w:trPr>
        <w:tc>
          <w:tcPr>
            <w:tcW w:w="3477" w:type="dxa"/>
            <w:tcBorders>
              <w:top w:val="single" w:sz="8" w:space="0" w:color="auto"/>
              <w:left w:val="single" w:sz="12" w:space="0" w:color="auto"/>
              <w:bottom w:val="single" w:sz="8" w:space="0" w:color="auto"/>
              <w:right w:val="single" w:sz="12" w:space="0" w:color="auto"/>
            </w:tcBorders>
            <w:shd w:val="clear" w:color="auto" w:fill="C6D9F1"/>
          </w:tcPr>
          <w:p w:rsidR="00745B49" w:rsidRPr="00745B49" w:rsidRDefault="00745B49" w:rsidP="00745B49">
            <w:pPr>
              <w:spacing w:before="20" w:after="20"/>
            </w:pPr>
            <w:r w:rsidRPr="00745B49">
              <w:lastRenderedPageBreak/>
              <w:t>FLAG screening ratio (Q/D)  (TPY/km)</w:t>
            </w:r>
          </w:p>
        </w:tc>
        <w:tc>
          <w:tcPr>
            <w:tcW w:w="5670" w:type="dxa"/>
            <w:gridSpan w:val="5"/>
            <w:tcBorders>
              <w:top w:val="single" w:sz="8" w:space="0" w:color="auto"/>
              <w:left w:val="single" w:sz="12" w:space="0" w:color="auto"/>
              <w:bottom w:val="single" w:sz="8" w:space="0" w:color="auto"/>
              <w:right w:val="single" w:sz="12" w:space="0" w:color="auto"/>
            </w:tcBorders>
            <w:shd w:val="clear" w:color="auto" w:fill="auto"/>
          </w:tcPr>
          <w:p w:rsidR="00745B49" w:rsidRPr="00745B49" w:rsidRDefault="00745B49" w:rsidP="00745B49">
            <w:pPr>
              <w:spacing w:before="20" w:after="20"/>
              <w:jc w:val="center"/>
            </w:pPr>
            <w:r w:rsidRPr="00745B49">
              <w:t>26.9</w:t>
            </w:r>
          </w:p>
        </w:tc>
      </w:tr>
      <w:tr w:rsidR="00745B49" w:rsidRPr="00D12310" w:rsidTr="002E7738">
        <w:trPr>
          <w:trHeight w:val="20"/>
        </w:trPr>
        <w:tc>
          <w:tcPr>
            <w:tcW w:w="3477" w:type="dxa"/>
            <w:tcBorders>
              <w:top w:val="single" w:sz="8" w:space="0" w:color="auto"/>
              <w:left w:val="single" w:sz="12" w:space="0" w:color="auto"/>
              <w:bottom w:val="single" w:sz="12" w:space="0" w:color="auto"/>
              <w:right w:val="single" w:sz="12" w:space="0" w:color="auto"/>
            </w:tcBorders>
            <w:shd w:val="clear" w:color="auto" w:fill="C6D9F1"/>
          </w:tcPr>
          <w:p w:rsidR="00745B49" w:rsidRPr="00745B49" w:rsidRDefault="00745B49" w:rsidP="00745B49">
            <w:pPr>
              <w:spacing w:before="20" w:after="20"/>
            </w:pPr>
            <w:r w:rsidRPr="00745B49">
              <w:t>Greater than FLAG guidance (10)?</w:t>
            </w:r>
          </w:p>
        </w:tc>
        <w:tc>
          <w:tcPr>
            <w:tcW w:w="5670" w:type="dxa"/>
            <w:gridSpan w:val="5"/>
            <w:tcBorders>
              <w:top w:val="single" w:sz="8" w:space="0" w:color="auto"/>
              <w:left w:val="single" w:sz="12" w:space="0" w:color="auto"/>
              <w:bottom w:val="single" w:sz="12" w:space="0" w:color="auto"/>
              <w:right w:val="single" w:sz="12" w:space="0" w:color="auto"/>
            </w:tcBorders>
            <w:shd w:val="clear" w:color="auto" w:fill="auto"/>
          </w:tcPr>
          <w:p w:rsidR="00745B49" w:rsidRPr="00745B49" w:rsidRDefault="00745B49" w:rsidP="00745B49">
            <w:pPr>
              <w:spacing w:before="20" w:after="20"/>
              <w:jc w:val="center"/>
              <w:rPr>
                <w:b/>
              </w:rPr>
            </w:pPr>
            <w:r w:rsidRPr="00745B49">
              <w:rPr>
                <w:b/>
              </w:rPr>
              <w:t>Yes</w:t>
            </w:r>
          </w:p>
        </w:tc>
      </w:tr>
    </w:tbl>
    <w:p w:rsidR="00745B49" w:rsidRDefault="0080724D" w:rsidP="0080724D">
      <w:pPr>
        <w:widowControl w:val="0"/>
        <w:numPr>
          <w:ilvl w:val="3"/>
          <w:numId w:val="2"/>
        </w:numPr>
        <w:tabs>
          <w:tab w:val="left" w:pos="720"/>
        </w:tabs>
        <w:spacing w:before="120" w:after="120"/>
        <w:ind w:left="720" w:hanging="720"/>
        <w:rPr>
          <w:sz w:val="22"/>
          <w:szCs w:val="22"/>
        </w:rPr>
      </w:pPr>
      <w:r w:rsidRPr="0080724D">
        <w:rPr>
          <w:i/>
          <w:sz w:val="22"/>
          <w:szCs w:val="22"/>
        </w:rPr>
        <w:t xml:space="preserve">Class I </w:t>
      </w:r>
      <w:r w:rsidRPr="0080724D">
        <w:rPr>
          <w:bCs/>
          <w:i/>
          <w:sz w:val="22"/>
          <w:szCs w:val="22"/>
        </w:rPr>
        <w:t>Area</w:t>
      </w:r>
      <w:r w:rsidRPr="0080724D">
        <w:rPr>
          <w:i/>
          <w:sz w:val="22"/>
          <w:szCs w:val="22"/>
        </w:rPr>
        <w:t xml:space="preserve"> Visibility Impacts</w:t>
      </w:r>
    </w:p>
    <w:p w:rsidR="0080724D" w:rsidRDefault="0080724D" w:rsidP="00E26245">
      <w:pPr>
        <w:widowControl w:val="0"/>
        <w:tabs>
          <w:tab w:val="left" w:pos="720"/>
        </w:tabs>
        <w:spacing w:after="120"/>
        <w:rPr>
          <w:sz w:val="22"/>
          <w:szCs w:val="22"/>
        </w:rPr>
      </w:pPr>
      <w:r w:rsidRPr="0080724D">
        <w:rPr>
          <w:sz w:val="22"/>
          <w:szCs w:val="22"/>
        </w:rPr>
        <w:t>Certain Class I areas are protected against visibility impairment due to plume blight from nearby sources and regional haze from long distance sources. Since a large percentage of ENP is greater than 50 kilometers away from FTY, FTY is considered a long distance source. Therefore, an assessment of the project’s regional haze impacts was conducted using the current EPA-approved CALPOST v.6.221 program, background light extinction Method 8, with sub-mode 5 monthly relative humidity data for the ENP in accordance with current FLM guidance.  The assessment evaluated the 98</w:t>
      </w:r>
      <w:r w:rsidRPr="0080724D">
        <w:rPr>
          <w:sz w:val="22"/>
          <w:szCs w:val="22"/>
          <w:vertAlign w:val="superscript"/>
        </w:rPr>
        <w:t>th</w:t>
      </w:r>
      <w:r w:rsidRPr="0080724D">
        <w:rPr>
          <w:sz w:val="22"/>
          <w:szCs w:val="22"/>
        </w:rPr>
        <w:t xml:space="preserve"> percentile of the 24-hour average impacts.  The results indicate that the project will not have an adverse effect on visibility in the ENP as shown in</w:t>
      </w:r>
      <w:r w:rsidRPr="0080724D">
        <w:rPr>
          <w:b/>
          <w:sz w:val="22"/>
          <w:szCs w:val="22"/>
        </w:rPr>
        <w:t xml:space="preserve"> </w:t>
      </w:r>
      <w:r w:rsidRPr="0080724D">
        <w:rPr>
          <w:b/>
          <w:sz w:val="22"/>
          <w:szCs w:val="22"/>
        </w:rPr>
        <w:fldChar w:fldCharType="begin"/>
      </w:r>
      <w:r w:rsidRPr="0080724D">
        <w:rPr>
          <w:b/>
          <w:sz w:val="22"/>
          <w:szCs w:val="22"/>
        </w:rPr>
        <w:instrText xml:space="preserve"> REF _Ref372031603 \h  \* MERGEFORMAT </w:instrText>
      </w:r>
      <w:r w:rsidRPr="0080724D">
        <w:rPr>
          <w:b/>
          <w:sz w:val="22"/>
          <w:szCs w:val="22"/>
        </w:rPr>
      </w:r>
      <w:r w:rsidRPr="0080724D">
        <w:rPr>
          <w:b/>
          <w:sz w:val="22"/>
          <w:szCs w:val="22"/>
        </w:rPr>
        <w:fldChar w:fldCharType="separate"/>
      </w:r>
      <w:r w:rsidR="007F3589" w:rsidRPr="007F3589">
        <w:rPr>
          <w:b/>
          <w:sz w:val="22"/>
          <w:szCs w:val="22"/>
        </w:rPr>
        <w:t xml:space="preserve">Table </w:t>
      </w:r>
      <w:r w:rsidR="007F3589" w:rsidRPr="007F3589">
        <w:rPr>
          <w:b/>
          <w:noProof/>
          <w:sz w:val="22"/>
          <w:szCs w:val="22"/>
        </w:rPr>
        <w:t>26</w:t>
      </w:r>
      <w:r w:rsidRPr="0080724D">
        <w:rPr>
          <w:b/>
          <w:sz w:val="22"/>
          <w:szCs w:val="22"/>
        </w:rPr>
        <w:fldChar w:fldCharType="end"/>
      </w:r>
      <w:r w:rsidRPr="0080724D">
        <w:rPr>
          <w:sz w:val="22"/>
          <w:szCs w:val="22"/>
        </w:rPr>
        <w:t>.</w:t>
      </w:r>
    </w:p>
    <w:p w:rsidR="0080724D" w:rsidRDefault="0080724D" w:rsidP="0080724D">
      <w:pPr>
        <w:pStyle w:val="Caption"/>
        <w:spacing w:before="0"/>
        <w:jc w:val="center"/>
        <w:rPr>
          <w:szCs w:val="22"/>
        </w:rPr>
      </w:pPr>
      <w:bookmarkStart w:id="53" w:name="_Ref372031603"/>
      <w:r>
        <w:t xml:space="preserve">Table </w:t>
      </w:r>
      <w:fldSimple w:instr=" SEQ Table \* ARABIC ">
        <w:r w:rsidR="007F3589">
          <w:rPr>
            <w:noProof/>
          </w:rPr>
          <w:t>26</w:t>
        </w:r>
      </w:fldSimple>
      <w:bookmarkEnd w:id="53"/>
      <w:r w:rsidRPr="009B1D4A">
        <w:rPr>
          <w:szCs w:val="22"/>
        </w:rPr>
        <w:t xml:space="preserve"> –</w:t>
      </w:r>
      <w:r>
        <w:rPr>
          <w:szCs w:val="22"/>
        </w:rPr>
        <w:t xml:space="preserve"> </w:t>
      </w:r>
      <w:r w:rsidRPr="0080724D">
        <w:rPr>
          <w:szCs w:val="22"/>
        </w:rPr>
        <w:t>Visibility Impairment Analysis for the ENP (Siemens F5)</w:t>
      </w:r>
      <w:r w:rsidR="00C50B3A">
        <w:rPr>
          <w:szCs w:val="22"/>
        </w:rPr>
        <w:t>.</w:t>
      </w:r>
    </w:p>
    <w:tbl>
      <w:tblPr>
        <w:tblW w:w="91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3757"/>
        <w:gridCol w:w="4410"/>
      </w:tblGrid>
      <w:tr w:rsidR="0080724D" w:rsidRPr="00D12310" w:rsidTr="002E7738">
        <w:trPr>
          <w:trHeight w:val="20"/>
        </w:trPr>
        <w:tc>
          <w:tcPr>
            <w:tcW w:w="990" w:type="dxa"/>
            <w:shd w:val="clear" w:color="auto" w:fill="C6D9F1"/>
            <w:vAlign w:val="center"/>
          </w:tcPr>
          <w:p w:rsidR="0080724D" w:rsidRPr="0080724D" w:rsidRDefault="0080724D" w:rsidP="0080724D">
            <w:pPr>
              <w:spacing w:before="20" w:after="20"/>
              <w:jc w:val="center"/>
              <w:rPr>
                <w:b/>
              </w:rPr>
            </w:pPr>
            <w:r w:rsidRPr="0080724D">
              <w:rPr>
                <w:b/>
              </w:rPr>
              <w:t>Year</w:t>
            </w:r>
          </w:p>
        </w:tc>
        <w:tc>
          <w:tcPr>
            <w:tcW w:w="3757" w:type="dxa"/>
            <w:shd w:val="clear" w:color="auto" w:fill="C6D9F1"/>
            <w:vAlign w:val="center"/>
          </w:tcPr>
          <w:p w:rsidR="0080724D" w:rsidRPr="0080724D" w:rsidRDefault="0080724D" w:rsidP="0080724D">
            <w:pPr>
              <w:spacing w:before="20" w:after="20"/>
              <w:jc w:val="center"/>
              <w:rPr>
                <w:b/>
              </w:rPr>
            </w:pPr>
            <w:r w:rsidRPr="0080724D">
              <w:rPr>
                <w:b/>
              </w:rPr>
              <w:t>98</w:t>
            </w:r>
            <w:r w:rsidRPr="0080724D">
              <w:rPr>
                <w:b/>
                <w:vertAlign w:val="superscript"/>
              </w:rPr>
              <w:t>th</w:t>
            </w:r>
            <w:r w:rsidRPr="0080724D">
              <w:rPr>
                <w:b/>
              </w:rPr>
              <w:t xml:space="preserve"> Percentile Maximum Visibility Impairment (deciview) </w:t>
            </w:r>
            <w:r w:rsidRPr="0080724D">
              <w:rPr>
                <w:b/>
                <w:vertAlign w:val="superscript"/>
              </w:rPr>
              <w:t>a</w:t>
            </w:r>
          </w:p>
        </w:tc>
        <w:tc>
          <w:tcPr>
            <w:tcW w:w="4410" w:type="dxa"/>
            <w:shd w:val="clear" w:color="auto" w:fill="C6D9F1"/>
            <w:vAlign w:val="center"/>
          </w:tcPr>
          <w:p w:rsidR="0080724D" w:rsidRPr="0080724D" w:rsidRDefault="0080724D" w:rsidP="0080724D">
            <w:pPr>
              <w:spacing w:before="20" w:after="20"/>
              <w:jc w:val="center"/>
              <w:rPr>
                <w:b/>
              </w:rPr>
            </w:pPr>
            <w:r w:rsidRPr="0080724D">
              <w:rPr>
                <w:b/>
              </w:rPr>
              <w:t>FLM’s Visibility Threshold (deciview)</w:t>
            </w:r>
          </w:p>
        </w:tc>
      </w:tr>
      <w:tr w:rsidR="0080724D" w:rsidRPr="00D12310" w:rsidTr="002E7738">
        <w:trPr>
          <w:trHeight w:val="20"/>
        </w:trPr>
        <w:tc>
          <w:tcPr>
            <w:tcW w:w="990" w:type="dxa"/>
          </w:tcPr>
          <w:p w:rsidR="0080724D" w:rsidRPr="0080724D" w:rsidRDefault="0080724D" w:rsidP="0080724D">
            <w:pPr>
              <w:spacing w:before="20" w:after="20"/>
              <w:jc w:val="center"/>
            </w:pPr>
            <w:r w:rsidRPr="0080724D">
              <w:t>2001</w:t>
            </w:r>
          </w:p>
        </w:tc>
        <w:tc>
          <w:tcPr>
            <w:tcW w:w="3757" w:type="dxa"/>
          </w:tcPr>
          <w:p w:rsidR="0080724D" w:rsidRPr="0080724D" w:rsidRDefault="0080724D" w:rsidP="0080724D">
            <w:pPr>
              <w:spacing w:before="20" w:after="20"/>
              <w:jc w:val="center"/>
            </w:pPr>
            <w:r w:rsidRPr="0080724D">
              <w:t>0.27</w:t>
            </w:r>
          </w:p>
        </w:tc>
        <w:tc>
          <w:tcPr>
            <w:tcW w:w="4410" w:type="dxa"/>
          </w:tcPr>
          <w:p w:rsidR="0080724D" w:rsidRPr="0080724D" w:rsidRDefault="0080724D" w:rsidP="0080724D">
            <w:pPr>
              <w:spacing w:before="20" w:after="20"/>
              <w:jc w:val="center"/>
            </w:pPr>
            <w:r w:rsidRPr="0080724D">
              <w:t xml:space="preserve">0.5 </w:t>
            </w:r>
          </w:p>
        </w:tc>
      </w:tr>
      <w:tr w:rsidR="0080724D" w:rsidRPr="00D12310" w:rsidTr="002E7738">
        <w:trPr>
          <w:trHeight w:val="20"/>
        </w:trPr>
        <w:tc>
          <w:tcPr>
            <w:tcW w:w="990" w:type="dxa"/>
          </w:tcPr>
          <w:p w:rsidR="0080724D" w:rsidRPr="0080724D" w:rsidRDefault="0080724D" w:rsidP="0080724D">
            <w:pPr>
              <w:spacing w:before="20" w:after="20"/>
              <w:jc w:val="center"/>
            </w:pPr>
            <w:r w:rsidRPr="0080724D">
              <w:t>2002</w:t>
            </w:r>
          </w:p>
        </w:tc>
        <w:tc>
          <w:tcPr>
            <w:tcW w:w="3757" w:type="dxa"/>
          </w:tcPr>
          <w:p w:rsidR="0080724D" w:rsidRPr="0080724D" w:rsidRDefault="0080724D" w:rsidP="0080724D">
            <w:pPr>
              <w:spacing w:before="20" w:after="20"/>
              <w:jc w:val="center"/>
            </w:pPr>
            <w:r w:rsidRPr="0080724D">
              <w:t>0.37</w:t>
            </w:r>
          </w:p>
        </w:tc>
        <w:tc>
          <w:tcPr>
            <w:tcW w:w="4410" w:type="dxa"/>
          </w:tcPr>
          <w:p w:rsidR="0080724D" w:rsidRPr="0080724D" w:rsidRDefault="0080724D" w:rsidP="0080724D">
            <w:pPr>
              <w:spacing w:before="20" w:after="20"/>
              <w:jc w:val="center"/>
            </w:pPr>
            <w:r w:rsidRPr="0080724D">
              <w:t>0.5</w:t>
            </w:r>
          </w:p>
        </w:tc>
      </w:tr>
      <w:tr w:rsidR="0080724D" w:rsidRPr="00D12310" w:rsidTr="002E7738">
        <w:trPr>
          <w:trHeight w:val="20"/>
        </w:trPr>
        <w:tc>
          <w:tcPr>
            <w:tcW w:w="990" w:type="dxa"/>
          </w:tcPr>
          <w:p w:rsidR="0080724D" w:rsidRPr="0080724D" w:rsidRDefault="0080724D" w:rsidP="0080724D">
            <w:pPr>
              <w:spacing w:before="20" w:after="20"/>
              <w:jc w:val="center"/>
            </w:pPr>
            <w:r w:rsidRPr="0080724D">
              <w:t>2003</w:t>
            </w:r>
          </w:p>
        </w:tc>
        <w:tc>
          <w:tcPr>
            <w:tcW w:w="3757" w:type="dxa"/>
          </w:tcPr>
          <w:p w:rsidR="0080724D" w:rsidRPr="0080724D" w:rsidRDefault="0080724D" w:rsidP="0080724D">
            <w:pPr>
              <w:spacing w:before="20" w:after="20"/>
              <w:jc w:val="center"/>
            </w:pPr>
            <w:r w:rsidRPr="0080724D">
              <w:t>0.30</w:t>
            </w:r>
          </w:p>
        </w:tc>
        <w:tc>
          <w:tcPr>
            <w:tcW w:w="4410" w:type="dxa"/>
          </w:tcPr>
          <w:p w:rsidR="0080724D" w:rsidRPr="0080724D" w:rsidRDefault="0080724D" w:rsidP="0080724D">
            <w:pPr>
              <w:spacing w:before="20" w:after="20"/>
              <w:jc w:val="center"/>
            </w:pPr>
            <w:r w:rsidRPr="0080724D">
              <w:t>0.5</w:t>
            </w:r>
          </w:p>
        </w:tc>
      </w:tr>
      <w:tr w:rsidR="0080724D" w:rsidRPr="00D12310" w:rsidTr="002E7738">
        <w:trPr>
          <w:trHeight w:val="105"/>
        </w:trPr>
        <w:tc>
          <w:tcPr>
            <w:tcW w:w="9157" w:type="dxa"/>
            <w:gridSpan w:val="3"/>
          </w:tcPr>
          <w:p w:rsidR="0080724D" w:rsidRPr="0080724D" w:rsidRDefault="0080724D" w:rsidP="0080724D">
            <w:pPr>
              <w:numPr>
                <w:ilvl w:val="0"/>
                <w:numId w:val="34"/>
              </w:numPr>
              <w:autoSpaceDE w:val="0"/>
              <w:autoSpaceDN w:val="0"/>
              <w:adjustRightInd w:val="0"/>
              <w:ind w:left="342" w:hanging="252"/>
              <w:rPr>
                <w:sz w:val="18"/>
                <w:szCs w:val="18"/>
              </w:rPr>
            </w:pPr>
            <w:r w:rsidRPr="0080724D">
              <w:rPr>
                <w:sz w:val="18"/>
                <w:szCs w:val="18"/>
              </w:rPr>
              <w:t xml:space="preserve">Calculated based on emissions from five turbines operating on ULSD </w:t>
            </w:r>
            <w:r w:rsidR="00DD1BFE">
              <w:rPr>
                <w:sz w:val="18"/>
                <w:szCs w:val="18"/>
              </w:rPr>
              <w:t xml:space="preserve">fuel </w:t>
            </w:r>
            <w:r w:rsidRPr="0080724D">
              <w:rPr>
                <w:sz w:val="18"/>
                <w:szCs w:val="18"/>
              </w:rPr>
              <w:t>oil for 10 hr/day and gas 14 hr/day.</w:t>
            </w:r>
          </w:p>
        </w:tc>
      </w:tr>
    </w:tbl>
    <w:p w:rsidR="0080724D" w:rsidRDefault="0080724D" w:rsidP="0080724D">
      <w:pPr>
        <w:widowControl w:val="0"/>
        <w:numPr>
          <w:ilvl w:val="3"/>
          <w:numId w:val="2"/>
        </w:numPr>
        <w:tabs>
          <w:tab w:val="left" w:pos="720"/>
        </w:tabs>
        <w:spacing w:before="120" w:after="120"/>
        <w:ind w:left="720" w:hanging="720"/>
        <w:rPr>
          <w:sz w:val="22"/>
          <w:szCs w:val="22"/>
        </w:rPr>
      </w:pPr>
      <w:r w:rsidRPr="0080724D">
        <w:rPr>
          <w:i/>
          <w:sz w:val="22"/>
          <w:szCs w:val="22"/>
        </w:rPr>
        <w:t xml:space="preserve">Class I Area </w:t>
      </w:r>
      <w:r w:rsidRPr="0080724D">
        <w:rPr>
          <w:bCs/>
          <w:i/>
          <w:sz w:val="22"/>
          <w:szCs w:val="22"/>
        </w:rPr>
        <w:t>Nitrogen</w:t>
      </w:r>
      <w:r w:rsidRPr="0080724D">
        <w:rPr>
          <w:i/>
          <w:sz w:val="22"/>
          <w:szCs w:val="22"/>
        </w:rPr>
        <w:t xml:space="preserve"> Deposition Impacts</w:t>
      </w:r>
    </w:p>
    <w:p w:rsidR="0080724D" w:rsidRDefault="0080724D" w:rsidP="00E26245">
      <w:pPr>
        <w:widowControl w:val="0"/>
        <w:tabs>
          <w:tab w:val="left" w:pos="720"/>
        </w:tabs>
        <w:spacing w:after="120"/>
        <w:rPr>
          <w:sz w:val="22"/>
          <w:szCs w:val="22"/>
        </w:rPr>
      </w:pPr>
      <w:r w:rsidRPr="0080724D">
        <w:rPr>
          <w:sz w:val="22"/>
          <w:szCs w:val="22"/>
        </w:rPr>
        <w:t xml:space="preserve">A total N deposition rate in the ENP was estimated for the project. The CALPUFF model was used to predict wet and dry deposition rates of four different N species in kg/ha/yr. These values are compared with FLM provided thresholds in </w:t>
      </w:r>
      <w:r w:rsidR="00A95BA5" w:rsidRPr="00A95BA5">
        <w:rPr>
          <w:b/>
          <w:sz w:val="22"/>
          <w:szCs w:val="22"/>
        </w:rPr>
        <w:fldChar w:fldCharType="begin"/>
      </w:r>
      <w:r w:rsidR="00A95BA5" w:rsidRPr="00A95BA5">
        <w:rPr>
          <w:b/>
          <w:sz w:val="22"/>
          <w:szCs w:val="22"/>
        </w:rPr>
        <w:instrText xml:space="preserve"> REF _Ref372032496 \h  \* MERGEFORMAT </w:instrText>
      </w:r>
      <w:r w:rsidR="00A95BA5" w:rsidRPr="00A95BA5">
        <w:rPr>
          <w:b/>
          <w:sz w:val="22"/>
          <w:szCs w:val="22"/>
        </w:rPr>
      </w:r>
      <w:r w:rsidR="00A95BA5" w:rsidRPr="00A95BA5">
        <w:rPr>
          <w:b/>
          <w:sz w:val="22"/>
          <w:szCs w:val="22"/>
        </w:rPr>
        <w:fldChar w:fldCharType="separate"/>
      </w:r>
      <w:r w:rsidR="007F3589" w:rsidRPr="007F3589">
        <w:rPr>
          <w:b/>
          <w:sz w:val="22"/>
          <w:szCs w:val="22"/>
        </w:rPr>
        <w:t xml:space="preserve">Table </w:t>
      </w:r>
      <w:r w:rsidR="007F3589" w:rsidRPr="007F3589">
        <w:rPr>
          <w:b/>
          <w:noProof/>
          <w:sz w:val="22"/>
          <w:szCs w:val="22"/>
        </w:rPr>
        <w:t>27</w:t>
      </w:r>
      <w:r w:rsidR="00A95BA5" w:rsidRPr="00A95BA5">
        <w:rPr>
          <w:b/>
          <w:sz w:val="22"/>
          <w:szCs w:val="22"/>
        </w:rPr>
        <w:fldChar w:fldCharType="end"/>
      </w:r>
      <w:r w:rsidR="00A95BA5">
        <w:rPr>
          <w:sz w:val="22"/>
          <w:szCs w:val="22"/>
        </w:rPr>
        <w:t xml:space="preserve"> </w:t>
      </w:r>
      <w:r w:rsidRPr="0080724D">
        <w:rPr>
          <w:sz w:val="22"/>
          <w:szCs w:val="22"/>
        </w:rPr>
        <w:t>and show that the project is expected to have a negligible impact on the ENP with respect to N deposition.</w:t>
      </w:r>
    </w:p>
    <w:p w:rsidR="0080724D" w:rsidRDefault="0080724D" w:rsidP="0080724D">
      <w:pPr>
        <w:pStyle w:val="Caption"/>
        <w:spacing w:before="0"/>
        <w:jc w:val="center"/>
        <w:rPr>
          <w:szCs w:val="22"/>
        </w:rPr>
      </w:pPr>
      <w:bookmarkStart w:id="54" w:name="_Ref372032496"/>
      <w:r>
        <w:t xml:space="preserve">Table </w:t>
      </w:r>
      <w:fldSimple w:instr=" SEQ Table \* ARABIC ">
        <w:r w:rsidR="007F3589">
          <w:rPr>
            <w:noProof/>
          </w:rPr>
          <w:t>27</w:t>
        </w:r>
      </w:fldSimple>
      <w:bookmarkEnd w:id="54"/>
      <w:r w:rsidRPr="009B1D4A">
        <w:rPr>
          <w:szCs w:val="22"/>
        </w:rPr>
        <w:t xml:space="preserve"> –</w:t>
      </w:r>
      <w:r>
        <w:rPr>
          <w:szCs w:val="22"/>
        </w:rPr>
        <w:t xml:space="preserve"> </w:t>
      </w:r>
      <w:r w:rsidRPr="0080724D">
        <w:rPr>
          <w:szCs w:val="22"/>
        </w:rPr>
        <w:t>Total Nitrogen Deposition Analysis for the ENP</w:t>
      </w:r>
      <w:r w:rsidR="00C50B3A">
        <w:rPr>
          <w:szCs w:val="22"/>
        </w:rPr>
        <w:t>.</w:t>
      </w:r>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3757"/>
        <w:gridCol w:w="4320"/>
      </w:tblGrid>
      <w:tr w:rsidR="0080724D" w:rsidRPr="00D12310" w:rsidTr="002E7738">
        <w:trPr>
          <w:trHeight w:val="20"/>
        </w:trPr>
        <w:tc>
          <w:tcPr>
            <w:tcW w:w="990" w:type="dxa"/>
            <w:shd w:val="clear" w:color="auto" w:fill="C6D9F1"/>
            <w:vAlign w:val="center"/>
          </w:tcPr>
          <w:p w:rsidR="0080724D" w:rsidRPr="0080724D" w:rsidRDefault="0080724D" w:rsidP="0080724D">
            <w:pPr>
              <w:spacing w:before="20" w:after="20"/>
              <w:jc w:val="center"/>
              <w:rPr>
                <w:b/>
              </w:rPr>
            </w:pPr>
            <w:r w:rsidRPr="0080724D">
              <w:rPr>
                <w:b/>
              </w:rPr>
              <w:t>Year</w:t>
            </w:r>
          </w:p>
        </w:tc>
        <w:tc>
          <w:tcPr>
            <w:tcW w:w="3757" w:type="dxa"/>
            <w:shd w:val="clear" w:color="auto" w:fill="C6D9F1"/>
            <w:vAlign w:val="center"/>
          </w:tcPr>
          <w:p w:rsidR="0080724D" w:rsidRPr="0080724D" w:rsidRDefault="0080724D" w:rsidP="0080724D">
            <w:pPr>
              <w:spacing w:before="20" w:after="20"/>
              <w:jc w:val="center"/>
              <w:rPr>
                <w:b/>
              </w:rPr>
            </w:pPr>
            <w:r w:rsidRPr="0080724D">
              <w:rPr>
                <w:b/>
              </w:rPr>
              <w:t xml:space="preserve">Total Deposition </w:t>
            </w:r>
            <w:r w:rsidRPr="0080724D">
              <w:t xml:space="preserve">(kg/ha/yr) </w:t>
            </w:r>
          </w:p>
        </w:tc>
        <w:tc>
          <w:tcPr>
            <w:tcW w:w="4320" w:type="dxa"/>
            <w:shd w:val="clear" w:color="auto" w:fill="C6D9F1"/>
            <w:vAlign w:val="center"/>
          </w:tcPr>
          <w:p w:rsidR="0080724D" w:rsidRPr="0080724D" w:rsidRDefault="0080724D" w:rsidP="0080724D">
            <w:pPr>
              <w:spacing w:before="20" w:after="20"/>
              <w:jc w:val="center"/>
              <w:rPr>
                <w:b/>
              </w:rPr>
            </w:pPr>
            <w:r w:rsidRPr="0080724D">
              <w:rPr>
                <w:b/>
              </w:rPr>
              <w:t xml:space="preserve">Deposition Analysis Threshold </w:t>
            </w:r>
            <w:r w:rsidRPr="0080724D">
              <w:t>(kg/ha/yr)</w:t>
            </w:r>
          </w:p>
        </w:tc>
      </w:tr>
      <w:tr w:rsidR="0080724D" w:rsidRPr="00D12310" w:rsidTr="002E7738">
        <w:trPr>
          <w:trHeight w:val="20"/>
        </w:trPr>
        <w:tc>
          <w:tcPr>
            <w:tcW w:w="990" w:type="dxa"/>
          </w:tcPr>
          <w:p w:rsidR="0080724D" w:rsidRPr="0080724D" w:rsidRDefault="0080724D" w:rsidP="0080724D">
            <w:pPr>
              <w:spacing w:before="20" w:after="20"/>
              <w:jc w:val="center"/>
            </w:pPr>
            <w:r w:rsidRPr="0080724D">
              <w:t>2001</w:t>
            </w:r>
          </w:p>
        </w:tc>
        <w:tc>
          <w:tcPr>
            <w:tcW w:w="3757" w:type="dxa"/>
          </w:tcPr>
          <w:p w:rsidR="0080724D" w:rsidRPr="0080724D" w:rsidRDefault="0080724D" w:rsidP="0080724D">
            <w:pPr>
              <w:spacing w:before="20" w:after="20"/>
              <w:jc w:val="center"/>
              <w:rPr>
                <w:vertAlign w:val="superscript"/>
              </w:rPr>
            </w:pPr>
            <w:r w:rsidRPr="0080724D">
              <w:t xml:space="preserve">0.0025 </w:t>
            </w:r>
            <w:r w:rsidRPr="00DD1BFE">
              <w:rPr>
                <w:b/>
                <w:vertAlign w:val="superscript"/>
              </w:rPr>
              <w:t>a</w:t>
            </w:r>
          </w:p>
        </w:tc>
        <w:tc>
          <w:tcPr>
            <w:tcW w:w="4320" w:type="dxa"/>
          </w:tcPr>
          <w:p w:rsidR="0080724D" w:rsidRPr="0080724D" w:rsidRDefault="0080724D" w:rsidP="0080724D">
            <w:pPr>
              <w:spacing w:before="20" w:after="20"/>
              <w:jc w:val="center"/>
              <w:rPr>
                <w:highlight w:val="yellow"/>
              </w:rPr>
            </w:pPr>
            <w:r w:rsidRPr="0080724D">
              <w:t xml:space="preserve">0.01 </w:t>
            </w:r>
          </w:p>
        </w:tc>
      </w:tr>
      <w:tr w:rsidR="0080724D" w:rsidRPr="00D12310" w:rsidTr="002E7738">
        <w:trPr>
          <w:trHeight w:val="20"/>
        </w:trPr>
        <w:tc>
          <w:tcPr>
            <w:tcW w:w="990" w:type="dxa"/>
          </w:tcPr>
          <w:p w:rsidR="0080724D" w:rsidRPr="0080724D" w:rsidRDefault="0080724D" w:rsidP="0080724D">
            <w:pPr>
              <w:spacing w:before="20" w:after="20"/>
              <w:jc w:val="center"/>
            </w:pPr>
            <w:r w:rsidRPr="0080724D">
              <w:t>2002</w:t>
            </w:r>
          </w:p>
        </w:tc>
        <w:tc>
          <w:tcPr>
            <w:tcW w:w="3757" w:type="dxa"/>
          </w:tcPr>
          <w:p w:rsidR="0080724D" w:rsidRPr="0080724D" w:rsidRDefault="0080724D" w:rsidP="0080724D">
            <w:pPr>
              <w:spacing w:before="20" w:after="20"/>
              <w:jc w:val="center"/>
              <w:rPr>
                <w:vertAlign w:val="superscript"/>
              </w:rPr>
            </w:pPr>
            <w:r w:rsidRPr="0080724D">
              <w:t xml:space="preserve">0.0027 </w:t>
            </w:r>
            <w:r w:rsidRPr="00DD1BFE">
              <w:rPr>
                <w:b/>
                <w:vertAlign w:val="superscript"/>
              </w:rPr>
              <w:t>a</w:t>
            </w:r>
          </w:p>
        </w:tc>
        <w:tc>
          <w:tcPr>
            <w:tcW w:w="4320" w:type="dxa"/>
          </w:tcPr>
          <w:p w:rsidR="0080724D" w:rsidRPr="0080724D" w:rsidRDefault="0080724D" w:rsidP="0080724D">
            <w:pPr>
              <w:spacing w:before="20" w:after="20"/>
              <w:jc w:val="center"/>
            </w:pPr>
            <w:r w:rsidRPr="0080724D">
              <w:t>0.01</w:t>
            </w:r>
          </w:p>
        </w:tc>
      </w:tr>
      <w:tr w:rsidR="0080724D" w:rsidRPr="00D12310" w:rsidTr="002E7738">
        <w:trPr>
          <w:trHeight w:val="20"/>
        </w:trPr>
        <w:tc>
          <w:tcPr>
            <w:tcW w:w="990" w:type="dxa"/>
          </w:tcPr>
          <w:p w:rsidR="0080724D" w:rsidRPr="0080724D" w:rsidRDefault="0080724D" w:rsidP="0080724D">
            <w:pPr>
              <w:spacing w:before="20" w:after="20"/>
              <w:jc w:val="center"/>
            </w:pPr>
            <w:r w:rsidRPr="0080724D">
              <w:t>2003</w:t>
            </w:r>
          </w:p>
        </w:tc>
        <w:tc>
          <w:tcPr>
            <w:tcW w:w="3757" w:type="dxa"/>
          </w:tcPr>
          <w:p w:rsidR="0080724D" w:rsidRPr="0080724D" w:rsidRDefault="0080724D" w:rsidP="0080724D">
            <w:pPr>
              <w:spacing w:before="20" w:after="20"/>
              <w:jc w:val="center"/>
              <w:rPr>
                <w:vertAlign w:val="superscript"/>
              </w:rPr>
            </w:pPr>
            <w:r w:rsidRPr="0080724D">
              <w:t xml:space="preserve">0.0036 </w:t>
            </w:r>
            <w:r w:rsidRPr="00DD1BFE">
              <w:rPr>
                <w:b/>
                <w:vertAlign w:val="superscript"/>
              </w:rPr>
              <w:t>a</w:t>
            </w:r>
          </w:p>
        </w:tc>
        <w:tc>
          <w:tcPr>
            <w:tcW w:w="4320" w:type="dxa"/>
          </w:tcPr>
          <w:p w:rsidR="0080724D" w:rsidRPr="0080724D" w:rsidRDefault="0080724D" w:rsidP="0080724D">
            <w:pPr>
              <w:spacing w:before="20" w:after="20"/>
              <w:jc w:val="center"/>
            </w:pPr>
            <w:r w:rsidRPr="0080724D">
              <w:t>0.01</w:t>
            </w:r>
          </w:p>
        </w:tc>
      </w:tr>
      <w:tr w:rsidR="0080724D" w:rsidRPr="00D12310" w:rsidTr="002E7738">
        <w:trPr>
          <w:trHeight w:val="105"/>
        </w:trPr>
        <w:tc>
          <w:tcPr>
            <w:tcW w:w="9067" w:type="dxa"/>
            <w:gridSpan w:val="3"/>
          </w:tcPr>
          <w:p w:rsidR="0080724D" w:rsidRPr="0080724D" w:rsidRDefault="0080724D" w:rsidP="0080724D">
            <w:pPr>
              <w:numPr>
                <w:ilvl w:val="0"/>
                <w:numId w:val="35"/>
              </w:numPr>
              <w:autoSpaceDE w:val="0"/>
              <w:autoSpaceDN w:val="0"/>
              <w:adjustRightInd w:val="0"/>
              <w:ind w:left="342" w:hanging="270"/>
              <w:rPr>
                <w:sz w:val="18"/>
                <w:szCs w:val="18"/>
              </w:rPr>
            </w:pPr>
            <w:r w:rsidRPr="0080724D">
              <w:rPr>
                <w:sz w:val="18"/>
                <w:szCs w:val="18"/>
              </w:rPr>
              <w:t>Calculated based on emissions from five turbines operating on ULSD oil for 500 hr/yr (10 hr/day) and natural gas for 2,890 hr/yr (14 hr/day).</w:t>
            </w:r>
          </w:p>
        </w:tc>
      </w:tr>
    </w:tbl>
    <w:p w:rsidR="0080724D" w:rsidRPr="00A95BA5" w:rsidRDefault="00A95BA5" w:rsidP="00ED5B0B">
      <w:pPr>
        <w:widowControl w:val="0"/>
        <w:numPr>
          <w:ilvl w:val="1"/>
          <w:numId w:val="2"/>
        </w:numPr>
        <w:tabs>
          <w:tab w:val="left" w:pos="720"/>
        </w:tabs>
        <w:spacing w:before="120" w:after="120"/>
        <w:ind w:left="720" w:hanging="720"/>
        <w:rPr>
          <w:b/>
          <w:sz w:val="22"/>
          <w:szCs w:val="22"/>
        </w:rPr>
      </w:pPr>
      <w:r w:rsidRPr="00A95BA5">
        <w:rPr>
          <w:b/>
          <w:sz w:val="22"/>
          <w:szCs w:val="22"/>
        </w:rPr>
        <w:t>Conclusion</w:t>
      </w:r>
    </w:p>
    <w:p w:rsidR="0080724D" w:rsidRDefault="0080724D" w:rsidP="00E26245">
      <w:pPr>
        <w:widowControl w:val="0"/>
        <w:tabs>
          <w:tab w:val="left" w:pos="720"/>
        </w:tabs>
        <w:spacing w:after="120"/>
        <w:rPr>
          <w:sz w:val="22"/>
          <w:szCs w:val="22"/>
        </w:rPr>
      </w:pPr>
      <w:r w:rsidRPr="0080724D">
        <w:rPr>
          <w:sz w:val="22"/>
          <w:szCs w:val="22"/>
        </w:rPr>
        <w:t xml:space="preserve">Based on the results presented in the air quality analysis, the </w:t>
      </w:r>
      <w:r w:rsidR="00970761">
        <w:rPr>
          <w:sz w:val="22"/>
          <w:szCs w:val="22"/>
        </w:rPr>
        <w:t>Department</w:t>
      </w:r>
      <w:r w:rsidRPr="0080724D">
        <w:rPr>
          <w:sz w:val="22"/>
          <w:szCs w:val="22"/>
        </w:rPr>
        <w:t xml:space="preserve"> has reasonable assurance that the increased pollutant emissions associated with this project will not cause or contribute to any violation of an NAAQS or PSD increment.</w:t>
      </w:r>
      <w:r w:rsidR="00A95BA5">
        <w:rPr>
          <w:sz w:val="22"/>
          <w:szCs w:val="22"/>
        </w:rPr>
        <w:t xml:space="preserve"> </w:t>
      </w:r>
      <w:r w:rsidRPr="0080724D">
        <w:rPr>
          <w:sz w:val="22"/>
          <w:szCs w:val="22"/>
        </w:rPr>
        <w:t xml:space="preserve"> In addition, the </w:t>
      </w:r>
      <w:r w:rsidR="00A95BA5">
        <w:rPr>
          <w:sz w:val="22"/>
          <w:szCs w:val="22"/>
        </w:rPr>
        <w:t>Department</w:t>
      </w:r>
      <w:r w:rsidRPr="0080724D">
        <w:rPr>
          <w:sz w:val="22"/>
          <w:szCs w:val="22"/>
        </w:rPr>
        <w:t xml:space="preserve"> finds that there will be no adverse impact on soils, vegetation, wildlife, or, in Class I areas, any AQRV.</w:t>
      </w:r>
    </w:p>
    <w:p w:rsidR="001963C4" w:rsidRPr="009C301B" w:rsidRDefault="001963C4" w:rsidP="001963C4">
      <w:pPr>
        <w:widowControl w:val="0"/>
        <w:numPr>
          <w:ilvl w:val="0"/>
          <w:numId w:val="2"/>
        </w:numPr>
        <w:tabs>
          <w:tab w:val="left" w:pos="720"/>
        </w:tabs>
        <w:spacing w:after="120"/>
        <w:ind w:left="720" w:hanging="720"/>
        <w:rPr>
          <w:b/>
          <w:sz w:val="22"/>
          <w:szCs w:val="22"/>
        </w:rPr>
      </w:pPr>
      <w:r w:rsidRPr="009C301B">
        <w:rPr>
          <w:b/>
          <w:caps/>
          <w:sz w:val="22"/>
          <w:szCs w:val="22"/>
        </w:rPr>
        <w:t>Preliminary Determination</w:t>
      </w:r>
    </w:p>
    <w:p w:rsidR="001963C4" w:rsidRDefault="001963C4" w:rsidP="001963C4">
      <w:pPr>
        <w:spacing w:after="120"/>
        <w:rPr>
          <w:sz w:val="22"/>
          <w:szCs w:val="22"/>
        </w:rPr>
      </w:pPr>
      <w:r w:rsidRPr="00290299">
        <w:rPr>
          <w:sz w:val="22"/>
          <w:szCs w:val="22"/>
        </w:rPr>
        <w:t xml:space="preserve">The Department makes a preliminary determination that the </w:t>
      </w:r>
      <w:r>
        <w:rPr>
          <w:sz w:val="22"/>
          <w:szCs w:val="22"/>
        </w:rPr>
        <w:t xml:space="preserve">project </w:t>
      </w:r>
      <w:r w:rsidRPr="00290299">
        <w:rPr>
          <w:sz w:val="22"/>
          <w:szCs w:val="22"/>
        </w:rPr>
        <w:t>will comply with all applicable state and federal air pollution reg</w:t>
      </w:r>
      <w:r>
        <w:rPr>
          <w:sz w:val="22"/>
          <w:szCs w:val="22"/>
        </w:rPr>
        <w:t>ulations as conditioned by the D</w:t>
      </w:r>
      <w:r w:rsidRPr="00290299">
        <w:rPr>
          <w:sz w:val="22"/>
          <w:szCs w:val="22"/>
        </w:rPr>
        <w:t xml:space="preserve">raft </w:t>
      </w:r>
      <w:r>
        <w:rPr>
          <w:sz w:val="22"/>
          <w:szCs w:val="22"/>
        </w:rPr>
        <w:t>P</w:t>
      </w:r>
      <w:r w:rsidRPr="00290299">
        <w:rPr>
          <w:sz w:val="22"/>
          <w:szCs w:val="22"/>
        </w:rPr>
        <w:t xml:space="preserve">ermit.  </w:t>
      </w:r>
      <w:r w:rsidRPr="00FD1C2F">
        <w:rPr>
          <w:sz w:val="22"/>
          <w:szCs w:val="22"/>
        </w:rPr>
        <w:t xml:space="preserve">This determination is based on a technical review of the application, the reasonable assurances provided by the applicant, and the conditions specified in the Draft permit.  </w:t>
      </w:r>
    </w:p>
    <w:p w:rsidR="00745B49" w:rsidRPr="00E331A6" w:rsidRDefault="001963C4" w:rsidP="001963C4">
      <w:pPr>
        <w:spacing w:after="120"/>
        <w:rPr>
          <w:sz w:val="22"/>
          <w:szCs w:val="22"/>
        </w:rPr>
      </w:pPr>
      <w:r>
        <w:rPr>
          <w:sz w:val="22"/>
          <w:szCs w:val="22"/>
        </w:rPr>
        <w:t>Tom Rogers</w:t>
      </w:r>
      <w:r w:rsidRPr="00290299">
        <w:rPr>
          <w:sz w:val="22"/>
          <w:szCs w:val="22"/>
        </w:rPr>
        <w:t xml:space="preserve"> is the meteorologist responsible for reviewing </w:t>
      </w:r>
      <w:r>
        <w:rPr>
          <w:sz w:val="22"/>
          <w:szCs w:val="22"/>
        </w:rPr>
        <w:t xml:space="preserve">and preparing </w:t>
      </w:r>
      <w:r w:rsidRPr="00290299">
        <w:rPr>
          <w:sz w:val="22"/>
          <w:szCs w:val="22"/>
        </w:rPr>
        <w:t xml:space="preserve">the ambient air quality analyses.  </w:t>
      </w:r>
      <w:r>
        <w:rPr>
          <w:sz w:val="22"/>
          <w:szCs w:val="22"/>
        </w:rPr>
        <w:t xml:space="preserve">David Read, P.E. </w:t>
      </w:r>
      <w:r w:rsidRPr="00FD1C2F">
        <w:rPr>
          <w:sz w:val="22"/>
          <w:szCs w:val="22"/>
        </w:rPr>
        <w:t xml:space="preserve">is the project engineer responsible for reviewing the </w:t>
      </w:r>
      <w:r>
        <w:rPr>
          <w:sz w:val="22"/>
          <w:szCs w:val="22"/>
        </w:rPr>
        <w:t>application, preparing the draft permit and writing the technical document.</w:t>
      </w:r>
      <w:r w:rsidRPr="00A11EB3">
        <w:rPr>
          <w:sz w:val="22"/>
          <w:szCs w:val="22"/>
        </w:rPr>
        <w:t xml:space="preserve">  </w:t>
      </w:r>
      <w:r>
        <w:rPr>
          <w:sz w:val="22"/>
          <w:szCs w:val="22"/>
        </w:rPr>
        <w:t>D</w:t>
      </w:r>
      <w:r w:rsidRPr="00FD1C2F">
        <w:rPr>
          <w:sz w:val="22"/>
          <w:szCs w:val="22"/>
        </w:rPr>
        <w:t>etails of th</w:t>
      </w:r>
      <w:r>
        <w:rPr>
          <w:sz w:val="22"/>
          <w:szCs w:val="22"/>
        </w:rPr>
        <w:t>e</w:t>
      </w:r>
      <w:r w:rsidRPr="00FD1C2F">
        <w:rPr>
          <w:sz w:val="22"/>
          <w:szCs w:val="22"/>
        </w:rPr>
        <w:t xml:space="preserve"> analys</w:t>
      </w:r>
      <w:r>
        <w:rPr>
          <w:sz w:val="22"/>
          <w:szCs w:val="22"/>
        </w:rPr>
        <w:t>e</w:t>
      </w:r>
      <w:r w:rsidRPr="00FD1C2F">
        <w:rPr>
          <w:sz w:val="22"/>
          <w:szCs w:val="22"/>
        </w:rPr>
        <w:t xml:space="preserve">s may be obtained by contacting </w:t>
      </w:r>
      <w:r>
        <w:rPr>
          <w:sz w:val="22"/>
          <w:szCs w:val="22"/>
        </w:rPr>
        <w:t xml:space="preserve">Mr. Tom Rogers at </w:t>
      </w:r>
      <w:r w:rsidRPr="00A04562">
        <w:rPr>
          <w:rStyle w:val="Hyperlink"/>
          <w:sz w:val="22"/>
          <w:szCs w:val="22"/>
        </w:rPr>
        <w:t>tom.rogers</w:t>
      </w:r>
      <w:hyperlink r:id="rId61" w:history="1">
        <w:r w:rsidRPr="00A04562">
          <w:rPr>
            <w:rStyle w:val="Hyperlink"/>
            <w:sz w:val="22"/>
            <w:szCs w:val="22"/>
          </w:rPr>
          <w:t>@dep.state.fl.us</w:t>
        </w:r>
      </w:hyperlink>
      <w:r>
        <w:rPr>
          <w:sz w:val="22"/>
          <w:szCs w:val="22"/>
        </w:rPr>
        <w:t xml:space="preserve"> or Mr. David Read at </w:t>
      </w:r>
      <w:hyperlink r:id="rId62" w:history="1">
        <w:r w:rsidRPr="00AB57B9">
          <w:rPr>
            <w:rStyle w:val="Hyperlink"/>
            <w:sz w:val="22"/>
            <w:szCs w:val="22"/>
          </w:rPr>
          <w:t>david.read@dep.state.fl.us</w:t>
        </w:r>
      </w:hyperlink>
      <w:r>
        <w:rPr>
          <w:sz w:val="22"/>
          <w:szCs w:val="22"/>
        </w:rPr>
        <w:t xml:space="preserve"> .</w:t>
      </w:r>
    </w:p>
    <w:sectPr w:rsidR="00745B49" w:rsidRPr="00E331A6" w:rsidSect="00411EBF">
      <w:headerReference w:type="default" r:id="rId63"/>
      <w:footerReference w:type="default" r:id="rId64"/>
      <w:headerReference w:type="first" r:id="rId65"/>
      <w:footerReference w:type="first" r:id="rId66"/>
      <w:endnotePr>
        <w:numFmt w:val="decimal"/>
      </w:endnotePr>
      <w:pgSz w:w="12240" w:h="15840" w:code="1"/>
      <w:pgMar w:top="1267" w:right="1440" w:bottom="1080" w:left="1440" w:header="720" w:footer="20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135C" w:rsidRDefault="0028135C">
      <w:r>
        <w:separator/>
      </w:r>
    </w:p>
  </w:endnote>
  <w:endnote w:type="continuationSeparator" w:id="0">
    <w:p w:rsidR="0028135C" w:rsidRDefault="00281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Times New Roman Bold">
    <w:panose1 w:val="02020803070505020304"/>
    <w:charset w:val="00"/>
    <w:family w:val="roman"/>
    <w:pitch w:val="default"/>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135C" w:rsidRPr="00C761BE" w:rsidRDefault="0028135C" w:rsidP="000A4B96">
    <w:pPr>
      <w:pBdr>
        <w:top w:val="single" w:sz="6" w:space="1" w:color="auto"/>
      </w:pBdr>
      <w:tabs>
        <w:tab w:val="right" w:pos="9360"/>
      </w:tabs>
      <w:spacing w:before="240"/>
      <w:rPr>
        <w:rStyle w:val="PageNumber"/>
      </w:rPr>
    </w:pPr>
    <w:r>
      <w:rPr>
        <w:rStyle w:val="PageNumber"/>
      </w:rPr>
      <w:t>Lauderdale Plant, Broward County</w:t>
    </w:r>
    <w:r w:rsidRPr="00C761BE">
      <w:rPr>
        <w:rStyle w:val="PageNumber"/>
        <w:color w:val="FF0000"/>
      </w:rPr>
      <w:tab/>
    </w:r>
    <w:r>
      <w:rPr>
        <w:rStyle w:val="PageNumber"/>
      </w:rPr>
      <w:t xml:space="preserve">Project </w:t>
    </w:r>
    <w:r w:rsidRPr="00C761BE">
      <w:rPr>
        <w:rStyle w:val="PageNumber"/>
      </w:rPr>
      <w:t xml:space="preserve">No. </w:t>
    </w:r>
    <w:r>
      <w:rPr>
        <w:rStyle w:val="PageNumber"/>
      </w:rPr>
      <w:t>0110037-011</w:t>
    </w:r>
    <w:r w:rsidRPr="00C761BE">
      <w:rPr>
        <w:rStyle w:val="PageNumber"/>
      </w:rPr>
      <w:t>-AC</w:t>
    </w:r>
  </w:p>
  <w:p w:rsidR="0028135C" w:rsidRDefault="0028135C" w:rsidP="000A4B96">
    <w:pPr>
      <w:pBdr>
        <w:top w:val="single" w:sz="6" w:space="1" w:color="auto"/>
      </w:pBdr>
      <w:tabs>
        <w:tab w:val="right" w:pos="9360"/>
      </w:tabs>
    </w:pPr>
    <w:r>
      <w:rPr>
        <w:rStyle w:val="PageNumber"/>
      </w:rPr>
      <w:t>Gas Turbine Peaker Replacement</w:t>
    </w:r>
    <w:r w:rsidRPr="00C761BE">
      <w:rPr>
        <w:rStyle w:val="PageNumber"/>
      </w:rPr>
      <w:tab/>
    </w:r>
    <w:r w:rsidRPr="005B6C16">
      <w:t>PSD-FL-4</w:t>
    </w:r>
    <w:r>
      <w:t>23</w:t>
    </w:r>
  </w:p>
  <w:p w:rsidR="0028135C" w:rsidRPr="00C761BE" w:rsidRDefault="0028135C" w:rsidP="00C761BE">
    <w:pPr>
      <w:pStyle w:val="Footer"/>
      <w:tabs>
        <w:tab w:val="clear" w:pos="4320"/>
        <w:tab w:val="clear" w:pos="8640"/>
        <w:tab w:val="left" w:pos="7380"/>
      </w:tabs>
      <w:jc w:val="center"/>
    </w:pPr>
    <w:r w:rsidRPr="00C761BE">
      <w:rPr>
        <w:rStyle w:val="PageNumber"/>
      </w:rPr>
      <w:t xml:space="preserve">Page </w:t>
    </w:r>
    <w:r w:rsidRPr="00C761BE">
      <w:rPr>
        <w:rStyle w:val="PageNumber"/>
      </w:rPr>
      <w:fldChar w:fldCharType="begin"/>
    </w:r>
    <w:r w:rsidRPr="00C761BE">
      <w:rPr>
        <w:rStyle w:val="PageNumber"/>
      </w:rPr>
      <w:instrText xml:space="preserve"> PAGE </w:instrText>
    </w:r>
    <w:r w:rsidRPr="00C761BE">
      <w:rPr>
        <w:rStyle w:val="PageNumber"/>
      </w:rPr>
      <w:fldChar w:fldCharType="separate"/>
    </w:r>
    <w:r w:rsidR="0091500A">
      <w:rPr>
        <w:rStyle w:val="PageNumber"/>
        <w:noProof/>
      </w:rPr>
      <w:t>37</w:t>
    </w:r>
    <w:r w:rsidRPr="00C761BE">
      <w:rPr>
        <w:rStyle w:val="PageNumber"/>
      </w:rPr>
      <w:fldChar w:fldCharType="end"/>
    </w:r>
    <w:r w:rsidRPr="00C761BE">
      <w:rPr>
        <w:rStyle w:val="PageNumber"/>
      </w:rPr>
      <w:t xml:space="preserve"> of </w:t>
    </w:r>
    <w:r w:rsidRPr="00C761BE">
      <w:rPr>
        <w:rStyle w:val="PageNumber"/>
      </w:rPr>
      <w:fldChar w:fldCharType="begin"/>
    </w:r>
    <w:r w:rsidRPr="00C761BE">
      <w:rPr>
        <w:rStyle w:val="PageNumber"/>
      </w:rPr>
      <w:instrText xml:space="preserve"> NUMPAGES </w:instrText>
    </w:r>
    <w:r w:rsidRPr="00C761BE">
      <w:rPr>
        <w:rStyle w:val="PageNumber"/>
      </w:rPr>
      <w:fldChar w:fldCharType="separate"/>
    </w:r>
    <w:r w:rsidR="0091500A">
      <w:rPr>
        <w:rStyle w:val="PageNumber"/>
        <w:noProof/>
      </w:rPr>
      <w:t>37</w:t>
    </w:r>
    <w:r w:rsidRPr="00C761BE">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135C" w:rsidRDefault="0028135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135C" w:rsidRDefault="0028135C">
      <w:r>
        <w:separator/>
      </w:r>
    </w:p>
  </w:footnote>
  <w:footnote w:type="continuationSeparator" w:id="0">
    <w:p w:rsidR="0028135C" w:rsidRDefault="0028135C">
      <w:r>
        <w:continuationSeparator/>
      </w:r>
    </w:p>
  </w:footnote>
  <w:footnote w:id="1">
    <w:p w:rsidR="0028135C" w:rsidRPr="00411EBF" w:rsidRDefault="0028135C" w:rsidP="00120363">
      <w:pPr>
        <w:pStyle w:val="FootnoteText"/>
        <w:tabs>
          <w:tab w:val="left" w:pos="360"/>
        </w:tabs>
        <w:spacing w:after="60"/>
        <w:ind w:left="360" w:hanging="360"/>
        <w:rPr>
          <w:sz w:val="18"/>
          <w:szCs w:val="18"/>
        </w:rPr>
      </w:pPr>
      <w:r w:rsidRPr="00120363">
        <w:rPr>
          <w:rStyle w:val="FootnoteReference"/>
          <w:sz w:val="22"/>
          <w:szCs w:val="22"/>
        </w:rPr>
        <w:footnoteRef/>
      </w:r>
      <w:r w:rsidRPr="00120363">
        <w:rPr>
          <w:sz w:val="22"/>
          <w:szCs w:val="22"/>
        </w:rPr>
        <w:t xml:space="preserve"> </w:t>
      </w:r>
      <w:r w:rsidRPr="00120363">
        <w:rPr>
          <w:sz w:val="22"/>
          <w:szCs w:val="22"/>
        </w:rPr>
        <w:tab/>
      </w:r>
      <w:r w:rsidRPr="00411EBF">
        <w:rPr>
          <w:sz w:val="18"/>
          <w:szCs w:val="18"/>
        </w:rPr>
        <w:t>Technical Report GE Power Systems GER 3568G.  Davis, L. B., and S.H. Black, General Electric.  “Dry Low NO</w:t>
      </w:r>
      <w:r w:rsidRPr="00411EBF">
        <w:rPr>
          <w:sz w:val="18"/>
          <w:szCs w:val="18"/>
          <w:vertAlign w:val="subscript"/>
        </w:rPr>
        <w:t>X</w:t>
      </w:r>
      <w:r w:rsidRPr="00411EBF">
        <w:rPr>
          <w:sz w:val="18"/>
          <w:szCs w:val="18"/>
        </w:rPr>
        <w:t xml:space="preserve"> Combustion Systems for GE Heavy-Duty Gas Turbines.”  2000.  </w:t>
      </w:r>
    </w:p>
  </w:footnote>
  <w:footnote w:id="2">
    <w:p w:rsidR="0028135C" w:rsidRPr="000E5C22" w:rsidRDefault="0028135C" w:rsidP="00327342">
      <w:pPr>
        <w:tabs>
          <w:tab w:val="left" w:pos="360"/>
        </w:tabs>
        <w:autoSpaceDE w:val="0"/>
        <w:autoSpaceDN w:val="0"/>
        <w:adjustRightInd w:val="0"/>
        <w:spacing w:after="60"/>
        <w:ind w:left="360" w:hanging="360"/>
        <w:rPr>
          <w:sz w:val="18"/>
          <w:szCs w:val="18"/>
        </w:rPr>
      </w:pPr>
      <w:r w:rsidRPr="00120363">
        <w:rPr>
          <w:rStyle w:val="FootnoteReference"/>
          <w:sz w:val="22"/>
          <w:szCs w:val="22"/>
        </w:rPr>
        <w:footnoteRef/>
      </w:r>
      <w:r w:rsidRPr="00120363">
        <w:rPr>
          <w:sz w:val="22"/>
          <w:szCs w:val="22"/>
        </w:rPr>
        <w:t xml:space="preserve"> </w:t>
      </w:r>
      <w:r w:rsidRPr="00120363">
        <w:rPr>
          <w:sz w:val="22"/>
          <w:szCs w:val="22"/>
        </w:rPr>
        <w:tab/>
      </w:r>
      <w:r w:rsidRPr="000E5C22">
        <w:rPr>
          <w:sz w:val="18"/>
          <w:szCs w:val="18"/>
        </w:rPr>
        <w:t xml:space="preserve">Technical Report GE 3695E.  </w:t>
      </w:r>
      <w:proofErr w:type="spellStart"/>
      <w:r w:rsidRPr="000E5C22">
        <w:rPr>
          <w:sz w:val="18"/>
          <w:szCs w:val="18"/>
        </w:rPr>
        <w:t>Badeer</w:t>
      </w:r>
      <w:proofErr w:type="spellEnd"/>
      <w:r w:rsidRPr="000E5C22">
        <w:rPr>
          <w:sz w:val="18"/>
          <w:szCs w:val="18"/>
        </w:rPr>
        <w:t xml:space="preserve">, G. H., General Electric.  “GE Aeroderivative Gas Turbines – Design and Operating Features.”  2000.  </w:t>
      </w:r>
    </w:p>
  </w:footnote>
  <w:footnote w:id="3">
    <w:p w:rsidR="0028135C" w:rsidRPr="00760DA7" w:rsidRDefault="0028135C" w:rsidP="00CC27AE">
      <w:pPr>
        <w:pStyle w:val="FootnoteText"/>
        <w:tabs>
          <w:tab w:val="left" w:pos="360"/>
        </w:tabs>
        <w:spacing w:after="60"/>
        <w:ind w:left="360" w:hanging="360"/>
        <w:rPr>
          <w:sz w:val="18"/>
          <w:szCs w:val="18"/>
        </w:rPr>
      </w:pPr>
      <w:r w:rsidRPr="00120363">
        <w:rPr>
          <w:rStyle w:val="FootnoteReference"/>
          <w:sz w:val="22"/>
          <w:szCs w:val="22"/>
        </w:rPr>
        <w:footnoteRef/>
      </w:r>
      <w:r w:rsidRPr="00120363">
        <w:rPr>
          <w:sz w:val="22"/>
          <w:szCs w:val="22"/>
        </w:rPr>
        <w:t xml:space="preserve"> </w:t>
      </w:r>
      <w:r w:rsidRPr="00120363">
        <w:rPr>
          <w:sz w:val="22"/>
          <w:szCs w:val="22"/>
        </w:rPr>
        <w:tab/>
      </w:r>
      <w:r w:rsidRPr="00760DA7">
        <w:rPr>
          <w:sz w:val="18"/>
          <w:szCs w:val="18"/>
        </w:rPr>
        <w:t xml:space="preserve">Report.  </w:t>
      </w:r>
      <w:proofErr w:type="spellStart"/>
      <w:r w:rsidRPr="00760DA7">
        <w:rPr>
          <w:sz w:val="18"/>
          <w:szCs w:val="18"/>
        </w:rPr>
        <w:t>Cubix</w:t>
      </w:r>
      <w:proofErr w:type="spellEnd"/>
      <w:r w:rsidRPr="00760DA7">
        <w:rPr>
          <w:sz w:val="18"/>
          <w:szCs w:val="18"/>
        </w:rPr>
        <w:t xml:space="preserve"> Corporation.  "Exhaust Emissions from a GE PG7241FA Simple Cycle Power Turbine at TEC Polk Power Station."  September 2000.</w:t>
      </w:r>
    </w:p>
  </w:footnote>
  <w:footnote w:id="4">
    <w:p w:rsidR="0028135C" w:rsidRPr="00977E23" w:rsidRDefault="0028135C" w:rsidP="00120363">
      <w:pPr>
        <w:pStyle w:val="FootnoteText"/>
        <w:spacing w:after="60"/>
        <w:ind w:left="360" w:hanging="360"/>
        <w:rPr>
          <w:sz w:val="18"/>
          <w:szCs w:val="18"/>
        </w:rPr>
      </w:pPr>
      <w:r w:rsidRPr="00120363">
        <w:rPr>
          <w:rStyle w:val="FootnoteReference"/>
          <w:sz w:val="22"/>
          <w:szCs w:val="22"/>
        </w:rPr>
        <w:footnoteRef/>
      </w:r>
      <w:r w:rsidRPr="00120363">
        <w:rPr>
          <w:rStyle w:val="FootnoteReference"/>
          <w:sz w:val="22"/>
          <w:szCs w:val="22"/>
        </w:rPr>
        <w:t xml:space="preserve"> </w:t>
      </w:r>
      <w:r w:rsidRPr="00120363">
        <w:rPr>
          <w:sz w:val="22"/>
          <w:szCs w:val="22"/>
        </w:rPr>
        <w:tab/>
      </w:r>
      <w:r w:rsidRPr="00977E23">
        <w:rPr>
          <w:sz w:val="18"/>
          <w:szCs w:val="18"/>
        </w:rPr>
        <w:t>News Release.  Catalytica.  First Gas Turbine with Catalytica’s XONON installed to Produce Electricity at a Utility.  October 8, 1998.</w:t>
      </w:r>
    </w:p>
  </w:footnote>
  <w:footnote w:id="5">
    <w:p w:rsidR="0028135C" w:rsidRPr="00977E23" w:rsidRDefault="0028135C" w:rsidP="00120363">
      <w:pPr>
        <w:pStyle w:val="FootnoteText"/>
        <w:spacing w:after="60"/>
        <w:ind w:left="360" w:hanging="360"/>
        <w:rPr>
          <w:sz w:val="18"/>
          <w:szCs w:val="18"/>
        </w:rPr>
      </w:pPr>
      <w:r w:rsidRPr="00977E23">
        <w:rPr>
          <w:rStyle w:val="FootnoteReference"/>
          <w:sz w:val="18"/>
          <w:szCs w:val="18"/>
        </w:rPr>
        <w:footnoteRef/>
      </w:r>
      <w:r w:rsidRPr="00977E23">
        <w:rPr>
          <w:rStyle w:val="FootnoteReference"/>
          <w:sz w:val="18"/>
          <w:szCs w:val="18"/>
        </w:rPr>
        <w:t xml:space="preserve"> </w:t>
      </w:r>
      <w:r w:rsidRPr="00977E23">
        <w:rPr>
          <w:sz w:val="18"/>
          <w:szCs w:val="18"/>
        </w:rPr>
        <w:tab/>
        <w:t>News Release.  Catalytica.  Catalytica Energy Systems XONON Cool Combustion System Demonstrating NO</w:t>
      </w:r>
      <w:r w:rsidRPr="00977E23">
        <w:rPr>
          <w:sz w:val="18"/>
          <w:szCs w:val="18"/>
          <w:vertAlign w:val="subscript"/>
        </w:rPr>
        <w:t>X</w:t>
      </w:r>
      <w:r w:rsidRPr="00977E23">
        <w:rPr>
          <w:sz w:val="18"/>
          <w:szCs w:val="18"/>
        </w:rPr>
        <w:t xml:space="preserve"> Emissions Well Below its 3 ppm Guarantee in Commercial Gas Turbine Applications.  February 17, 2004.</w:t>
      </w:r>
    </w:p>
  </w:footnote>
  <w:footnote w:id="6">
    <w:p w:rsidR="0028135C" w:rsidRPr="00977E23" w:rsidRDefault="0028135C" w:rsidP="00120363">
      <w:pPr>
        <w:pStyle w:val="FootnoteText"/>
        <w:tabs>
          <w:tab w:val="left" w:pos="360"/>
        </w:tabs>
        <w:spacing w:after="60"/>
        <w:ind w:left="360" w:hanging="360"/>
        <w:rPr>
          <w:sz w:val="18"/>
          <w:szCs w:val="18"/>
        </w:rPr>
      </w:pPr>
      <w:r w:rsidRPr="00977E23">
        <w:rPr>
          <w:rStyle w:val="FootnoteReference"/>
          <w:sz w:val="18"/>
          <w:szCs w:val="18"/>
        </w:rPr>
        <w:footnoteRef/>
      </w:r>
      <w:r w:rsidRPr="00977E23">
        <w:rPr>
          <w:sz w:val="18"/>
          <w:szCs w:val="18"/>
        </w:rPr>
        <w:t xml:space="preserve"> </w:t>
      </w:r>
      <w:r w:rsidRPr="00977E23">
        <w:rPr>
          <w:sz w:val="18"/>
          <w:szCs w:val="18"/>
        </w:rPr>
        <w:tab/>
        <w:t>Statement.  EPA and Research Triangle Institute.  ETV Joint Verification Statement.  XONON</w:t>
      </w:r>
      <w:r w:rsidRPr="00977E23">
        <w:rPr>
          <w:sz w:val="18"/>
          <w:szCs w:val="18"/>
          <w:vertAlign w:val="superscript"/>
        </w:rPr>
        <w:t>TM</w:t>
      </w:r>
      <w:r w:rsidRPr="00977E23">
        <w:rPr>
          <w:sz w:val="18"/>
          <w:szCs w:val="18"/>
        </w:rPr>
        <w:t xml:space="preserve"> Cool Combustion.  December, 2000.</w:t>
      </w:r>
    </w:p>
  </w:footnote>
  <w:footnote w:id="7">
    <w:p w:rsidR="0028135C" w:rsidRPr="0011369F" w:rsidRDefault="0028135C" w:rsidP="00563080">
      <w:pPr>
        <w:pStyle w:val="FootnoteText"/>
        <w:tabs>
          <w:tab w:val="left" w:pos="360"/>
        </w:tabs>
        <w:spacing w:after="60"/>
        <w:ind w:left="360" w:hanging="360"/>
        <w:rPr>
          <w:sz w:val="18"/>
          <w:szCs w:val="18"/>
        </w:rPr>
      </w:pPr>
      <w:r w:rsidRPr="00120363">
        <w:rPr>
          <w:rStyle w:val="FootnoteReference"/>
          <w:sz w:val="22"/>
          <w:szCs w:val="22"/>
        </w:rPr>
        <w:footnoteRef/>
      </w:r>
      <w:r w:rsidRPr="00120363">
        <w:rPr>
          <w:sz w:val="22"/>
          <w:szCs w:val="22"/>
        </w:rPr>
        <w:t xml:space="preserve"> </w:t>
      </w:r>
      <w:r w:rsidRPr="00120363">
        <w:rPr>
          <w:sz w:val="22"/>
          <w:szCs w:val="22"/>
        </w:rPr>
        <w:tab/>
      </w:r>
      <w:r w:rsidRPr="0011369F">
        <w:rPr>
          <w:sz w:val="18"/>
          <w:szCs w:val="18"/>
        </w:rPr>
        <w:t>Technical Report GE 4213.  Davis, L.B. and Black, S.H.  GE Power Systems.  “Support for Elimination of Oxidation Catalyst Requirements for GE PG7242FA DLN Combustion Turbines.”  August 2001.</w:t>
      </w:r>
    </w:p>
  </w:footnote>
  <w:footnote w:id="8">
    <w:p w:rsidR="0028135C" w:rsidRDefault="0028135C">
      <w:pPr>
        <w:pStyle w:val="FootnoteText"/>
      </w:pPr>
      <w:r>
        <w:rPr>
          <w:rStyle w:val="FootnoteReference"/>
        </w:rPr>
        <w:footnoteRef/>
      </w:r>
      <w:r>
        <w:t xml:space="preserve"> Email dated November 11, 2013 from Mike Bilelow of </w:t>
      </w:r>
      <w:r w:rsidRPr="00C527FD">
        <w:t>Oglethorpe Power Corporation</w:t>
      </w:r>
      <w:r>
        <w:t xml:space="preserve"> to Alvaro Linero of the Florida DEP.</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135C" w:rsidRDefault="0028135C" w:rsidP="00E35B81">
    <w:pPr>
      <w:pStyle w:val="Header"/>
      <w:pBdr>
        <w:bottom w:val="single" w:sz="6" w:space="1" w:color="auto"/>
      </w:pBdr>
      <w:spacing w:after="360"/>
      <w:jc w:val="center"/>
      <w:rPr>
        <w:b/>
        <w:caps/>
        <w:sz w:val="22"/>
      </w:rPr>
    </w:pPr>
    <w:r>
      <w:rPr>
        <w:b/>
        <w:caps/>
        <w:sz w:val="22"/>
      </w:rPr>
      <w:t>TECHNICAL EVALUATION and PRELIMINARY DETERMINATION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8135C" w:rsidRDefault="0028135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3"/>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1">
    <w:nsid w:val="040C6FC2"/>
    <w:multiLevelType w:val="hybridMultilevel"/>
    <w:tmpl w:val="6352AF28"/>
    <w:lvl w:ilvl="0" w:tplc="4888E38E">
      <w:start w:val="1"/>
      <w:numFmt w:val="decimal"/>
      <w:lvlText w:val="%1."/>
      <w:lvlJc w:val="left"/>
      <w:pPr>
        <w:ind w:left="720" w:hanging="360"/>
      </w:pPr>
      <w:rPr>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77C5B65"/>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4">
    <w:nsid w:val="0AB73A42"/>
    <w:multiLevelType w:val="hybridMultilevel"/>
    <w:tmpl w:val="74B00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ED2C7E"/>
    <w:multiLevelType w:val="multilevel"/>
    <w:tmpl w:val="6FB02BF8"/>
    <w:lvl w:ilvl="0">
      <w:start w:val="1"/>
      <w:numFmt w:val="lowerLetter"/>
      <w:lvlText w:val="%1."/>
      <w:lvlJc w:val="left"/>
      <w:pPr>
        <w:tabs>
          <w:tab w:val="num" w:pos="342"/>
        </w:tabs>
        <w:ind w:left="342" w:firstLine="0"/>
      </w:pPr>
      <w:rPr>
        <w:rFonts w:hint="default"/>
        <w:color w:val="000000"/>
        <w:position w:val="0"/>
        <w:sz w:val="18"/>
        <w:szCs w:val="18"/>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6">
    <w:nsid w:val="0F7B21C5"/>
    <w:multiLevelType w:val="hybridMultilevel"/>
    <w:tmpl w:val="DB1C4478"/>
    <w:lvl w:ilvl="0" w:tplc="3EC2243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2F0C9F"/>
    <w:multiLevelType w:val="hybridMultilevel"/>
    <w:tmpl w:val="D54ED1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7C68B7"/>
    <w:multiLevelType w:val="multilevel"/>
    <w:tmpl w:val="E7CC0BF0"/>
    <w:lvl w:ilvl="0">
      <w:start w:val="1"/>
      <w:numFmt w:val="decimal"/>
      <w:pStyle w:val="GAIHeading1"/>
      <w:lvlText w:val="%1.0"/>
      <w:lvlJc w:val="left"/>
      <w:pPr>
        <w:ind w:left="720" w:hanging="720"/>
      </w:pPr>
      <w:rPr>
        <w:rFonts w:ascii="Arial" w:hAnsi="Arial" w:cs="Times New Roman" w:hint="default"/>
        <w:b/>
        <w:i w:val="0"/>
        <w:caps/>
        <w:strike w:val="0"/>
        <w:dstrike w:val="0"/>
        <w:vanish w:val="0"/>
        <w:color w:val="008091"/>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AIHeading2"/>
      <w:lvlText w:val="%1.%2"/>
      <w:lvlJc w:val="left"/>
      <w:pPr>
        <w:ind w:left="720" w:hanging="720"/>
      </w:pPr>
      <w:rPr>
        <w:rFonts w:ascii="Arial" w:hAnsi="Arial" w:cs="Times New Roman" w:hint="default"/>
        <w:b/>
        <w:i w:val="0"/>
        <w:caps w:val="0"/>
        <w:strike w:val="0"/>
        <w:dstrike w:val="0"/>
        <w:vanish w:val="0"/>
        <w:color w:val="008091"/>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GAIHeading3"/>
      <w:lvlText w:val="%1.%2.%3"/>
      <w:lvlJc w:val="left"/>
      <w:pPr>
        <w:ind w:left="720" w:hanging="720"/>
      </w:pPr>
      <w:rPr>
        <w:rFonts w:ascii="Arial" w:hAnsi="Arial" w:cs="Times New Roman" w:hint="default"/>
        <w:b/>
        <w:i/>
        <w:caps w:val="0"/>
        <w:strike w:val="0"/>
        <w:dstrike w:val="0"/>
        <w:vanish w:val="0"/>
        <w:color w:val="008091"/>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GAIHeading4"/>
      <w:lvlText w:val="%1.%2.%3.%4"/>
      <w:lvlJc w:val="left"/>
      <w:pPr>
        <w:ind w:left="720" w:hanging="720"/>
      </w:pPr>
      <w:rPr>
        <w:rFonts w:ascii="Arial" w:hAnsi="Arial" w:cs="Times New Roman" w:hint="default"/>
        <w:b w:val="0"/>
        <w:i w:val="0"/>
        <w:caps w:val="0"/>
        <w:strike w:val="0"/>
        <w:dstrike w:val="0"/>
        <w:vanish w:val="0"/>
        <w:color w:val="008091"/>
        <w:sz w:val="22"/>
        <w:u w:val="single" w:color="008091"/>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GAIHeading5"/>
      <w:lvlText w:val="%1.%2.%3.%4.%5"/>
      <w:lvlJc w:val="left"/>
      <w:pPr>
        <w:ind w:left="720" w:hanging="720"/>
      </w:pPr>
      <w:rPr>
        <w:rFonts w:ascii="Arial" w:hAnsi="Arial" w:cs="Times New Roman" w:hint="default"/>
        <w:b w:val="0"/>
        <w:i w:val="0"/>
        <w:caps w:val="0"/>
        <w:strike w:val="0"/>
        <w:dstrike w:val="0"/>
        <w:vanish w:val="0"/>
        <w:color w:val="008091"/>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GAIHeading6"/>
      <w:lvlText w:val="%1.%2.%3.%4.%5.%6"/>
      <w:lvlJc w:val="left"/>
      <w:pPr>
        <w:ind w:left="720" w:hanging="720"/>
      </w:pPr>
      <w:rPr>
        <w:rFonts w:ascii="Arial" w:hAnsi="Arial" w:cs="Times New Roman" w:hint="default"/>
        <w:b w:val="0"/>
        <w:i/>
        <w:caps w:val="0"/>
        <w:strike w:val="0"/>
        <w:dstrike w:val="0"/>
        <w:vanish w:val="0"/>
        <w:color w:val="008091"/>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ind w:left="720" w:hanging="720"/>
      </w:pPr>
      <w:rPr>
        <w:rFonts w:cs="Times New Roman" w:hint="default"/>
      </w:rPr>
    </w:lvl>
    <w:lvl w:ilvl="7">
      <w:start w:val="1"/>
      <w:numFmt w:val="decimal"/>
      <w:lvlText w:val="%1.%2.%3.%4.%5.%6.%7.%8"/>
      <w:lvlJc w:val="left"/>
      <w:pPr>
        <w:ind w:left="720" w:hanging="720"/>
      </w:pPr>
      <w:rPr>
        <w:rFonts w:cs="Times New Roman" w:hint="default"/>
      </w:rPr>
    </w:lvl>
    <w:lvl w:ilvl="8">
      <w:start w:val="1"/>
      <w:numFmt w:val="decimal"/>
      <w:lvlText w:val="%1.%2.%3.%4.%5.%6.%7.%8.%9"/>
      <w:lvlJc w:val="left"/>
      <w:pPr>
        <w:ind w:left="720" w:hanging="720"/>
      </w:pPr>
      <w:rPr>
        <w:rFonts w:cs="Times New Roman" w:hint="default"/>
      </w:rPr>
    </w:lvl>
  </w:abstractNum>
  <w:abstractNum w:abstractNumId="9">
    <w:nsid w:val="18A64D20"/>
    <w:multiLevelType w:val="hybridMultilevel"/>
    <w:tmpl w:val="0D3CFDC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1C1D3D35"/>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11">
    <w:nsid w:val="1C466E25"/>
    <w:multiLevelType w:val="multilevel"/>
    <w:tmpl w:val="0409001F"/>
    <w:styleLink w:val="111111"/>
    <w:lvl w:ilvl="0">
      <w:start w:val="1"/>
      <w:numFmt w:val="decimal"/>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2">
    <w:nsid w:val="1F8604CD"/>
    <w:multiLevelType w:val="hybridMultilevel"/>
    <w:tmpl w:val="ACC8004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
    <w:nsid w:val="1FB344F6"/>
    <w:multiLevelType w:val="hybridMultilevel"/>
    <w:tmpl w:val="4D6C9716"/>
    <w:lvl w:ilvl="0" w:tplc="0068D748">
      <w:start w:val="1"/>
      <w:numFmt w:val="lowerLetter"/>
      <w:lvlText w:val="%1."/>
      <w:lvlJc w:val="left"/>
      <w:pPr>
        <w:tabs>
          <w:tab w:val="num" w:pos="1440"/>
        </w:tabs>
        <w:ind w:left="1440" w:hanging="360"/>
      </w:pPr>
      <w:rPr>
        <w:rFonts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4">
    <w:nsid w:val="20405CFE"/>
    <w:multiLevelType w:val="hybridMultilevel"/>
    <w:tmpl w:val="2506B3E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1254594"/>
    <w:multiLevelType w:val="hybridMultilevel"/>
    <w:tmpl w:val="6F68573A"/>
    <w:lvl w:ilvl="0" w:tplc="07FA6272">
      <w:start w:val="1"/>
      <w:numFmt w:val="lowerLetter"/>
      <w:lvlText w:val="(%1)"/>
      <w:lvlJc w:val="left"/>
      <w:pPr>
        <w:tabs>
          <w:tab w:val="num" w:pos="2142"/>
        </w:tabs>
        <w:ind w:left="2142" w:hanging="360"/>
      </w:pPr>
      <w:rPr>
        <w:rFonts w:hint="default"/>
      </w:rPr>
    </w:lvl>
    <w:lvl w:ilvl="1" w:tplc="FCD4DD12">
      <w:start w:val="1"/>
      <w:numFmt w:val="decimal"/>
      <w:lvlText w:val="%2."/>
      <w:lvlJc w:val="left"/>
      <w:pPr>
        <w:tabs>
          <w:tab w:val="num" w:pos="2160"/>
        </w:tabs>
        <w:ind w:left="2160" w:hanging="360"/>
      </w:pPr>
      <w:rPr>
        <w:rFonts w:hint="default"/>
        <w:b w:val="0"/>
        <w:i/>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6">
    <w:nsid w:val="23E52E3C"/>
    <w:multiLevelType w:val="hybridMultilevel"/>
    <w:tmpl w:val="E4CABD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732BC0"/>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18">
    <w:nsid w:val="2E982E92"/>
    <w:multiLevelType w:val="hybridMultilevel"/>
    <w:tmpl w:val="91A840A8"/>
    <w:lvl w:ilvl="0" w:tplc="5B2E4E12">
      <w:start w:val="3"/>
      <w:numFmt w:val="lowerLetter"/>
      <w:lvlText w:val="%1."/>
      <w:lvlJc w:val="left"/>
      <w:pPr>
        <w:ind w:left="144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539C6"/>
    <w:multiLevelType w:val="hybridMultilevel"/>
    <w:tmpl w:val="2528C5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DEA70DC"/>
    <w:multiLevelType w:val="hybridMultilevel"/>
    <w:tmpl w:val="065AF900"/>
    <w:lvl w:ilvl="0" w:tplc="04090001">
      <w:start w:val="1"/>
      <w:numFmt w:val="bullet"/>
      <w:lvlText w:val=""/>
      <w:lvlJc w:val="left"/>
      <w:pPr>
        <w:tabs>
          <w:tab w:val="num" w:pos="2880"/>
        </w:tabs>
        <w:ind w:left="2880" w:hanging="360"/>
      </w:pPr>
      <w:rPr>
        <w:rFonts w:ascii="Symbol" w:hAnsi="Symbol" w:hint="default"/>
      </w:rPr>
    </w:lvl>
    <w:lvl w:ilvl="1" w:tplc="04090003" w:tentative="1">
      <w:start w:val="1"/>
      <w:numFmt w:val="bullet"/>
      <w:lvlText w:val="o"/>
      <w:lvlJc w:val="left"/>
      <w:pPr>
        <w:tabs>
          <w:tab w:val="num" w:pos="3600"/>
        </w:tabs>
        <w:ind w:left="3600" w:hanging="360"/>
      </w:pPr>
      <w:rPr>
        <w:rFonts w:ascii="Courier New" w:hAnsi="Courier New" w:cs="Courier New" w:hint="default"/>
      </w:rPr>
    </w:lvl>
    <w:lvl w:ilvl="2" w:tplc="04090005" w:tentative="1">
      <w:start w:val="1"/>
      <w:numFmt w:val="bullet"/>
      <w:lvlText w:val=""/>
      <w:lvlJc w:val="left"/>
      <w:pPr>
        <w:tabs>
          <w:tab w:val="num" w:pos="4320"/>
        </w:tabs>
        <w:ind w:left="4320" w:hanging="360"/>
      </w:pPr>
      <w:rPr>
        <w:rFonts w:ascii="Wingdings" w:hAnsi="Wingdings" w:hint="default"/>
      </w:rPr>
    </w:lvl>
    <w:lvl w:ilvl="3" w:tplc="04090001" w:tentative="1">
      <w:start w:val="1"/>
      <w:numFmt w:val="bullet"/>
      <w:lvlText w:val=""/>
      <w:lvlJc w:val="left"/>
      <w:pPr>
        <w:tabs>
          <w:tab w:val="num" w:pos="5040"/>
        </w:tabs>
        <w:ind w:left="5040" w:hanging="360"/>
      </w:pPr>
      <w:rPr>
        <w:rFonts w:ascii="Symbol" w:hAnsi="Symbol" w:hint="default"/>
      </w:rPr>
    </w:lvl>
    <w:lvl w:ilvl="4" w:tplc="04090003" w:tentative="1">
      <w:start w:val="1"/>
      <w:numFmt w:val="bullet"/>
      <w:lvlText w:val="o"/>
      <w:lvlJc w:val="left"/>
      <w:pPr>
        <w:tabs>
          <w:tab w:val="num" w:pos="5760"/>
        </w:tabs>
        <w:ind w:left="5760" w:hanging="360"/>
      </w:pPr>
      <w:rPr>
        <w:rFonts w:ascii="Courier New" w:hAnsi="Courier New" w:cs="Courier New" w:hint="default"/>
      </w:rPr>
    </w:lvl>
    <w:lvl w:ilvl="5" w:tplc="04090005" w:tentative="1">
      <w:start w:val="1"/>
      <w:numFmt w:val="bullet"/>
      <w:lvlText w:val=""/>
      <w:lvlJc w:val="left"/>
      <w:pPr>
        <w:tabs>
          <w:tab w:val="num" w:pos="6480"/>
        </w:tabs>
        <w:ind w:left="6480" w:hanging="360"/>
      </w:pPr>
      <w:rPr>
        <w:rFonts w:ascii="Wingdings" w:hAnsi="Wingdings" w:hint="default"/>
      </w:rPr>
    </w:lvl>
    <w:lvl w:ilvl="6" w:tplc="04090001" w:tentative="1">
      <w:start w:val="1"/>
      <w:numFmt w:val="bullet"/>
      <w:lvlText w:val=""/>
      <w:lvlJc w:val="left"/>
      <w:pPr>
        <w:tabs>
          <w:tab w:val="num" w:pos="7200"/>
        </w:tabs>
        <w:ind w:left="7200" w:hanging="360"/>
      </w:pPr>
      <w:rPr>
        <w:rFonts w:ascii="Symbol" w:hAnsi="Symbol" w:hint="default"/>
      </w:rPr>
    </w:lvl>
    <w:lvl w:ilvl="7" w:tplc="04090003" w:tentative="1">
      <w:start w:val="1"/>
      <w:numFmt w:val="bullet"/>
      <w:lvlText w:val="o"/>
      <w:lvlJc w:val="left"/>
      <w:pPr>
        <w:tabs>
          <w:tab w:val="num" w:pos="7920"/>
        </w:tabs>
        <w:ind w:left="7920" w:hanging="360"/>
      </w:pPr>
      <w:rPr>
        <w:rFonts w:ascii="Courier New" w:hAnsi="Courier New" w:cs="Courier New" w:hint="default"/>
      </w:rPr>
    </w:lvl>
    <w:lvl w:ilvl="8" w:tplc="04090005" w:tentative="1">
      <w:start w:val="1"/>
      <w:numFmt w:val="bullet"/>
      <w:lvlText w:val=""/>
      <w:lvlJc w:val="left"/>
      <w:pPr>
        <w:tabs>
          <w:tab w:val="num" w:pos="8640"/>
        </w:tabs>
        <w:ind w:left="8640" w:hanging="360"/>
      </w:pPr>
      <w:rPr>
        <w:rFonts w:ascii="Wingdings" w:hAnsi="Wingdings" w:hint="default"/>
      </w:rPr>
    </w:lvl>
  </w:abstractNum>
  <w:abstractNum w:abstractNumId="21">
    <w:nsid w:val="439C07EE"/>
    <w:multiLevelType w:val="hybridMultilevel"/>
    <w:tmpl w:val="DBC4A1A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2">
    <w:nsid w:val="442D32DF"/>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23">
    <w:nsid w:val="4D771F8C"/>
    <w:multiLevelType w:val="multilevel"/>
    <w:tmpl w:val="F81604B4"/>
    <w:lvl w:ilvl="0">
      <w:start w:val="5"/>
      <w:numFmt w:val="decimal"/>
      <w:lvlText w:val="%1."/>
      <w:lvlJc w:val="left"/>
      <w:pPr>
        <w:ind w:left="360" w:hanging="360"/>
      </w:pPr>
      <w:rPr>
        <w:rFonts w:hint="default"/>
      </w:rPr>
    </w:lvl>
    <w:lvl w:ilvl="1">
      <w:start w:val="1"/>
      <w:numFmt w:val="decimal"/>
      <w:lvlText w:val="%1.%2."/>
      <w:lvlJc w:val="left"/>
      <w:pPr>
        <w:ind w:left="43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i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4D8955BF"/>
    <w:multiLevelType w:val="hybridMultilevel"/>
    <w:tmpl w:val="6352AF28"/>
    <w:lvl w:ilvl="0" w:tplc="4888E38E">
      <w:start w:val="1"/>
      <w:numFmt w:val="decimal"/>
      <w:lvlText w:val="%1."/>
      <w:lvlJc w:val="left"/>
      <w:pPr>
        <w:ind w:left="720" w:hanging="360"/>
      </w:pPr>
      <w:rPr>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79534D9"/>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26">
    <w:nsid w:val="5B8E2869"/>
    <w:multiLevelType w:val="hybridMultilevel"/>
    <w:tmpl w:val="21CCD61C"/>
    <w:lvl w:ilvl="0" w:tplc="0409000F">
      <w:start w:val="1"/>
      <w:numFmt w:val="decimal"/>
      <w:lvlText w:val="%1."/>
      <w:lvlJc w:val="left"/>
      <w:pPr>
        <w:ind w:left="813" w:hanging="360"/>
      </w:pPr>
    </w:lvl>
    <w:lvl w:ilvl="1" w:tplc="04090019" w:tentative="1">
      <w:start w:val="1"/>
      <w:numFmt w:val="lowerLetter"/>
      <w:lvlText w:val="%2."/>
      <w:lvlJc w:val="left"/>
      <w:pPr>
        <w:ind w:left="1533" w:hanging="360"/>
      </w:pPr>
    </w:lvl>
    <w:lvl w:ilvl="2" w:tplc="0409001B" w:tentative="1">
      <w:start w:val="1"/>
      <w:numFmt w:val="lowerRoman"/>
      <w:lvlText w:val="%3."/>
      <w:lvlJc w:val="right"/>
      <w:pPr>
        <w:ind w:left="2253" w:hanging="180"/>
      </w:pPr>
    </w:lvl>
    <w:lvl w:ilvl="3" w:tplc="0409000F" w:tentative="1">
      <w:start w:val="1"/>
      <w:numFmt w:val="decimal"/>
      <w:lvlText w:val="%4."/>
      <w:lvlJc w:val="left"/>
      <w:pPr>
        <w:ind w:left="2973" w:hanging="360"/>
      </w:pPr>
    </w:lvl>
    <w:lvl w:ilvl="4" w:tplc="04090019" w:tentative="1">
      <w:start w:val="1"/>
      <w:numFmt w:val="lowerLetter"/>
      <w:lvlText w:val="%5."/>
      <w:lvlJc w:val="left"/>
      <w:pPr>
        <w:ind w:left="3693" w:hanging="360"/>
      </w:pPr>
    </w:lvl>
    <w:lvl w:ilvl="5" w:tplc="0409001B" w:tentative="1">
      <w:start w:val="1"/>
      <w:numFmt w:val="lowerRoman"/>
      <w:lvlText w:val="%6."/>
      <w:lvlJc w:val="right"/>
      <w:pPr>
        <w:ind w:left="4413" w:hanging="180"/>
      </w:pPr>
    </w:lvl>
    <w:lvl w:ilvl="6" w:tplc="0409000F" w:tentative="1">
      <w:start w:val="1"/>
      <w:numFmt w:val="decimal"/>
      <w:lvlText w:val="%7."/>
      <w:lvlJc w:val="left"/>
      <w:pPr>
        <w:ind w:left="5133" w:hanging="360"/>
      </w:pPr>
    </w:lvl>
    <w:lvl w:ilvl="7" w:tplc="04090019" w:tentative="1">
      <w:start w:val="1"/>
      <w:numFmt w:val="lowerLetter"/>
      <w:lvlText w:val="%8."/>
      <w:lvlJc w:val="left"/>
      <w:pPr>
        <w:ind w:left="5853" w:hanging="360"/>
      </w:pPr>
    </w:lvl>
    <w:lvl w:ilvl="8" w:tplc="0409001B" w:tentative="1">
      <w:start w:val="1"/>
      <w:numFmt w:val="lowerRoman"/>
      <w:lvlText w:val="%9."/>
      <w:lvlJc w:val="right"/>
      <w:pPr>
        <w:ind w:left="6573" w:hanging="180"/>
      </w:pPr>
    </w:lvl>
  </w:abstractNum>
  <w:abstractNum w:abstractNumId="27">
    <w:nsid w:val="5C395138"/>
    <w:multiLevelType w:val="multilevel"/>
    <w:tmpl w:val="04090023"/>
    <w:styleLink w:val="ArticleSection"/>
    <w:lvl w:ilvl="0">
      <w:start w:val="1"/>
      <w:numFmt w:val="upperRoman"/>
      <w:lvlText w:val="Article %1."/>
      <w:lvlJc w:val="left"/>
      <w:rPr>
        <w:rFonts w:cs="Times New Roman"/>
      </w:rPr>
    </w:lvl>
    <w:lvl w:ilvl="1">
      <w:start w:val="1"/>
      <w:numFmt w:val="decimalZero"/>
      <w:isLgl/>
      <w:lvlText w:val="Section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28">
    <w:nsid w:val="5CB37718"/>
    <w:multiLevelType w:val="multilevel"/>
    <w:tmpl w:val="894EE875"/>
    <w:lvl w:ilvl="0">
      <w:start w:val="1"/>
      <w:numFmt w:val="lowerLetter"/>
      <w:lvlText w:val="%1."/>
      <w:lvlJc w:val="left"/>
      <w:pPr>
        <w:tabs>
          <w:tab w:val="num" w:pos="342"/>
        </w:tabs>
        <w:ind w:left="342" w:firstLine="0"/>
      </w:pPr>
      <w:rPr>
        <w:rFonts w:hint="default"/>
        <w:color w:val="000000"/>
        <w:position w:val="0"/>
        <w:sz w:val="20"/>
      </w:rPr>
    </w:lvl>
    <w:lvl w:ilvl="1">
      <w:start w:val="1"/>
      <w:numFmt w:val="lowerLetter"/>
      <w:lvlText w:val="%2."/>
      <w:lvlJc w:val="left"/>
      <w:pPr>
        <w:tabs>
          <w:tab w:val="num" w:pos="360"/>
        </w:tabs>
        <w:ind w:left="360" w:firstLine="1080"/>
      </w:pPr>
      <w:rPr>
        <w:rFonts w:hint="default"/>
        <w:color w:val="000000"/>
        <w:position w:val="0"/>
        <w:sz w:val="20"/>
      </w:rPr>
    </w:lvl>
    <w:lvl w:ilvl="2">
      <w:start w:val="1"/>
      <w:numFmt w:val="lowerRoman"/>
      <w:lvlText w:val="%3."/>
      <w:lvlJc w:val="left"/>
      <w:pPr>
        <w:tabs>
          <w:tab w:val="num" w:pos="370"/>
        </w:tabs>
        <w:ind w:left="370" w:firstLine="1790"/>
      </w:pPr>
      <w:rPr>
        <w:rFonts w:hint="default"/>
        <w:color w:val="000000"/>
        <w:position w:val="0"/>
        <w:sz w:val="20"/>
      </w:rPr>
    </w:lvl>
    <w:lvl w:ilvl="3">
      <w:start w:val="1"/>
      <w:numFmt w:val="decimal"/>
      <w:isLgl/>
      <w:lvlText w:val="%4."/>
      <w:lvlJc w:val="left"/>
      <w:pPr>
        <w:tabs>
          <w:tab w:val="num" w:pos="360"/>
        </w:tabs>
        <w:ind w:left="360" w:firstLine="2520"/>
      </w:pPr>
      <w:rPr>
        <w:rFonts w:hint="default"/>
        <w:color w:val="000000"/>
        <w:position w:val="0"/>
        <w:sz w:val="20"/>
      </w:rPr>
    </w:lvl>
    <w:lvl w:ilvl="4">
      <w:start w:val="1"/>
      <w:numFmt w:val="lowerLetter"/>
      <w:lvlText w:val="%5."/>
      <w:lvlJc w:val="left"/>
      <w:pPr>
        <w:tabs>
          <w:tab w:val="num" w:pos="360"/>
        </w:tabs>
        <w:ind w:left="360" w:firstLine="3240"/>
      </w:pPr>
      <w:rPr>
        <w:rFonts w:hint="default"/>
        <w:color w:val="000000"/>
        <w:position w:val="0"/>
        <w:sz w:val="20"/>
      </w:rPr>
    </w:lvl>
    <w:lvl w:ilvl="5">
      <w:start w:val="1"/>
      <w:numFmt w:val="lowerRoman"/>
      <w:lvlText w:val="%6."/>
      <w:lvlJc w:val="left"/>
      <w:pPr>
        <w:tabs>
          <w:tab w:val="num" w:pos="370"/>
        </w:tabs>
        <w:ind w:left="370" w:firstLine="3950"/>
      </w:pPr>
      <w:rPr>
        <w:rFonts w:hint="default"/>
        <w:color w:val="000000"/>
        <w:position w:val="0"/>
        <w:sz w:val="20"/>
      </w:rPr>
    </w:lvl>
    <w:lvl w:ilvl="6">
      <w:start w:val="1"/>
      <w:numFmt w:val="decimal"/>
      <w:isLgl/>
      <w:lvlText w:val="%7."/>
      <w:lvlJc w:val="left"/>
      <w:pPr>
        <w:tabs>
          <w:tab w:val="num" w:pos="360"/>
        </w:tabs>
        <w:ind w:left="360" w:firstLine="4680"/>
      </w:pPr>
      <w:rPr>
        <w:rFonts w:hint="default"/>
        <w:color w:val="000000"/>
        <w:position w:val="0"/>
        <w:sz w:val="20"/>
      </w:rPr>
    </w:lvl>
    <w:lvl w:ilvl="7">
      <w:start w:val="1"/>
      <w:numFmt w:val="lowerLetter"/>
      <w:lvlText w:val="%8."/>
      <w:lvlJc w:val="left"/>
      <w:pPr>
        <w:tabs>
          <w:tab w:val="num" w:pos="360"/>
        </w:tabs>
        <w:ind w:left="360" w:firstLine="5400"/>
      </w:pPr>
      <w:rPr>
        <w:rFonts w:hint="default"/>
        <w:color w:val="000000"/>
        <w:position w:val="0"/>
        <w:sz w:val="20"/>
      </w:rPr>
    </w:lvl>
    <w:lvl w:ilvl="8">
      <w:start w:val="1"/>
      <w:numFmt w:val="lowerRoman"/>
      <w:lvlText w:val="%9."/>
      <w:lvlJc w:val="left"/>
      <w:pPr>
        <w:tabs>
          <w:tab w:val="num" w:pos="370"/>
        </w:tabs>
        <w:ind w:left="370" w:firstLine="6110"/>
      </w:pPr>
      <w:rPr>
        <w:rFonts w:hint="default"/>
        <w:color w:val="000000"/>
        <w:position w:val="0"/>
        <w:sz w:val="20"/>
      </w:rPr>
    </w:lvl>
  </w:abstractNum>
  <w:abstractNum w:abstractNumId="29">
    <w:nsid w:val="5EFE7DDB"/>
    <w:multiLevelType w:val="hybridMultilevel"/>
    <w:tmpl w:val="052CBB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6411DAA"/>
    <w:multiLevelType w:val="multilevel"/>
    <w:tmpl w:val="A674373A"/>
    <w:lvl w:ilvl="0">
      <w:start w:val="1"/>
      <w:numFmt w:val="decimal"/>
      <w:lvlText w:val="%1."/>
      <w:lvlJc w:val="left"/>
      <w:pPr>
        <w:ind w:left="360" w:hanging="360"/>
      </w:pPr>
      <w:rPr>
        <w:rFonts w:hint="default"/>
        <w:b/>
      </w:rPr>
    </w:lvl>
    <w:lvl w:ilvl="1">
      <w:start w:val="1"/>
      <w:numFmt w:val="decimal"/>
      <w:lvlText w:val="%1.%2."/>
      <w:lvlJc w:val="left"/>
      <w:pPr>
        <w:ind w:left="792" w:hanging="432"/>
      </w:pPr>
      <w:rPr>
        <w:b/>
      </w:rPr>
    </w:lvl>
    <w:lvl w:ilvl="2">
      <w:start w:val="1"/>
      <w:numFmt w:val="decimal"/>
      <w:lvlText w:val="%1.%2.%3."/>
      <w:lvlJc w:val="left"/>
      <w:pPr>
        <w:ind w:left="1224" w:hanging="504"/>
      </w:pPr>
      <w:rPr>
        <w:b/>
        <w:i w:val="0"/>
      </w:rPr>
    </w:lvl>
    <w:lvl w:ilvl="3">
      <w:start w:val="1"/>
      <w:numFmt w:val="decimal"/>
      <w:lvlText w:val="%1.%2.%3.%4."/>
      <w:lvlJc w:val="left"/>
      <w:pPr>
        <w:ind w:left="1728" w:hanging="648"/>
      </w:pPr>
      <w:rPr>
        <w:b/>
        <w:i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6A465A74"/>
    <w:multiLevelType w:val="hybridMultilevel"/>
    <w:tmpl w:val="C846C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21119D"/>
    <w:multiLevelType w:val="hybridMultilevel"/>
    <w:tmpl w:val="B39CE35E"/>
    <w:lvl w:ilvl="0" w:tplc="1B8086B8">
      <w:start w:val="1"/>
      <w:numFmt w:val="lowerLetter"/>
      <w:lvlText w:val="%1."/>
      <w:lvlJc w:val="left"/>
      <w:pPr>
        <w:ind w:left="144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D150D30"/>
    <w:multiLevelType w:val="hybridMultilevel"/>
    <w:tmpl w:val="130ABF18"/>
    <w:lvl w:ilvl="0" w:tplc="3EB07064">
      <w:start w:val="1"/>
      <w:numFmt w:val="lowerLetter"/>
      <w:lvlText w:val="%1."/>
      <w:lvlJc w:val="left"/>
      <w:pPr>
        <w:ind w:left="1440" w:hanging="360"/>
      </w:pPr>
      <w:rPr>
        <w:rFonts w:hint="default"/>
        <w:sz w:val="1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DC1319C"/>
    <w:multiLevelType w:val="hybridMultilevel"/>
    <w:tmpl w:val="06A41748"/>
    <w:lvl w:ilvl="0" w:tplc="801C2268">
      <w:start w:val="1"/>
      <w:numFmt w:val="decimal"/>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7E68226E"/>
    <w:multiLevelType w:val="hybridMultilevel"/>
    <w:tmpl w:val="130ABF18"/>
    <w:lvl w:ilvl="0" w:tplc="3EB07064">
      <w:start w:val="1"/>
      <w:numFmt w:val="lowerLetter"/>
      <w:lvlText w:val="%1."/>
      <w:lvlJc w:val="left"/>
      <w:pPr>
        <w:ind w:left="1440" w:hanging="360"/>
      </w:pPr>
      <w:rPr>
        <w:rFonts w:hint="default"/>
        <w:sz w:val="1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2"/>
  </w:num>
  <w:num w:numId="2">
    <w:abstractNumId w:val="30"/>
  </w:num>
  <w:num w:numId="3">
    <w:abstractNumId w:val="20"/>
  </w:num>
  <w:num w:numId="4">
    <w:abstractNumId w:val="9"/>
  </w:num>
  <w:num w:numId="5">
    <w:abstractNumId w:val="11"/>
  </w:num>
  <w:num w:numId="6">
    <w:abstractNumId w:val="27"/>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12"/>
  </w:num>
  <w:num w:numId="11">
    <w:abstractNumId w:val="21"/>
  </w:num>
  <w:num w:numId="12">
    <w:abstractNumId w:val="34"/>
  </w:num>
  <w:num w:numId="13">
    <w:abstractNumId w:val="15"/>
  </w:num>
  <w:num w:numId="14">
    <w:abstractNumId w:val="31"/>
  </w:num>
  <w:num w:numId="15">
    <w:abstractNumId w:val="24"/>
  </w:num>
  <w:num w:numId="16">
    <w:abstractNumId w:val="26"/>
  </w:num>
  <w:num w:numId="17">
    <w:abstractNumId w:val="14"/>
  </w:num>
  <w:num w:numId="18">
    <w:abstractNumId w:val="29"/>
  </w:num>
  <w:num w:numId="19">
    <w:abstractNumId w:val="19"/>
  </w:num>
  <w:num w:numId="20">
    <w:abstractNumId w:val="23"/>
  </w:num>
  <w:num w:numId="21">
    <w:abstractNumId w:val="5"/>
  </w:num>
  <w:num w:numId="22">
    <w:abstractNumId w:val="10"/>
  </w:num>
  <w:num w:numId="23">
    <w:abstractNumId w:val="25"/>
  </w:num>
  <w:num w:numId="24">
    <w:abstractNumId w:val="22"/>
  </w:num>
  <w:num w:numId="25">
    <w:abstractNumId w:val="1"/>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num>
  <w:num w:numId="28">
    <w:abstractNumId w:val="33"/>
  </w:num>
  <w:num w:numId="29">
    <w:abstractNumId w:val="0"/>
  </w:num>
  <w:num w:numId="30">
    <w:abstractNumId w:val="18"/>
  </w:num>
  <w:num w:numId="31">
    <w:abstractNumId w:val="3"/>
  </w:num>
  <w:num w:numId="32">
    <w:abstractNumId w:val="28"/>
  </w:num>
  <w:num w:numId="33">
    <w:abstractNumId w:val="17"/>
  </w:num>
  <w:num w:numId="34">
    <w:abstractNumId w:val="32"/>
  </w:num>
  <w:num w:numId="35">
    <w:abstractNumId w:val="36"/>
  </w:num>
  <w:num w:numId="36">
    <w:abstractNumId w:val="4"/>
  </w:num>
  <w:num w:numId="37">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0112C"/>
    <w:rsid w:val="00001A42"/>
    <w:rsid w:val="00004EBA"/>
    <w:rsid w:val="000052AF"/>
    <w:rsid w:val="0000535B"/>
    <w:rsid w:val="000054D1"/>
    <w:rsid w:val="0000733E"/>
    <w:rsid w:val="0001119C"/>
    <w:rsid w:val="00011D30"/>
    <w:rsid w:val="00013905"/>
    <w:rsid w:val="00013EAE"/>
    <w:rsid w:val="00014A57"/>
    <w:rsid w:val="0001503E"/>
    <w:rsid w:val="000162F5"/>
    <w:rsid w:val="00016673"/>
    <w:rsid w:val="000215C5"/>
    <w:rsid w:val="00022FA3"/>
    <w:rsid w:val="0002303B"/>
    <w:rsid w:val="000238E3"/>
    <w:rsid w:val="000275CB"/>
    <w:rsid w:val="0003289C"/>
    <w:rsid w:val="0003331B"/>
    <w:rsid w:val="00034D2D"/>
    <w:rsid w:val="000351A4"/>
    <w:rsid w:val="00036A5C"/>
    <w:rsid w:val="000375C4"/>
    <w:rsid w:val="00040EAD"/>
    <w:rsid w:val="0004200E"/>
    <w:rsid w:val="0004225A"/>
    <w:rsid w:val="00043160"/>
    <w:rsid w:val="00043206"/>
    <w:rsid w:val="00044423"/>
    <w:rsid w:val="00050E4F"/>
    <w:rsid w:val="00051BB4"/>
    <w:rsid w:val="00056585"/>
    <w:rsid w:val="00057733"/>
    <w:rsid w:val="000616EB"/>
    <w:rsid w:val="0006315F"/>
    <w:rsid w:val="00064288"/>
    <w:rsid w:val="00070B47"/>
    <w:rsid w:val="000717ED"/>
    <w:rsid w:val="00071A18"/>
    <w:rsid w:val="000732B6"/>
    <w:rsid w:val="00073B55"/>
    <w:rsid w:val="000757DB"/>
    <w:rsid w:val="0007586E"/>
    <w:rsid w:val="000760BA"/>
    <w:rsid w:val="000761BC"/>
    <w:rsid w:val="000772C9"/>
    <w:rsid w:val="0008089F"/>
    <w:rsid w:val="00082AE6"/>
    <w:rsid w:val="00083428"/>
    <w:rsid w:val="000838BC"/>
    <w:rsid w:val="00083D7D"/>
    <w:rsid w:val="00083F1D"/>
    <w:rsid w:val="00085DBD"/>
    <w:rsid w:val="00087BBE"/>
    <w:rsid w:val="00091921"/>
    <w:rsid w:val="00091A39"/>
    <w:rsid w:val="00091A78"/>
    <w:rsid w:val="00095F8E"/>
    <w:rsid w:val="00097E63"/>
    <w:rsid w:val="00097EC8"/>
    <w:rsid w:val="000A04EA"/>
    <w:rsid w:val="000A05BF"/>
    <w:rsid w:val="000A072C"/>
    <w:rsid w:val="000A0DEF"/>
    <w:rsid w:val="000A1909"/>
    <w:rsid w:val="000A3AD7"/>
    <w:rsid w:val="000A4009"/>
    <w:rsid w:val="000A4B96"/>
    <w:rsid w:val="000A5D6E"/>
    <w:rsid w:val="000A680F"/>
    <w:rsid w:val="000A7B71"/>
    <w:rsid w:val="000B0F73"/>
    <w:rsid w:val="000B3948"/>
    <w:rsid w:val="000B4A5A"/>
    <w:rsid w:val="000B5F2E"/>
    <w:rsid w:val="000B683B"/>
    <w:rsid w:val="000B7525"/>
    <w:rsid w:val="000B75A8"/>
    <w:rsid w:val="000B7710"/>
    <w:rsid w:val="000C0EC1"/>
    <w:rsid w:val="000C4991"/>
    <w:rsid w:val="000C7078"/>
    <w:rsid w:val="000C7C70"/>
    <w:rsid w:val="000D0B0D"/>
    <w:rsid w:val="000D4E2A"/>
    <w:rsid w:val="000D5BB0"/>
    <w:rsid w:val="000E08E0"/>
    <w:rsid w:val="000E2900"/>
    <w:rsid w:val="000E5C22"/>
    <w:rsid w:val="000E5C84"/>
    <w:rsid w:val="000E6707"/>
    <w:rsid w:val="000F1581"/>
    <w:rsid w:val="000F17C9"/>
    <w:rsid w:val="000F27D8"/>
    <w:rsid w:val="000F3615"/>
    <w:rsid w:val="000F455B"/>
    <w:rsid w:val="000F4908"/>
    <w:rsid w:val="000F6E32"/>
    <w:rsid w:val="0010025F"/>
    <w:rsid w:val="00101AA6"/>
    <w:rsid w:val="0010333A"/>
    <w:rsid w:val="00103935"/>
    <w:rsid w:val="001044A2"/>
    <w:rsid w:val="00105CFF"/>
    <w:rsid w:val="001101B3"/>
    <w:rsid w:val="001109D4"/>
    <w:rsid w:val="0011369F"/>
    <w:rsid w:val="00113BB5"/>
    <w:rsid w:val="00116AA7"/>
    <w:rsid w:val="00120363"/>
    <w:rsid w:val="00121C33"/>
    <w:rsid w:val="00122C6C"/>
    <w:rsid w:val="001246CA"/>
    <w:rsid w:val="00125384"/>
    <w:rsid w:val="00125F2A"/>
    <w:rsid w:val="001278DB"/>
    <w:rsid w:val="00131643"/>
    <w:rsid w:val="00132253"/>
    <w:rsid w:val="0013513B"/>
    <w:rsid w:val="00135D50"/>
    <w:rsid w:val="00137D0C"/>
    <w:rsid w:val="00140585"/>
    <w:rsid w:val="001417BF"/>
    <w:rsid w:val="00141C84"/>
    <w:rsid w:val="00144A73"/>
    <w:rsid w:val="0014551A"/>
    <w:rsid w:val="0014569F"/>
    <w:rsid w:val="00146578"/>
    <w:rsid w:val="00146D1A"/>
    <w:rsid w:val="0015095D"/>
    <w:rsid w:val="0015165F"/>
    <w:rsid w:val="001520A0"/>
    <w:rsid w:val="00152BE4"/>
    <w:rsid w:val="00152C24"/>
    <w:rsid w:val="00153301"/>
    <w:rsid w:val="00154C1F"/>
    <w:rsid w:val="00156DF1"/>
    <w:rsid w:val="00157757"/>
    <w:rsid w:val="00161EB5"/>
    <w:rsid w:val="00162019"/>
    <w:rsid w:val="00162753"/>
    <w:rsid w:val="00167925"/>
    <w:rsid w:val="001679BF"/>
    <w:rsid w:val="001720D8"/>
    <w:rsid w:val="00177413"/>
    <w:rsid w:val="00177C06"/>
    <w:rsid w:val="00181E59"/>
    <w:rsid w:val="0018260F"/>
    <w:rsid w:val="00182BBB"/>
    <w:rsid w:val="001832D8"/>
    <w:rsid w:val="00183CA8"/>
    <w:rsid w:val="00183DED"/>
    <w:rsid w:val="0018715F"/>
    <w:rsid w:val="00190881"/>
    <w:rsid w:val="0019148D"/>
    <w:rsid w:val="0019270B"/>
    <w:rsid w:val="00192723"/>
    <w:rsid w:val="00192E60"/>
    <w:rsid w:val="0019334C"/>
    <w:rsid w:val="00193F10"/>
    <w:rsid w:val="0019457D"/>
    <w:rsid w:val="001947D8"/>
    <w:rsid w:val="001963C4"/>
    <w:rsid w:val="001969B3"/>
    <w:rsid w:val="00197586"/>
    <w:rsid w:val="001977BC"/>
    <w:rsid w:val="00197D2A"/>
    <w:rsid w:val="001A1471"/>
    <w:rsid w:val="001A7308"/>
    <w:rsid w:val="001B0AB0"/>
    <w:rsid w:val="001B4109"/>
    <w:rsid w:val="001B4F6B"/>
    <w:rsid w:val="001B507B"/>
    <w:rsid w:val="001B5F72"/>
    <w:rsid w:val="001B6711"/>
    <w:rsid w:val="001B6D67"/>
    <w:rsid w:val="001C085B"/>
    <w:rsid w:val="001C1FC0"/>
    <w:rsid w:val="001C2AF1"/>
    <w:rsid w:val="001C5425"/>
    <w:rsid w:val="001C647E"/>
    <w:rsid w:val="001C741D"/>
    <w:rsid w:val="001D02DD"/>
    <w:rsid w:val="001D0328"/>
    <w:rsid w:val="001D1FB0"/>
    <w:rsid w:val="001D256A"/>
    <w:rsid w:val="001D2600"/>
    <w:rsid w:val="001D2BED"/>
    <w:rsid w:val="001D3374"/>
    <w:rsid w:val="001D5904"/>
    <w:rsid w:val="001D6791"/>
    <w:rsid w:val="001D73F0"/>
    <w:rsid w:val="001E2E11"/>
    <w:rsid w:val="001E43CD"/>
    <w:rsid w:val="001E4AFC"/>
    <w:rsid w:val="001E4D13"/>
    <w:rsid w:val="001E6DAA"/>
    <w:rsid w:val="001F0414"/>
    <w:rsid w:val="001F07E1"/>
    <w:rsid w:val="001F1F99"/>
    <w:rsid w:val="001F3926"/>
    <w:rsid w:val="001F45B2"/>
    <w:rsid w:val="001F7F6F"/>
    <w:rsid w:val="00200AD9"/>
    <w:rsid w:val="0020224D"/>
    <w:rsid w:val="00203E3B"/>
    <w:rsid w:val="00205773"/>
    <w:rsid w:val="002066D7"/>
    <w:rsid w:val="002073C1"/>
    <w:rsid w:val="00211224"/>
    <w:rsid w:val="002114F4"/>
    <w:rsid w:val="002119F8"/>
    <w:rsid w:val="002123E8"/>
    <w:rsid w:val="00213366"/>
    <w:rsid w:val="00214255"/>
    <w:rsid w:val="002145C9"/>
    <w:rsid w:val="00215194"/>
    <w:rsid w:val="00216AE2"/>
    <w:rsid w:val="00217059"/>
    <w:rsid w:val="00224947"/>
    <w:rsid w:val="0022529F"/>
    <w:rsid w:val="00225741"/>
    <w:rsid w:val="00231B66"/>
    <w:rsid w:val="00232337"/>
    <w:rsid w:val="002325D9"/>
    <w:rsid w:val="0023307B"/>
    <w:rsid w:val="00233F42"/>
    <w:rsid w:val="00233F46"/>
    <w:rsid w:val="00244FCE"/>
    <w:rsid w:val="002456DD"/>
    <w:rsid w:val="00245FF7"/>
    <w:rsid w:val="0025033C"/>
    <w:rsid w:val="00251989"/>
    <w:rsid w:val="002522F1"/>
    <w:rsid w:val="00256E29"/>
    <w:rsid w:val="00257A37"/>
    <w:rsid w:val="00260412"/>
    <w:rsid w:val="0026126C"/>
    <w:rsid w:val="0026126D"/>
    <w:rsid w:val="00262C49"/>
    <w:rsid w:val="00263006"/>
    <w:rsid w:val="00263DA6"/>
    <w:rsid w:val="0026404E"/>
    <w:rsid w:val="00264AA9"/>
    <w:rsid w:val="002707FC"/>
    <w:rsid w:val="0027154E"/>
    <w:rsid w:val="00271A1E"/>
    <w:rsid w:val="00272E36"/>
    <w:rsid w:val="0027300D"/>
    <w:rsid w:val="00275C28"/>
    <w:rsid w:val="00276A5B"/>
    <w:rsid w:val="002774CE"/>
    <w:rsid w:val="00280926"/>
    <w:rsid w:val="0028135C"/>
    <w:rsid w:val="00281865"/>
    <w:rsid w:val="00283061"/>
    <w:rsid w:val="00283503"/>
    <w:rsid w:val="00283EF8"/>
    <w:rsid w:val="0028459D"/>
    <w:rsid w:val="00285050"/>
    <w:rsid w:val="002868A4"/>
    <w:rsid w:val="00286948"/>
    <w:rsid w:val="0028701A"/>
    <w:rsid w:val="00287633"/>
    <w:rsid w:val="002901EA"/>
    <w:rsid w:val="00291612"/>
    <w:rsid w:val="00291B75"/>
    <w:rsid w:val="00292547"/>
    <w:rsid w:val="002929E8"/>
    <w:rsid w:val="002944BF"/>
    <w:rsid w:val="00295634"/>
    <w:rsid w:val="0029784D"/>
    <w:rsid w:val="002A0686"/>
    <w:rsid w:val="002A131E"/>
    <w:rsid w:val="002A16DD"/>
    <w:rsid w:val="002A2598"/>
    <w:rsid w:val="002A44ED"/>
    <w:rsid w:val="002A7BBE"/>
    <w:rsid w:val="002B04CB"/>
    <w:rsid w:val="002B1A79"/>
    <w:rsid w:val="002B290F"/>
    <w:rsid w:val="002B34ED"/>
    <w:rsid w:val="002B4094"/>
    <w:rsid w:val="002B430C"/>
    <w:rsid w:val="002B5049"/>
    <w:rsid w:val="002C12CB"/>
    <w:rsid w:val="002C14C3"/>
    <w:rsid w:val="002C244B"/>
    <w:rsid w:val="002C38FC"/>
    <w:rsid w:val="002C4F06"/>
    <w:rsid w:val="002C6DBA"/>
    <w:rsid w:val="002D18C2"/>
    <w:rsid w:val="002D2B47"/>
    <w:rsid w:val="002D3C5E"/>
    <w:rsid w:val="002D4E4F"/>
    <w:rsid w:val="002D53C1"/>
    <w:rsid w:val="002E13C3"/>
    <w:rsid w:val="002E1772"/>
    <w:rsid w:val="002E2896"/>
    <w:rsid w:val="002E2BDE"/>
    <w:rsid w:val="002E3095"/>
    <w:rsid w:val="002E750E"/>
    <w:rsid w:val="002E7545"/>
    <w:rsid w:val="002E7738"/>
    <w:rsid w:val="002E7F83"/>
    <w:rsid w:val="002F0CAA"/>
    <w:rsid w:val="002F204F"/>
    <w:rsid w:val="002F219C"/>
    <w:rsid w:val="002F2C88"/>
    <w:rsid w:val="002F3A7C"/>
    <w:rsid w:val="00300EC3"/>
    <w:rsid w:val="00301419"/>
    <w:rsid w:val="0030200B"/>
    <w:rsid w:val="003035A4"/>
    <w:rsid w:val="0030429C"/>
    <w:rsid w:val="0030488F"/>
    <w:rsid w:val="00306618"/>
    <w:rsid w:val="003068D4"/>
    <w:rsid w:val="003070B1"/>
    <w:rsid w:val="00307901"/>
    <w:rsid w:val="00310813"/>
    <w:rsid w:val="00313726"/>
    <w:rsid w:val="00313ECF"/>
    <w:rsid w:val="0032225E"/>
    <w:rsid w:val="00323092"/>
    <w:rsid w:val="00327342"/>
    <w:rsid w:val="00330050"/>
    <w:rsid w:val="00330FA5"/>
    <w:rsid w:val="00331FE2"/>
    <w:rsid w:val="00332970"/>
    <w:rsid w:val="00334E4E"/>
    <w:rsid w:val="00337A76"/>
    <w:rsid w:val="003406DB"/>
    <w:rsid w:val="00343DC4"/>
    <w:rsid w:val="003449A3"/>
    <w:rsid w:val="00350416"/>
    <w:rsid w:val="00351CD3"/>
    <w:rsid w:val="0035260B"/>
    <w:rsid w:val="003535BC"/>
    <w:rsid w:val="003537AA"/>
    <w:rsid w:val="003537C5"/>
    <w:rsid w:val="003554AA"/>
    <w:rsid w:val="00356CDD"/>
    <w:rsid w:val="0036313D"/>
    <w:rsid w:val="00365FA3"/>
    <w:rsid w:val="0036716F"/>
    <w:rsid w:val="003702BA"/>
    <w:rsid w:val="00371199"/>
    <w:rsid w:val="00372D26"/>
    <w:rsid w:val="00373A71"/>
    <w:rsid w:val="0037469A"/>
    <w:rsid w:val="003771B6"/>
    <w:rsid w:val="003807DD"/>
    <w:rsid w:val="00381A5D"/>
    <w:rsid w:val="00383877"/>
    <w:rsid w:val="00383F74"/>
    <w:rsid w:val="00384231"/>
    <w:rsid w:val="003844D0"/>
    <w:rsid w:val="00386C6C"/>
    <w:rsid w:val="0039137A"/>
    <w:rsid w:val="00393B13"/>
    <w:rsid w:val="0039523C"/>
    <w:rsid w:val="0039684A"/>
    <w:rsid w:val="003A08E3"/>
    <w:rsid w:val="003A0D69"/>
    <w:rsid w:val="003A1CC5"/>
    <w:rsid w:val="003A1D28"/>
    <w:rsid w:val="003A38A7"/>
    <w:rsid w:val="003A3BF7"/>
    <w:rsid w:val="003A403D"/>
    <w:rsid w:val="003A5907"/>
    <w:rsid w:val="003A6FE3"/>
    <w:rsid w:val="003B15E4"/>
    <w:rsid w:val="003B1D14"/>
    <w:rsid w:val="003B4800"/>
    <w:rsid w:val="003B6A85"/>
    <w:rsid w:val="003B77AB"/>
    <w:rsid w:val="003C1174"/>
    <w:rsid w:val="003C1DED"/>
    <w:rsid w:val="003C4BC3"/>
    <w:rsid w:val="003C783E"/>
    <w:rsid w:val="003C7AD8"/>
    <w:rsid w:val="003D0329"/>
    <w:rsid w:val="003D1037"/>
    <w:rsid w:val="003D31EB"/>
    <w:rsid w:val="003D5710"/>
    <w:rsid w:val="003D5C13"/>
    <w:rsid w:val="003E1778"/>
    <w:rsid w:val="003E3C84"/>
    <w:rsid w:val="003E4769"/>
    <w:rsid w:val="003E6BC5"/>
    <w:rsid w:val="003E7E1B"/>
    <w:rsid w:val="003F030F"/>
    <w:rsid w:val="003F0485"/>
    <w:rsid w:val="003F6091"/>
    <w:rsid w:val="00402B84"/>
    <w:rsid w:val="004037D4"/>
    <w:rsid w:val="0040628A"/>
    <w:rsid w:val="00411EBF"/>
    <w:rsid w:val="004128C2"/>
    <w:rsid w:val="004139F3"/>
    <w:rsid w:val="00414E91"/>
    <w:rsid w:val="00414EC9"/>
    <w:rsid w:val="00415A15"/>
    <w:rsid w:val="00420B86"/>
    <w:rsid w:val="00420DD2"/>
    <w:rsid w:val="00422C07"/>
    <w:rsid w:val="00423DF4"/>
    <w:rsid w:val="00424179"/>
    <w:rsid w:val="00430341"/>
    <w:rsid w:val="004320ED"/>
    <w:rsid w:val="00433738"/>
    <w:rsid w:val="0043399F"/>
    <w:rsid w:val="0043412F"/>
    <w:rsid w:val="004346F3"/>
    <w:rsid w:val="004347EA"/>
    <w:rsid w:val="00436166"/>
    <w:rsid w:val="004401C6"/>
    <w:rsid w:val="00444E21"/>
    <w:rsid w:val="00445BFE"/>
    <w:rsid w:val="00450CD8"/>
    <w:rsid w:val="00452F5B"/>
    <w:rsid w:val="00453DB5"/>
    <w:rsid w:val="004540D7"/>
    <w:rsid w:val="00455144"/>
    <w:rsid w:val="00457CD0"/>
    <w:rsid w:val="0046033D"/>
    <w:rsid w:val="004606E9"/>
    <w:rsid w:val="00460A42"/>
    <w:rsid w:val="00460DC4"/>
    <w:rsid w:val="00461508"/>
    <w:rsid w:val="00461855"/>
    <w:rsid w:val="00461BA9"/>
    <w:rsid w:val="00464600"/>
    <w:rsid w:val="00464ACC"/>
    <w:rsid w:val="00467D19"/>
    <w:rsid w:val="00467D9E"/>
    <w:rsid w:val="0047033B"/>
    <w:rsid w:val="004753EF"/>
    <w:rsid w:val="00475D3C"/>
    <w:rsid w:val="004800A4"/>
    <w:rsid w:val="004801AC"/>
    <w:rsid w:val="00481C4C"/>
    <w:rsid w:val="0048414A"/>
    <w:rsid w:val="00485F24"/>
    <w:rsid w:val="0049034C"/>
    <w:rsid w:val="00492D6A"/>
    <w:rsid w:val="00494D02"/>
    <w:rsid w:val="00494F00"/>
    <w:rsid w:val="0049717B"/>
    <w:rsid w:val="004A04B0"/>
    <w:rsid w:val="004A3DFE"/>
    <w:rsid w:val="004A5D7B"/>
    <w:rsid w:val="004A79F3"/>
    <w:rsid w:val="004B241C"/>
    <w:rsid w:val="004B3F5A"/>
    <w:rsid w:val="004B5894"/>
    <w:rsid w:val="004B5BCD"/>
    <w:rsid w:val="004B7ECB"/>
    <w:rsid w:val="004C0722"/>
    <w:rsid w:val="004C10EC"/>
    <w:rsid w:val="004C27E3"/>
    <w:rsid w:val="004C35F8"/>
    <w:rsid w:val="004C36AF"/>
    <w:rsid w:val="004C46D7"/>
    <w:rsid w:val="004C5325"/>
    <w:rsid w:val="004C68E3"/>
    <w:rsid w:val="004C6F65"/>
    <w:rsid w:val="004D1217"/>
    <w:rsid w:val="004D166C"/>
    <w:rsid w:val="004D452F"/>
    <w:rsid w:val="004D50CD"/>
    <w:rsid w:val="004D7B55"/>
    <w:rsid w:val="004E32B8"/>
    <w:rsid w:val="004E3423"/>
    <w:rsid w:val="004E3778"/>
    <w:rsid w:val="004E4E53"/>
    <w:rsid w:val="004E581B"/>
    <w:rsid w:val="004E7BD6"/>
    <w:rsid w:val="004F074C"/>
    <w:rsid w:val="004F1685"/>
    <w:rsid w:val="004F20B3"/>
    <w:rsid w:val="004F2943"/>
    <w:rsid w:val="004F405C"/>
    <w:rsid w:val="004F4E8F"/>
    <w:rsid w:val="004F5180"/>
    <w:rsid w:val="004F548D"/>
    <w:rsid w:val="004F7CAD"/>
    <w:rsid w:val="0050060E"/>
    <w:rsid w:val="00501A83"/>
    <w:rsid w:val="00503AC5"/>
    <w:rsid w:val="00504318"/>
    <w:rsid w:val="00504683"/>
    <w:rsid w:val="00506421"/>
    <w:rsid w:val="0051016A"/>
    <w:rsid w:val="00514404"/>
    <w:rsid w:val="00514F6F"/>
    <w:rsid w:val="00516A12"/>
    <w:rsid w:val="00517989"/>
    <w:rsid w:val="00521F20"/>
    <w:rsid w:val="00521F91"/>
    <w:rsid w:val="005227C9"/>
    <w:rsid w:val="00522804"/>
    <w:rsid w:val="00523781"/>
    <w:rsid w:val="00524027"/>
    <w:rsid w:val="005265F1"/>
    <w:rsid w:val="00526778"/>
    <w:rsid w:val="00527FE8"/>
    <w:rsid w:val="00530145"/>
    <w:rsid w:val="00531EDF"/>
    <w:rsid w:val="005325B9"/>
    <w:rsid w:val="005352E5"/>
    <w:rsid w:val="00535400"/>
    <w:rsid w:val="005360FE"/>
    <w:rsid w:val="005373BD"/>
    <w:rsid w:val="005417EE"/>
    <w:rsid w:val="00541EF9"/>
    <w:rsid w:val="0054217E"/>
    <w:rsid w:val="00542288"/>
    <w:rsid w:val="0054369D"/>
    <w:rsid w:val="00543A8A"/>
    <w:rsid w:val="00543E9B"/>
    <w:rsid w:val="00546117"/>
    <w:rsid w:val="00547303"/>
    <w:rsid w:val="00547A9F"/>
    <w:rsid w:val="005519A9"/>
    <w:rsid w:val="0055432D"/>
    <w:rsid w:val="00554696"/>
    <w:rsid w:val="005556F4"/>
    <w:rsid w:val="00556A0E"/>
    <w:rsid w:val="00561F55"/>
    <w:rsid w:val="00563080"/>
    <w:rsid w:val="005632FE"/>
    <w:rsid w:val="0056358E"/>
    <w:rsid w:val="00565478"/>
    <w:rsid w:val="00565589"/>
    <w:rsid w:val="0056574F"/>
    <w:rsid w:val="0056666A"/>
    <w:rsid w:val="00572B38"/>
    <w:rsid w:val="0058001D"/>
    <w:rsid w:val="00580810"/>
    <w:rsid w:val="00581946"/>
    <w:rsid w:val="0058312F"/>
    <w:rsid w:val="00584D97"/>
    <w:rsid w:val="00594CA7"/>
    <w:rsid w:val="00595ACF"/>
    <w:rsid w:val="00597045"/>
    <w:rsid w:val="0059714E"/>
    <w:rsid w:val="005A1CB8"/>
    <w:rsid w:val="005A26C9"/>
    <w:rsid w:val="005A39E2"/>
    <w:rsid w:val="005A4884"/>
    <w:rsid w:val="005A5F91"/>
    <w:rsid w:val="005A64AD"/>
    <w:rsid w:val="005A6DCA"/>
    <w:rsid w:val="005A6E9C"/>
    <w:rsid w:val="005A7160"/>
    <w:rsid w:val="005A7A4A"/>
    <w:rsid w:val="005B0078"/>
    <w:rsid w:val="005B639F"/>
    <w:rsid w:val="005B7D32"/>
    <w:rsid w:val="005C108A"/>
    <w:rsid w:val="005C184A"/>
    <w:rsid w:val="005C1AD4"/>
    <w:rsid w:val="005C1BBE"/>
    <w:rsid w:val="005C5467"/>
    <w:rsid w:val="005C5BAF"/>
    <w:rsid w:val="005C623A"/>
    <w:rsid w:val="005C76F8"/>
    <w:rsid w:val="005D1870"/>
    <w:rsid w:val="005D308F"/>
    <w:rsid w:val="005D47BE"/>
    <w:rsid w:val="005D6C4E"/>
    <w:rsid w:val="005D79FA"/>
    <w:rsid w:val="005E0486"/>
    <w:rsid w:val="005E16B1"/>
    <w:rsid w:val="005E2086"/>
    <w:rsid w:val="005E2C38"/>
    <w:rsid w:val="005E36FD"/>
    <w:rsid w:val="005E6005"/>
    <w:rsid w:val="005E639C"/>
    <w:rsid w:val="005F3504"/>
    <w:rsid w:val="005F5A1C"/>
    <w:rsid w:val="006002B5"/>
    <w:rsid w:val="00600420"/>
    <w:rsid w:val="006036D3"/>
    <w:rsid w:val="00610E08"/>
    <w:rsid w:val="00611744"/>
    <w:rsid w:val="0061269C"/>
    <w:rsid w:val="00614003"/>
    <w:rsid w:val="00614EA4"/>
    <w:rsid w:val="00615B62"/>
    <w:rsid w:val="00617F21"/>
    <w:rsid w:val="00620260"/>
    <w:rsid w:val="00623F26"/>
    <w:rsid w:val="00624218"/>
    <w:rsid w:val="0062506A"/>
    <w:rsid w:val="00625B42"/>
    <w:rsid w:val="006266E2"/>
    <w:rsid w:val="00626CA5"/>
    <w:rsid w:val="00627BA7"/>
    <w:rsid w:val="00630B1F"/>
    <w:rsid w:val="0063121D"/>
    <w:rsid w:val="006336CA"/>
    <w:rsid w:val="006340A0"/>
    <w:rsid w:val="006401A3"/>
    <w:rsid w:val="00640547"/>
    <w:rsid w:val="00644E48"/>
    <w:rsid w:val="00644F9B"/>
    <w:rsid w:val="00647078"/>
    <w:rsid w:val="00651098"/>
    <w:rsid w:val="006542BA"/>
    <w:rsid w:val="0065448F"/>
    <w:rsid w:val="00654535"/>
    <w:rsid w:val="006545B6"/>
    <w:rsid w:val="00654B74"/>
    <w:rsid w:val="00661700"/>
    <w:rsid w:val="00661B1B"/>
    <w:rsid w:val="0066459A"/>
    <w:rsid w:val="00666C8F"/>
    <w:rsid w:val="006672DA"/>
    <w:rsid w:val="006702A2"/>
    <w:rsid w:val="006713C9"/>
    <w:rsid w:val="00671AD0"/>
    <w:rsid w:val="00673C60"/>
    <w:rsid w:val="00673C89"/>
    <w:rsid w:val="00674982"/>
    <w:rsid w:val="00680E1F"/>
    <w:rsid w:val="006810C2"/>
    <w:rsid w:val="006813FC"/>
    <w:rsid w:val="006819AB"/>
    <w:rsid w:val="00681D3A"/>
    <w:rsid w:val="00681EB1"/>
    <w:rsid w:val="00682108"/>
    <w:rsid w:val="006822FC"/>
    <w:rsid w:val="00683F65"/>
    <w:rsid w:val="00685338"/>
    <w:rsid w:val="00685DDB"/>
    <w:rsid w:val="006864AE"/>
    <w:rsid w:val="00686C75"/>
    <w:rsid w:val="00687A6E"/>
    <w:rsid w:val="00691C99"/>
    <w:rsid w:val="00691CAA"/>
    <w:rsid w:val="0069324B"/>
    <w:rsid w:val="006A159D"/>
    <w:rsid w:val="006A1FD6"/>
    <w:rsid w:val="006A225B"/>
    <w:rsid w:val="006A3FD8"/>
    <w:rsid w:val="006A462B"/>
    <w:rsid w:val="006A6261"/>
    <w:rsid w:val="006A7679"/>
    <w:rsid w:val="006A7B8D"/>
    <w:rsid w:val="006B0D43"/>
    <w:rsid w:val="006B11C2"/>
    <w:rsid w:val="006B46C5"/>
    <w:rsid w:val="006B52D1"/>
    <w:rsid w:val="006B7B3C"/>
    <w:rsid w:val="006C1D67"/>
    <w:rsid w:val="006C2F48"/>
    <w:rsid w:val="006C3E3A"/>
    <w:rsid w:val="006C728D"/>
    <w:rsid w:val="006C7800"/>
    <w:rsid w:val="006D13CE"/>
    <w:rsid w:val="006D158C"/>
    <w:rsid w:val="006D1877"/>
    <w:rsid w:val="006D7B3D"/>
    <w:rsid w:val="006E43B4"/>
    <w:rsid w:val="006E44AB"/>
    <w:rsid w:val="006E48BD"/>
    <w:rsid w:val="006E6D60"/>
    <w:rsid w:val="006F2602"/>
    <w:rsid w:val="006F442E"/>
    <w:rsid w:val="00700AD3"/>
    <w:rsid w:val="00701BB8"/>
    <w:rsid w:val="00701FBD"/>
    <w:rsid w:val="007025F6"/>
    <w:rsid w:val="00702807"/>
    <w:rsid w:val="007029F3"/>
    <w:rsid w:val="00703E43"/>
    <w:rsid w:val="0070478E"/>
    <w:rsid w:val="007054E3"/>
    <w:rsid w:val="0071371F"/>
    <w:rsid w:val="00714AC0"/>
    <w:rsid w:val="00715F3B"/>
    <w:rsid w:val="007167E3"/>
    <w:rsid w:val="007178F0"/>
    <w:rsid w:val="0072033E"/>
    <w:rsid w:val="007207A7"/>
    <w:rsid w:val="007231C3"/>
    <w:rsid w:val="00723C21"/>
    <w:rsid w:val="0072450F"/>
    <w:rsid w:val="00724BEB"/>
    <w:rsid w:val="007255E8"/>
    <w:rsid w:val="00730F9C"/>
    <w:rsid w:val="00731243"/>
    <w:rsid w:val="007333FE"/>
    <w:rsid w:val="00734658"/>
    <w:rsid w:val="00734FCB"/>
    <w:rsid w:val="00735EB3"/>
    <w:rsid w:val="0074001E"/>
    <w:rsid w:val="007408B6"/>
    <w:rsid w:val="00741158"/>
    <w:rsid w:val="00741F1A"/>
    <w:rsid w:val="00741FA6"/>
    <w:rsid w:val="00743A85"/>
    <w:rsid w:val="00745B49"/>
    <w:rsid w:val="00746205"/>
    <w:rsid w:val="00747F5D"/>
    <w:rsid w:val="00753757"/>
    <w:rsid w:val="00753AA2"/>
    <w:rsid w:val="00757532"/>
    <w:rsid w:val="00760DA7"/>
    <w:rsid w:val="00761577"/>
    <w:rsid w:val="00762A49"/>
    <w:rsid w:val="0076372E"/>
    <w:rsid w:val="007639AA"/>
    <w:rsid w:val="00764F7A"/>
    <w:rsid w:val="0076525B"/>
    <w:rsid w:val="00767199"/>
    <w:rsid w:val="00767997"/>
    <w:rsid w:val="00767D29"/>
    <w:rsid w:val="00771DC9"/>
    <w:rsid w:val="007730EE"/>
    <w:rsid w:val="00773402"/>
    <w:rsid w:val="007740F8"/>
    <w:rsid w:val="00775ED4"/>
    <w:rsid w:val="00777A67"/>
    <w:rsid w:val="0078280E"/>
    <w:rsid w:val="00783079"/>
    <w:rsid w:val="007837E4"/>
    <w:rsid w:val="00786407"/>
    <w:rsid w:val="00787161"/>
    <w:rsid w:val="0079028A"/>
    <w:rsid w:val="00790319"/>
    <w:rsid w:val="00790845"/>
    <w:rsid w:val="00790D95"/>
    <w:rsid w:val="007912C0"/>
    <w:rsid w:val="0079146B"/>
    <w:rsid w:val="00793EFB"/>
    <w:rsid w:val="007944FF"/>
    <w:rsid w:val="00794FBF"/>
    <w:rsid w:val="00795B45"/>
    <w:rsid w:val="007975B0"/>
    <w:rsid w:val="007A1E4E"/>
    <w:rsid w:val="007A2A04"/>
    <w:rsid w:val="007A50A2"/>
    <w:rsid w:val="007A515D"/>
    <w:rsid w:val="007A53A4"/>
    <w:rsid w:val="007A56FF"/>
    <w:rsid w:val="007A588C"/>
    <w:rsid w:val="007A70FB"/>
    <w:rsid w:val="007B0BE2"/>
    <w:rsid w:val="007B1C49"/>
    <w:rsid w:val="007B2E21"/>
    <w:rsid w:val="007B7249"/>
    <w:rsid w:val="007B73EC"/>
    <w:rsid w:val="007C045A"/>
    <w:rsid w:val="007C36DA"/>
    <w:rsid w:val="007C3A23"/>
    <w:rsid w:val="007C679E"/>
    <w:rsid w:val="007C7526"/>
    <w:rsid w:val="007D1A14"/>
    <w:rsid w:val="007D1B9F"/>
    <w:rsid w:val="007D4577"/>
    <w:rsid w:val="007D47B4"/>
    <w:rsid w:val="007D577B"/>
    <w:rsid w:val="007D7491"/>
    <w:rsid w:val="007E0DAE"/>
    <w:rsid w:val="007E12A4"/>
    <w:rsid w:val="007E2B65"/>
    <w:rsid w:val="007E557B"/>
    <w:rsid w:val="007E603A"/>
    <w:rsid w:val="007E63B8"/>
    <w:rsid w:val="007E712E"/>
    <w:rsid w:val="007E7A1B"/>
    <w:rsid w:val="007E7BF0"/>
    <w:rsid w:val="007F02EE"/>
    <w:rsid w:val="007F0D27"/>
    <w:rsid w:val="007F28DB"/>
    <w:rsid w:val="007F30EC"/>
    <w:rsid w:val="007F3589"/>
    <w:rsid w:val="007F39EF"/>
    <w:rsid w:val="007F3D41"/>
    <w:rsid w:val="007F526E"/>
    <w:rsid w:val="007F73B8"/>
    <w:rsid w:val="008028FE"/>
    <w:rsid w:val="00803B8E"/>
    <w:rsid w:val="008057A1"/>
    <w:rsid w:val="00805C65"/>
    <w:rsid w:val="00806FC6"/>
    <w:rsid w:val="008071A1"/>
    <w:rsid w:val="0080724D"/>
    <w:rsid w:val="008111FA"/>
    <w:rsid w:val="00812BA7"/>
    <w:rsid w:val="00814630"/>
    <w:rsid w:val="00815642"/>
    <w:rsid w:val="00815BEE"/>
    <w:rsid w:val="0081737D"/>
    <w:rsid w:val="00821B3D"/>
    <w:rsid w:val="00824F51"/>
    <w:rsid w:val="00830D58"/>
    <w:rsid w:val="00830F3C"/>
    <w:rsid w:val="00834454"/>
    <w:rsid w:val="00834BC4"/>
    <w:rsid w:val="00835332"/>
    <w:rsid w:val="00837886"/>
    <w:rsid w:val="008379D3"/>
    <w:rsid w:val="0084016F"/>
    <w:rsid w:val="0084055F"/>
    <w:rsid w:val="00842C48"/>
    <w:rsid w:val="00844EEE"/>
    <w:rsid w:val="00844FE5"/>
    <w:rsid w:val="008459AB"/>
    <w:rsid w:val="008471C7"/>
    <w:rsid w:val="0085133A"/>
    <w:rsid w:val="0085190A"/>
    <w:rsid w:val="0085309E"/>
    <w:rsid w:val="00853439"/>
    <w:rsid w:val="008546A9"/>
    <w:rsid w:val="00854DB9"/>
    <w:rsid w:val="00856917"/>
    <w:rsid w:val="00857036"/>
    <w:rsid w:val="00860239"/>
    <w:rsid w:val="008626D6"/>
    <w:rsid w:val="00864725"/>
    <w:rsid w:val="008651F1"/>
    <w:rsid w:val="00870C52"/>
    <w:rsid w:val="00872E11"/>
    <w:rsid w:val="00873DEC"/>
    <w:rsid w:val="00874C42"/>
    <w:rsid w:val="00874C76"/>
    <w:rsid w:val="008758CE"/>
    <w:rsid w:val="00875D54"/>
    <w:rsid w:val="008771EA"/>
    <w:rsid w:val="008838C4"/>
    <w:rsid w:val="00884072"/>
    <w:rsid w:val="008844C4"/>
    <w:rsid w:val="00884912"/>
    <w:rsid w:val="008860B7"/>
    <w:rsid w:val="008930F9"/>
    <w:rsid w:val="008A0004"/>
    <w:rsid w:val="008A219C"/>
    <w:rsid w:val="008A2F98"/>
    <w:rsid w:val="008A39DD"/>
    <w:rsid w:val="008A43A1"/>
    <w:rsid w:val="008A468B"/>
    <w:rsid w:val="008A495C"/>
    <w:rsid w:val="008A504D"/>
    <w:rsid w:val="008A5324"/>
    <w:rsid w:val="008A7021"/>
    <w:rsid w:val="008B079E"/>
    <w:rsid w:val="008B4626"/>
    <w:rsid w:val="008B471B"/>
    <w:rsid w:val="008B75D4"/>
    <w:rsid w:val="008C0370"/>
    <w:rsid w:val="008C11B2"/>
    <w:rsid w:val="008C3579"/>
    <w:rsid w:val="008C428E"/>
    <w:rsid w:val="008C48A0"/>
    <w:rsid w:val="008C4BBB"/>
    <w:rsid w:val="008C6A64"/>
    <w:rsid w:val="008D061F"/>
    <w:rsid w:val="008D0AEC"/>
    <w:rsid w:val="008D0F7D"/>
    <w:rsid w:val="008D2DD2"/>
    <w:rsid w:val="008D4A22"/>
    <w:rsid w:val="008D566C"/>
    <w:rsid w:val="008D5E5F"/>
    <w:rsid w:val="008D70C9"/>
    <w:rsid w:val="008D76C0"/>
    <w:rsid w:val="008E1215"/>
    <w:rsid w:val="008E4B93"/>
    <w:rsid w:val="008E601D"/>
    <w:rsid w:val="008E6F04"/>
    <w:rsid w:val="008E6FA3"/>
    <w:rsid w:val="008F2492"/>
    <w:rsid w:val="009003CD"/>
    <w:rsid w:val="00900E70"/>
    <w:rsid w:val="00905D7B"/>
    <w:rsid w:val="0090758D"/>
    <w:rsid w:val="009102EC"/>
    <w:rsid w:val="009106A7"/>
    <w:rsid w:val="00910756"/>
    <w:rsid w:val="0091279B"/>
    <w:rsid w:val="00913332"/>
    <w:rsid w:val="00913753"/>
    <w:rsid w:val="00913A95"/>
    <w:rsid w:val="0091500A"/>
    <w:rsid w:val="0091659F"/>
    <w:rsid w:val="00917398"/>
    <w:rsid w:val="009240C5"/>
    <w:rsid w:val="00925F06"/>
    <w:rsid w:val="00927CE6"/>
    <w:rsid w:val="009314B4"/>
    <w:rsid w:val="009322EF"/>
    <w:rsid w:val="00941103"/>
    <w:rsid w:val="0094139F"/>
    <w:rsid w:val="00941ADB"/>
    <w:rsid w:val="00941FAB"/>
    <w:rsid w:val="0094268D"/>
    <w:rsid w:val="00943F53"/>
    <w:rsid w:val="009452B8"/>
    <w:rsid w:val="0094685C"/>
    <w:rsid w:val="00946FF0"/>
    <w:rsid w:val="0095061C"/>
    <w:rsid w:val="009565C3"/>
    <w:rsid w:val="00957B3F"/>
    <w:rsid w:val="0096074E"/>
    <w:rsid w:val="00963AE0"/>
    <w:rsid w:val="009650F1"/>
    <w:rsid w:val="00966F1C"/>
    <w:rsid w:val="00967B22"/>
    <w:rsid w:val="00967D6B"/>
    <w:rsid w:val="00970761"/>
    <w:rsid w:val="00971236"/>
    <w:rsid w:val="00972607"/>
    <w:rsid w:val="00977A57"/>
    <w:rsid w:val="00977E23"/>
    <w:rsid w:val="009809BC"/>
    <w:rsid w:val="00981AC6"/>
    <w:rsid w:val="00983879"/>
    <w:rsid w:val="009843CC"/>
    <w:rsid w:val="00984B1D"/>
    <w:rsid w:val="009860AB"/>
    <w:rsid w:val="0098668F"/>
    <w:rsid w:val="00986F78"/>
    <w:rsid w:val="009903C7"/>
    <w:rsid w:val="009905DD"/>
    <w:rsid w:val="009A1945"/>
    <w:rsid w:val="009A1B18"/>
    <w:rsid w:val="009A4AAA"/>
    <w:rsid w:val="009A7225"/>
    <w:rsid w:val="009B1309"/>
    <w:rsid w:val="009B1D4A"/>
    <w:rsid w:val="009B1DAD"/>
    <w:rsid w:val="009B340E"/>
    <w:rsid w:val="009B474E"/>
    <w:rsid w:val="009C1BA3"/>
    <w:rsid w:val="009C301B"/>
    <w:rsid w:val="009C498D"/>
    <w:rsid w:val="009C4E4C"/>
    <w:rsid w:val="009C6E01"/>
    <w:rsid w:val="009C78A9"/>
    <w:rsid w:val="009C78C9"/>
    <w:rsid w:val="009D10B5"/>
    <w:rsid w:val="009D1B1A"/>
    <w:rsid w:val="009D5C9A"/>
    <w:rsid w:val="009D60D6"/>
    <w:rsid w:val="009D7C73"/>
    <w:rsid w:val="009E4D02"/>
    <w:rsid w:val="009E7551"/>
    <w:rsid w:val="009F1F46"/>
    <w:rsid w:val="009F57D6"/>
    <w:rsid w:val="009F5A0F"/>
    <w:rsid w:val="009F6836"/>
    <w:rsid w:val="00A01E35"/>
    <w:rsid w:val="00A03928"/>
    <w:rsid w:val="00A0412F"/>
    <w:rsid w:val="00A047F9"/>
    <w:rsid w:val="00A071D6"/>
    <w:rsid w:val="00A07381"/>
    <w:rsid w:val="00A105B2"/>
    <w:rsid w:val="00A10931"/>
    <w:rsid w:val="00A11EB3"/>
    <w:rsid w:val="00A133C3"/>
    <w:rsid w:val="00A15E01"/>
    <w:rsid w:val="00A2068C"/>
    <w:rsid w:val="00A2098E"/>
    <w:rsid w:val="00A21FE0"/>
    <w:rsid w:val="00A2237D"/>
    <w:rsid w:val="00A22F67"/>
    <w:rsid w:val="00A23214"/>
    <w:rsid w:val="00A245DD"/>
    <w:rsid w:val="00A250EC"/>
    <w:rsid w:val="00A263AF"/>
    <w:rsid w:val="00A31A40"/>
    <w:rsid w:val="00A31D47"/>
    <w:rsid w:val="00A33D1A"/>
    <w:rsid w:val="00A367ED"/>
    <w:rsid w:val="00A368BD"/>
    <w:rsid w:val="00A421EC"/>
    <w:rsid w:val="00A444FA"/>
    <w:rsid w:val="00A470B8"/>
    <w:rsid w:val="00A53650"/>
    <w:rsid w:val="00A537FC"/>
    <w:rsid w:val="00A542ED"/>
    <w:rsid w:val="00A57AEE"/>
    <w:rsid w:val="00A6254A"/>
    <w:rsid w:val="00A63181"/>
    <w:rsid w:val="00A64D36"/>
    <w:rsid w:val="00A66857"/>
    <w:rsid w:val="00A70712"/>
    <w:rsid w:val="00A70B46"/>
    <w:rsid w:val="00A70F41"/>
    <w:rsid w:val="00A71025"/>
    <w:rsid w:val="00A72113"/>
    <w:rsid w:val="00A74931"/>
    <w:rsid w:val="00A75CA9"/>
    <w:rsid w:val="00A763C0"/>
    <w:rsid w:val="00A80A52"/>
    <w:rsid w:val="00A80D8D"/>
    <w:rsid w:val="00A81131"/>
    <w:rsid w:val="00A82759"/>
    <w:rsid w:val="00A85589"/>
    <w:rsid w:val="00A8610B"/>
    <w:rsid w:val="00A927ED"/>
    <w:rsid w:val="00A95BA5"/>
    <w:rsid w:val="00A97489"/>
    <w:rsid w:val="00AA2E09"/>
    <w:rsid w:val="00AA6654"/>
    <w:rsid w:val="00AA6A17"/>
    <w:rsid w:val="00AA7179"/>
    <w:rsid w:val="00AB0B29"/>
    <w:rsid w:val="00AB52D5"/>
    <w:rsid w:val="00AB5BBC"/>
    <w:rsid w:val="00AB69B4"/>
    <w:rsid w:val="00AB7023"/>
    <w:rsid w:val="00AB73BD"/>
    <w:rsid w:val="00AC13C9"/>
    <w:rsid w:val="00AC2F09"/>
    <w:rsid w:val="00AC3B6B"/>
    <w:rsid w:val="00AD0C6C"/>
    <w:rsid w:val="00AD1A4C"/>
    <w:rsid w:val="00AD3750"/>
    <w:rsid w:val="00AD3DC5"/>
    <w:rsid w:val="00AD40C6"/>
    <w:rsid w:val="00AD425B"/>
    <w:rsid w:val="00AD62BA"/>
    <w:rsid w:val="00AE00CB"/>
    <w:rsid w:val="00AE416C"/>
    <w:rsid w:val="00AE4D6F"/>
    <w:rsid w:val="00AE5CF7"/>
    <w:rsid w:val="00AE7045"/>
    <w:rsid w:val="00AF135C"/>
    <w:rsid w:val="00AF34A7"/>
    <w:rsid w:val="00AF42EC"/>
    <w:rsid w:val="00AF619C"/>
    <w:rsid w:val="00AF62B9"/>
    <w:rsid w:val="00B001E8"/>
    <w:rsid w:val="00B008DA"/>
    <w:rsid w:val="00B02004"/>
    <w:rsid w:val="00B027C0"/>
    <w:rsid w:val="00B02A1F"/>
    <w:rsid w:val="00B0537F"/>
    <w:rsid w:val="00B066E6"/>
    <w:rsid w:val="00B06AD8"/>
    <w:rsid w:val="00B101D2"/>
    <w:rsid w:val="00B11C68"/>
    <w:rsid w:val="00B12AC8"/>
    <w:rsid w:val="00B2259F"/>
    <w:rsid w:val="00B22FC2"/>
    <w:rsid w:val="00B256AC"/>
    <w:rsid w:val="00B27F95"/>
    <w:rsid w:val="00B30E52"/>
    <w:rsid w:val="00B31F3A"/>
    <w:rsid w:val="00B35115"/>
    <w:rsid w:val="00B3690F"/>
    <w:rsid w:val="00B36F43"/>
    <w:rsid w:val="00B40AA7"/>
    <w:rsid w:val="00B43BA3"/>
    <w:rsid w:val="00B4655A"/>
    <w:rsid w:val="00B52501"/>
    <w:rsid w:val="00B53694"/>
    <w:rsid w:val="00B55ED5"/>
    <w:rsid w:val="00B5725E"/>
    <w:rsid w:val="00B61B5F"/>
    <w:rsid w:val="00B62164"/>
    <w:rsid w:val="00B62628"/>
    <w:rsid w:val="00B62C23"/>
    <w:rsid w:val="00B72A37"/>
    <w:rsid w:val="00B74799"/>
    <w:rsid w:val="00B74C20"/>
    <w:rsid w:val="00B75356"/>
    <w:rsid w:val="00B77D6F"/>
    <w:rsid w:val="00B80DF9"/>
    <w:rsid w:val="00B83B56"/>
    <w:rsid w:val="00B864D2"/>
    <w:rsid w:val="00B87786"/>
    <w:rsid w:val="00B936E5"/>
    <w:rsid w:val="00B95C24"/>
    <w:rsid w:val="00BA041D"/>
    <w:rsid w:val="00BA05C1"/>
    <w:rsid w:val="00BA101B"/>
    <w:rsid w:val="00BA21E1"/>
    <w:rsid w:val="00BA2C42"/>
    <w:rsid w:val="00BA2DFA"/>
    <w:rsid w:val="00BA31B8"/>
    <w:rsid w:val="00BA57CD"/>
    <w:rsid w:val="00BA6FF2"/>
    <w:rsid w:val="00BB1231"/>
    <w:rsid w:val="00BB13A2"/>
    <w:rsid w:val="00BB520A"/>
    <w:rsid w:val="00BC2AA2"/>
    <w:rsid w:val="00BD2E90"/>
    <w:rsid w:val="00BD4CA7"/>
    <w:rsid w:val="00BD5ABB"/>
    <w:rsid w:val="00BD634C"/>
    <w:rsid w:val="00BD7FFC"/>
    <w:rsid w:val="00BE082B"/>
    <w:rsid w:val="00BE1106"/>
    <w:rsid w:val="00BE1EDF"/>
    <w:rsid w:val="00BE2421"/>
    <w:rsid w:val="00BE5412"/>
    <w:rsid w:val="00BE739A"/>
    <w:rsid w:val="00BE7A50"/>
    <w:rsid w:val="00BF2A8E"/>
    <w:rsid w:val="00BF3DD2"/>
    <w:rsid w:val="00BF48D9"/>
    <w:rsid w:val="00BF50A5"/>
    <w:rsid w:val="00C03963"/>
    <w:rsid w:val="00C05F14"/>
    <w:rsid w:val="00C06453"/>
    <w:rsid w:val="00C065E6"/>
    <w:rsid w:val="00C070A4"/>
    <w:rsid w:val="00C07DF4"/>
    <w:rsid w:val="00C1038F"/>
    <w:rsid w:val="00C121DE"/>
    <w:rsid w:val="00C13415"/>
    <w:rsid w:val="00C153BD"/>
    <w:rsid w:val="00C1566B"/>
    <w:rsid w:val="00C1736A"/>
    <w:rsid w:val="00C17E27"/>
    <w:rsid w:val="00C215CE"/>
    <w:rsid w:val="00C21C4F"/>
    <w:rsid w:val="00C21FF5"/>
    <w:rsid w:val="00C22A32"/>
    <w:rsid w:val="00C2334E"/>
    <w:rsid w:val="00C2424A"/>
    <w:rsid w:val="00C27F11"/>
    <w:rsid w:val="00C3192A"/>
    <w:rsid w:val="00C32A99"/>
    <w:rsid w:val="00C336CA"/>
    <w:rsid w:val="00C34B37"/>
    <w:rsid w:val="00C34C85"/>
    <w:rsid w:val="00C355E2"/>
    <w:rsid w:val="00C37C93"/>
    <w:rsid w:val="00C37C97"/>
    <w:rsid w:val="00C41A3F"/>
    <w:rsid w:val="00C41F83"/>
    <w:rsid w:val="00C42892"/>
    <w:rsid w:val="00C435A2"/>
    <w:rsid w:val="00C44FD5"/>
    <w:rsid w:val="00C47269"/>
    <w:rsid w:val="00C472AA"/>
    <w:rsid w:val="00C477BD"/>
    <w:rsid w:val="00C50B3A"/>
    <w:rsid w:val="00C516A3"/>
    <w:rsid w:val="00C5193C"/>
    <w:rsid w:val="00C527FD"/>
    <w:rsid w:val="00C5630E"/>
    <w:rsid w:val="00C57DC7"/>
    <w:rsid w:val="00C606F7"/>
    <w:rsid w:val="00C60CA5"/>
    <w:rsid w:val="00C61506"/>
    <w:rsid w:val="00C625AC"/>
    <w:rsid w:val="00C647B4"/>
    <w:rsid w:val="00C6599B"/>
    <w:rsid w:val="00C741EE"/>
    <w:rsid w:val="00C753C8"/>
    <w:rsid w:val="00C754E8"/>
    <w:rsid w:val="00C761BE"/>
    <w:rsid w:val="00C8068B"/>
    <w:rsid w:val="00C80DB8"/>
    <w:rsid w:val="00C8120A"/>
    <w:rsid w:val="00C818F6"/>
    <w:rsid w:val="00C833CF"/>
    <w:rsid w:val="00C84237"/>
    <w:rsid w:val="00C85DF2"/>
    <w:rsid w:val="00C9047D"/>
    <w:rsid w:val="00C93898"/>
    <w:rsid w:val="00C97CE7"/>
    <w:rsid w:val="00CA11BB"/>
    <w:rsid w:val="00CA68DF"/>
    <w:rsid w:val="00CA6943"/>
    <w:rsid w:val="00CA7D39"/>
    <w:rsid w:val="00CB17AF"/>
    <w:rsid w:val="00CB7F13"/>
    <w:rsid w:val="00CC00A1"/>
    <w:rsid w:val="00CC27AE"/>
    <w:rsid w:val="00CC3819"/>
    <w:rsid w:val="00CC5837"/>
    <w:rsid w:val="00CC75CA"/>
    <w:rsid w:val="00CC7CAD"/>
    <w:rsid w:val="00CD0917"/>
    <w:rsid w:val="00CD0B97"/>
    <w:rsid w:val="00CD1E96"/>
    <w:rsid w:val="00CD7A8B"/>
    <w:rsid w:val="00CE092F"/>
    <w:rsid w:val="00CE0AF6"/>
    <w:rsid w:val="00CE2020"/>
    <w:rsid w:val="00CE2A3B"/>
    <w:rsid w:val="00CE3BB2"/>
    <w:rsid w:val="00CE5456"/>
    <w:rsid w:val="00CE59D0"/>
    <w:rsid w:val="00CE5CBC"/>
    <w:rsid w:val="00CE775F"/>
    <w:rsid w:val="00CF1133"/>
    <w:rsid w:val="00CF11B5"/>
    <w:rsid w:val="00CF1F89"/>
    <w:rsid w:val="00CF204E"/>
    <w:rsid w:val="00CF39A1"/>
    <w:rsid w:val="00CF3EEB"/>
    <w:rsid w:val="00CF3FF4"/>
    <w:rsid w:val="00CF4D5C"/>
    <w:rsid w:val="00CF52D3"/>
    <w:rsid w:val="00CF58DE"/>
    <w:rsid w:val="00CF5F5E"/>
    <w:rsid w:val="00CF6969"/>
    <w:rsid w:val="00D012FB"/>
    <w:rsid w:val="00D01D89"/>
    <w:rsid w:val="00D04756"/>
    <w:rsid w:val="00D047D3"/>
    <w:rsid w:val="00D04E45"/>
    <w:rsid w:val="00D05DCB"/>
    <w:rsid w:val="00D1109E"/>
    <w:rsid w:val="00D12978"/>
    <w:rsid w:val="00D12DEB"/>
    <w:rsid w:val="00D1412D"/>
    <w:rsid w:val="00D167AD"/>
    <w:rsid w:val="00D24FA1"/>
    <w:rsid w:val="00D27077"/>
    <w:rsid w:val="00D27322"/>
    <w:rsid w:val="00D3151C"/>
    <w:rsid w:val="00D31E26"/>
    <w:rsid w:val="00D329BC"/>
    <w:rsid w:val="00D32D24"/>
    <w:rsid w:val="00D341D8"/>
    <w:rsid w:val="00D3465E"/>
    <w:rsid w:val="00D42851"/>
    <w:rsid w:val="00D43204"/>
    <w:rsid w:val="00D432EE"/>
    <w:rsid w:val="00D45428"/>
    <w:rsid w:val="00D51E2C"/>
    <w:rsid w:val="00D52FCA"/>
    <w:rsid w:val="00D55B3E"/>
    <w:rsid w:val="00D573D3"/>
    <w:rsid w:val="00D57505"/>
    <w:rsid w:val="00D60B77"/>
    <w:rsid w:val="00D60E10"/>
    <w:rsid w:val="00D61869"/>
    <w:rsid w:val="00D64B73"/>
    <w:rsid w:val="00D65056"/>
    <w:rsid w:val="00D65CE5"/>
    <w:rsid w:val="00D6663C"/>
    <w:rsid w:val="00D71792"/>
    <w:rsid w:val="00D71E09"/>
    <w:rsid w:val="00D72948"/>
    <w:rsid w:val="00D74009"/>
    <w:rsid w:val="00D76A8D"/>
    <w:rsid w:val="00D76FEA"/>
    <w:rsid w:val="00D77C66"/>
    <w:rsid w:val="00D8357B"/>
    <w:rsid w:val="00D84099"/>
    <w:rsid w:val="00D841D3"/>
    <w:rsid w:val="00D87A73"/>
    <w:rsid w:val="00D903DF"/>
    <w:rsid w:val="00D91F2F"/>
    <w:rsid w:val="00D921F1"/>
    <w:rsid w:val="00D93BC6"/>
    <w:rsid w:val="00D94C25"/>
    <w:rsid w:val="00D964B4"/>
    <w:rsid w:val="00D96BE6"/>
    <w:rsid w:val="00D96ECD"/>
    <w:rsid w:val="00D97DAA"/>
    <w:rsid w:val="00DA0489"/>
    <w:rsid w:val="00DA13E5"/>
    <w:rsid w:val="00DA3D7E"/>
    <w:rsid w:val="00DA4C11"/>
    <w:rsid w:val="00DA7436"/>
    <w:rsid w:val="00DA76DB"/>
    <w:rsid w:val="00DB1142"/>
    <w:rsid w:val="00DB120D"/>
    <w:rsid w:val="00DB163A"/>
    <w:rsid w:val="00DB46BB"/>
    <w:rsid w:val="00DB4E11"/>
    <w:rsid w:val="00DB501F"/>
    <w:rsid w:val="00DB7583"/>
    <w:rsid w:val="00DC0625"/>
    <w:rsid w:val="00DC513C"/>
    <w:rsid w:val="00DC5F64"/>
    <w:rsid w:val="00DC60CE"/>
    <w:rsid w:val="00DC64D7"/>
    <w:rsid w:val="00DC701B"/>
    <w:rsid w:val="00DC7ACD"/>
    <w:rsid w:val="00DC7CC3"/>
    <w:rsid w:val="00DC7E4E"/>
    <w:rsid w:val="00DD052A"/>
    <w:rsid w:val="00DD1BFE"/>
    <w:rsid w:val="00DD2693"/>
    <w:rsid w:val="00DD40D8"/>
    <w:rsid w:val="00DD6050"/>
    <w:rsid w:val="00DD6F94"/>
    <w:rsid w:val="00DE0659"/>
    <w:rsid w:val="00DE27DE"/>
    <w:rsid w:val="00DE3839"/>
    <w:rsid w:val="00DE6052"/>
    <w:rsid w:val="00DE6135"/>
    <w:rsid w:val="00DE7462"/>
    <w:rsid w:val="00DF2A6B"/>
    <w:rsid w:val="00DF2B18"/>
    <w:rsid w:val="00DF2C81"/>
    <w:rsid w:val="00DF525B"/>
    <w:rsid w:val="00DF7F7A"/>
    <w:rsid w:val="00E00947"/>
    <w:rsid w:val="00E00D10"/>
    <w:rsid w:val="00E02298"/>
    <w:rsid w:val="00E03D0F"/>
    <w:rsid w:val="00E061CF"/>
    <w:rsid w:val="00E073BB"/>
    <w:rsid w:val="00E07EBB"/>
    <w:rsid w:val="00E07FB8"/>
    <w:rsid w:val="00E105A0"/>
    <w:rsid w:val="00E122FA"/>
    <w:rsid w:val="00E13B86"/>
    <w:rsid w:val="00E14078"/>
    <w:rsid w:val="00E1577A"/>
    <w:rsid w:val="00E16364"/>
    <w:rsid w:val="00E165AE"/>
    <w:rsid w:val="00E21043"/>
    <w:rsid w:val="00E23605"/>
    <w:rsid w:val="00E250CE"/>
    <w:rsid w:val="00E26245"/>
    <w:rsid w:val="00E271F9"/>
    <w:rsid w:val="00E331A6"/>
    <w:rsid w:val="00E331CC"/>
    <w:rsid w:val="00E35B81"/>
    <w:rsid w:val="00E35F17"/>
    <w:rsid w:val="00E41D2A"/>
    <w:rsid w:val="00E42EA1"/>
    <w:rsid w:val="00E4344A"/>
    <w:rsid w:val="00E458FC"/>
    <w:rsid w:val="00E47E9B"/>
    <w:rsid w:val="00E5074C"/>
    <w:rsid w:val="00E5676B"/>
    <w:rsid w:val="00E607EE"/>
    <w:rsid w:val="00E6152C"/>
    <w:rsid w:val="00E640CD"/>
    <w:rsid w:val="00E673CD"/>
    <w:rsid w:val="00E717FD"/>
    <w:rsid w:val="00E71FBC"/>
    <w:rsid w:val="00E720F2"/>
    <w:rsid w:val="00E734AE"/>
    <w:rsid w:val="00E75521"/>
    <w:rsid w:val="00E761E2"/>
    <w:rsid w:val="00E77057"/>
    <w:rsid w:val="00E81599"/>
    <w:rsid w:val="00E84CC3"/>
    <w:rsid w:val="00E92C01"/>
    <w:rsid w:val="00EA0836"/>
    <w:rsid w:val="00EA10F2"/>
    <w:rsid w:val="00EA43DC"/>
    <w:rsid w:val="00EA46EC"/>
    <w:rsid w:val="00EA49DA"/>
    <w:rsid w:val="00EA4F58"/>
    <w:rsid w:val="00EB0491"/>
    <w:rsid w:val="00EB04CA"/>
    <w:rsid w:val="00EB4CAA"/>
    <w:rsid w:val="00EB6D5D"/>
    <w:rsid w:val="00EB6F4C"/>
    <w:rsid w:val="00EC177C"/>
    <w:rsid w:val="00EC34BF"/>
    <w:rsid w:val="00EC706A"/>
    <w:rsid w:val="00EC7D54"/>
    <w:rsid w:val="00EC7F2C"/>
    <w:rsid w:val="00ED1F12"/>
    <w:rsid w:val="00ED5878"/>
    <w:rsid w:val="00ED5B0B"/>
    <w:rsid w:val="00EE07FB"/>
    <w:rsid w:val="00EE2050"/>
    <w:rsid w:val="00EE3288"/>
    <w:rsid w:val="00EE344D"/>
    <w:rsid w:val="00EF4C6D"/>
    <w:rsid w:val="00EF654E"/>
    <w:rsid w:val="00EF7883"/>
    <w:rsid w:val="00F00EC3"/>
    <w:rsid w:val="00F01B4A"/>
    <w:rsid w:val="00F0213C"/>
    <w:rsid w:val="00F04283"/>
    <w:rsid w:val="00F0501D"/>
    <w:rsid w:val="00F05431"/>
    <w:rsid w:val="00F11608"/>
    <w:rsid w:val="00F117F7"/>
    <w:rsid w:val="00F11CC1"/>
    <w:rsid w:val="00F133C8"/>
    <w:rsid w:val="00F15A70"/>
    <w:rsid w:val="00F15C12"/>
    <w:rsid w:val="00F25A87"/>
    <w:rsid w:val="00F3010D"/>
    <w:rsid w:val="00F3293B"/>
    <w:rsid w:val="00F35A27"/>
    <w:rsid w:val="00F365E7"/>
    <w:rsid w:val="00F366C8"/>
    <w:rsid w:val="00F3731D"/>
    <w:rsid w:val="00F3791F"/>
    <w:rsid w:val="00F421DE"/>
    <w:rsid w:val="00F429EB"/>
    <w:rsid w:val="00F42DD6"/>
    <w:rsid w:val="00F451A1"/>
    <w:rsid w:val="00F45A09"/>
    <w:rsid w:val="00F462A4"/>
    <w:rsid w:val="00F47E2D"/>
    <w:rsid w:val="00F47EE4"/>
    <w:rsid w:val="00F50537"/>
    <w:rsid w:val="00F535F5"/>
    <w:rsid w:val="00F540AC"/>
    <w:rsid w:val="00F540FB"/>
    <w:rsid w:val="00F54129"/>
    <w:rsid w:val="00F54733"/>
    <w:rsid w:val="00F5528E"/>
    <w:rsid w:val="00F56043"/>
    <w:rsid w:val="00F6497C"/>
    <w:rsid w:val="00F664EF"/>
    <w:rsid w:val="00F70FB2"/>
    <w:rsid w:val="00F71785"/>
    <w:rsid w:val="00F724C7"/>
    <w:rsid w:val="00F748BF"/>
    <w:rsid w:val="00F75439"/>
    <w:rsid w:val="00F7653E"/>
    <w:rsid w:val="00F76E91"/>
    <w:rsid w:val="00F77337"/>
    <w:rsid w:val="00F80239"/>
    <w:rsid w:val="00F809D3"/>
    <w:rsid w:val="00F82600"/>
    <w:rsid w:val="00F83034"/>
    <w:rsid w:val="00F8349C"/>
    <w:rsid w:val="00F8523C"/>
    <w:rsid w:val="00F92EFD"/>
    <w:rsid w:val="00F968DD"/>
    <w:rsid w:val="00F97D1B"/>
    <w:rsid w:val="00FA1793"/>
    <w:rsid w:val="00FA2765"/>
    <w:rsid w:val="00FA2E02"/>
    <w:rsid w:val="00FA36B6"/>
    <w:rsid w:val="00FA4905"/>
    <w:rsid w:val="00FA4955"/>
    <w:rsid w:val="00FA5D3F"/>
    <w:rsid w:val="00FA6A22"/>
    <w:rsid w:val="00FB3BD5"/>
    <w:rsid w:val="00FB5752"/>
    <w:rsid w:val="00FB5A34"/>
    <w:rsid w:val="00FB5B76"/>
    <w:rsid w:val="00FB6B40"/>
    <w:rsid w:val="00FC0429"/>
    <w:rsid w:val="00FC0E53"/>
    <w:rsid w:val="00FC2913"/>
    <w:rsid w:val="00FC333D"/>
    <w:rsid w:val="00FC3448"/>
    <w:rsid w:val="00FC47FB"/>
    <w:rsid w:val="00FC5B7A"/>
    <w:rsid w:val="00FD1467"/>
    <w:rsid w:val="00FD1C2F"/>
    <w:rsid w:val="00FD2785"/>
    <w:rsid w:val="00FD3582"/>
    <w:rsid w:val="00FD4718"/>
    <w:rsid w:val="00FD51F6"/>
    <w:rsid w:val="00FE186C"/>
    <w:rsid w:val="00FE1E65"/>
    <w:rsid w:val="00FE2233"/>
    <w:rsid w:val="00FE3163"/>
    <w:rsid w:val="00FE53A4"/>
    <w:rsid w:val="00FE61CA"/>
    <w:rsid w:val="00FE7A53"/>
    <w:rsid w:val="00FF2641"/>
  </w:rsids>
  <m:mathPr>
    <m:mathFont m:val="Cambria Math"/>
    <m:brkBin m:val="before"/>
    <m:brkBinSub m:val="--"/>
    <m:smallFrac/>
    <m:dispDef/>
    <m:lMargin m:val="0"/>
    <m:rMargin m:val="0"/>
    <m:defJc m:val="left"/>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ostalCode"/>
  <w:smartTagType w:namespaceuri="urn:schemas-microsoft-com:office:smarttags" w:name="State"/>
  <w:smartTagType w:namespaceuri="urn:schemas-microsoft-com:office:smarttags" w:name="City"/>
  <w:shapeDefaults>
    <o:shapedefaults v:ext="edit" spidmax="1030">
      <o:colormenu v:ext="edit" fillcolor="none [3212]"/>
    </o:shapedefaults>
    <o:shapelayout v:ext="edit">
      <o:idmap v:ext="edit" data="1"/>
    </o:shapelayout>
  </w:shapeDefaults>
  <w:decimalSymbol w:val="."/>
  <w:listSeparator w:val=","/>
  <w15:chartTrackingRefBased/>
  <w15:docId w15:val="{5693ACD2-0F93-44D1-B8DB-1E27281BC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9" w:qFormat="1"/>
    <w:lsdException w:name="heading 4" w:uiPriority="99" w:qFormat="1"/>
    <w:lsdException w:name="heading 5" w:qFormat="1"/>
    <w:lsdException w:name="heading 6" w:uiPriority="99" w:qFormat="1"/>
    <w:lsdException w:name="heading 7" w:qFormat="1"/>
    <w:lsdException w:name="heading 8" w:uiPriority="99" w:qFormat="1"/>
    <w:lsdException w:name="heading 9" w:uiPriority="99" w:qFormat="1"/>
    <w:lsdException w:name="annotation text" w:uiPriority="99"/>
    <w:lsdException w:name="caption" w:qFormat="1"/>
    <w:lsdException w:name="annotation reference" w:uiPriority="99"/>
    <w:lsdException w:name="Title" w:qFormat="1"/>
    <w:lsdException w:name="Subtitle" w:qFormat="1"/>
    <w:lsdException w:name="Body Text 2" w:uiPriority="99"/>
    <w:lsdException w:name="Hyperlink" w:uiPriority="99"/>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Outline List 2" w:uiPriority="99"/>
    <w:lsdException w:name="Outline List 3"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42EC"/>
  </w:style>
  <w:style w:type="paragraph" w:styleId="Heading1">
    <w:name w:val="heading 1"/>
    <w:basedOn w:val="Normal"/>
    <w:next w:val="Normal"/>
    <w:link w:val="Heading1Char"/>
    <w:uiPriority w:val="99"/>
    <w:qFormat/>
    <w:pPr>
      <w:keepNext/>
      <w:spacing w:after="120"/>
      <w:ind w:left="634"/>
      <w:outlineLvl w:val="0"/>
    </w:pPr>
    <w:rPr>
      <w:sz w:val="28"/>
    </w:rPr>
  </w:style>
  <w:style w:type="paragraph" w:styleId="Heading2">
    <w:name w:val="heading 2"/>
    <w:basedOn w:val="Normal"/>
    <w:next w:val="Normal"/>
    <w:link w:val="Heading2Char"/>
    <w:qFormat/>
    <w:pPr>
      <w:keepNext/>
      <w:ind w:left="630"/>
      <w:outlineLvl w:val="1"/>
    </w:pPr>
    <w:rPr>
      <w:i/>
      <w:sz w:val="23"/>
    </w:rPr>
  </w:style>
  <w:style w:type="paragraph" w:styleId="Heading3">
    <w:name w:val="heading 3"/>
    <w:basedOn w:val="Normal"/>
    <w:next w:val="Normal"/>
    <w:link w:val="Heading3Char"/>
    <w:uiPriority w:val="99"/>
    <w:qFormat/>
    <w:pPr>
      <w:keepNext/>
      <w:jc w:val="center"/>
      <w:outlineLvl w:val="2"/>
    </w:pPr>
    <w:rPr>
      <w:sz w:val="28"/>
    </w:rPr>
  </w:style>
  <w:style w:type="paragraph" w:styleId="Heading4">
    <w:name w:val="heading 4"/>
    <w:basedOn w:val="Normal"/>
    <w:next w:val="Normal"/>
    <w:link w:val="Heading4Char"/>
    <w:uiPriority w:val="99"/>
    <w:qFormat/>
    <w:pPr>
      <w:keepNext/>
      <w:jc w:val="center"/>
      <w:outlineLvl w:val="3"/>
    </w:pPr>
    <w:rPr>
      <w:b/>
      <w:sz w:val="22"/>
    </w:rPr>
  </w:style>
  <w:style w:type="paragraph" w:styleId="Heading5">
    <w:name w:val="heading 5"/>
    <w:basedOn w:val="Normal"/>
    <w:next w:val="Normal"/>
    <w:link w:val="Heading5Char"/>
    <w:qFormat/>
    <w:pPr>
      <w:keepNext/>
      <w:spacing w:after="120"/>
      <w:ind w:left="720"/>
      <w:outlineLvl w:val="4"/>
    </w:pPr>
    <w:rPr>
      <w:b/>
      <w:sz w:val="22"/>
    </w:rPr>
  </w:style>
  <w:style w:type="paragraph" w:styleId="Heading6">
    <w:name w:val="heading 6"/>
    <w:basedOn w:val="Normal"/>
    <w:next w:val="Normal"/>
    <w:link w:val="Heading6Char"/>
    <w:uiPriority w:val="99"/>
    <w:qFormat/>
    <w:pPr>
      <w:keepNext/>
      <w:jc w:val="center"/>
      <w:outlineLvl w:val="5"/>
    </w:pPr>
    <w:rPr>
      <w:b/>
      <w:sz w:val="24"/>
    </w:rPr>
  </w:style>
  <w:style w:type="paragraph" w:styleId="Heading7">
    <w:name w:val="heading 7"/>
    <w:basedOn w:val="Normal"/>
    <w:next w:val="Normal"/>
    <w:link w:val="Heading7Char"/>
    <w:qFormat/>
    <w:pPr>
      <w:keepNext/>
      <w:tabs>
        <w:tab w:val="right" w:pos="9648"/>
      </w:tabs>
      <w:spacing w:after="120" w:line="240" w:lineRule="exact"/>
      <w:ind w:left="630"/>
      <w:outlineLvl w:val="6"/>
    </w:pPr>
    <w:rPr>
      <w:b/>
      <w:sz w:val="22"/>
    </w:rPr>
  </w:style>
  <w:style w:type="paragraph" w:styleId="Heading8">
    <w:name w:val="heading 8"/>
    <w:basedOn w:val="Normal"/>
    <w:next w:val="Normal"/>
    <w:link w:val="Heading8Char"/>
    <w:uiPriority w:val="99"/>
    <w:qFormat/>
    <w:pPr>
      <w:keepNext/>
      <w:spacing w:after="120"/>
      <w:outlineLvl w:val="7"/>
    </w:pPr>
    <w:rPr>
      <w:b/>
      <w:caps/>
      <w:sz w:val="22"/>
    </w:rPr>
  </w:style>
  <w:style w:type="paragraph" w:styleId="Heading9">
    <w:name w:val="heading 9"/>
    <w:basedOn w:val="Normal"/>
    <w:next w:val="Normal"/>
    <w:link w:val="Heading9Char"/>
    <w:uiPriority w:val="99"/>
    <w:qFormat/>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9Char">
    <w:name w:val="Heading 9 Char"/>
    <w:basedOn w:val="DefaultParagraphFont"/>
    <w:link w:val="Heading9"/>
    <w:uiPriority w:val="99"/>
    <w:rsid w:val="002C14C3"/>
    <w:rPr>
      <w:sz w:val="22"/>
      <w:u w:val="single"/>
    </w:rPr>
  </w:style>
  <w:style w:type="character" w:styleId="EndnoteReference">
    <w:name w:val="endnote reference"/>
    <w:basedOn w:val="DefaultParagraphFont"/>
    <w:semiHidden/>
    <w:rPr>
      <w:vertAlign w:val="superscript"/>
    </w:rPr>
  </w:style>
  <w:style w:type="paragraph" w:styleId="Header">
    <w:name w:val="header"/>
    <w:basedOn w:val="Normal"/>
    <w:link w:val="HeaderChar"/>
    <w:pPr>
      <w:tabs>
        <w:tab w:val="center" w:pos="4320"/>
        <w:tab w:val="right" w:pos="8640"/>
      </w:tabs>
    </w:pPr>
  </w:style>
  <w:style w:type="character" w:styleId="PageNumber">
    <w:name w:val="page number"/>
    <w:basedOn w:val="DefaultParagraphFont"/>
  </w:style>
  <w:style w:type="paragraph" w:styleId="Footer">
    <w:name w:val="footer"/>
    <w:basedOn w:val="Normal"/>
    <w:link w:val="FooterChar"/>
    <w:pPr>
      <w:tabs>
        <w:tab w:val="center" w:pos="4320"/>
        <w:tab w:val="right" w:pos="8640"/>
      </w:tabs>
    </w:pPr>
  </w:style>
  <w:style w:type="paragraph" w:styleId="BodyTextIndent">
    <w:name w:val="Body Text Indent"/>
    <w:basedOn w:val="Normal"/>
    <w:link w:val="BodyTextIndentChar"/>
    <w:pPr>
      <w:spacing w:after="120"/>
      <w:ind w:left="634"/>
    </w:pPr>
    <w:rPr>
      <w:sz w:val="24"/>
    </w:rPr>
  </w:style>
  <w:style w:type="paragraph" w:styleId="BodyTextIndent2">
    <w:name w:val="Body Text Indent 2"/>
    <w:basedOn w:val="Normal"/>
    <w:link w:val="BodyTextIndent2Char"/>
    <w:pPr>
      <w:tabs>
        <w:tab w:val="left" w:pos="630"/>
      </w:tabs>
      <w:spacing w:after="120"/>
      <w:ind w:left="630"/>
    </w:pPr>
    <w:rPr>
      <w:sz w:val="24"/>
    </w:rPr>
  </w:style>
  <w:style w:type="paragraph" w:styleId="BodyTextIndent3">
    <w:name w:val="Body Text Indent 3"/>
    <w:basedOn w:val="Normal"/>
    <w:link w:val="BodyTextIndent3Char"/>
    <w:pPr>
      <w:spacing w:before="240" w:after="120"/>
      <w:ind w:left="634"/>
      <w:jc w:val="center"/>
    </w:pPr>
    <w:rPr>
      <w:caps/>
      <w:sz w:val="24"/>
    </w:rPr>
  </w:style>
  <w:style w:type="paragraph" w:styleId="BodyText2">
    <w:name w:val="Body Text 2"/>
    <w:basedOn w:val="Normal"/>
    <w:link w:val="BodyText2Char"/>
    <w:uiPriority w:val="99"/>
    <w:pPr>
      <w:numPr>
        <w:ilvl w:val="12"/>
      </w:numPr>
      <w:spacing w:after="120"/>
      <w:jc w:val="both"/>
    </w:pPr>
    <w:rPr>
      <w:sz w:val="22"/>
    </w:rPr>
  </w:style>
  <w:style w:type="paragraph" w:styleId="Title">
    <w:name w:val="Title"/>
    <w:basedOn w:val="Normal"/>
    <w:link w:val="TitleChar"/>
    <w:qFormat/>
    <w:pPr>
      <w:jc w:val="center"/>
    </w:pPr>
    <w:rPr>
      <w:b/>
      <w:sz w:val="24"/>
    </w:rPr>
  </w:style>
  <w:style w:type="paragraph" w:styleId="BodyText">
    <w:name w:val="Body Text"/>
    <w:aliases w:val="SCA Body Text,SCA Body Text1,SCA Body Text2,SCA Body Text11,BodyText-JEA,BT-JEA"/>
    <w:basedOn w:val="Normal"/>
    <w:link w:val="BodyTextChar"/>
    <w:pPr>
      <w:spacing w:after="120"/>
    </w:pPr>
    <w:rPr>
      <w:sz w:val="24"/>
    </w:rPr>
  </w:style>
  <w:style w:type="character" w:customStyle="1" w:styleId="BodyTextChar">
    <w:name w:val="Body Text Char"/>
    <w:aliases w:val="SCA Body Text Char,SCA Body Text1 Char,SCA Body Text2 Char,SCA Body Text11 Char,BodyText-JEA Char,BT-JEA Char"/>
    <w:basedOn w:val="DefaultParagraphFont"/>
    <w:link w:val="BodyText"/>
    <w:rsid w:val="002C14C3"/>
    <w:rPr>
      <w:sz w:val="24"/>
    </w:rPr>
  </w:style>
  <w:style w:type="paragraph" w:styleId="BodyText3">
    <w:name w:val="Body Text 3"/>
    <w:basedOn w:val="Normal"/>
    <w:link w:val="BodyText3Char"/>
    <w:pPr>
      <w:spacing w:before="120" w:after="120"/>
    </w:pPr>
    <w:rPr>
      <w:sz w:val="22"/>
    </w:rPr>
  </w:style>
  <w:style w:type="paragraph" w:customStyle="1" w:styleId="Style4">
    <w:name w:val="Style4"/>
    <w:next w:val="Normal"/>
    <w:rPr>
      <w:noProof/>
      <w:sz w:val="24"/>
    </w:rPr>
  </w:style>
  <w:style w:type="paragraph" w:styleId="BlockText">
    <w:name w:val="Block Text"/>
    <w:basedOn w:val="Normal"/>
    <w:pPr>
      <w:spacing w:after="120"/>
      <w:ind w:left="720" w:right="43"/>
      <w:jc w:val="both"/>
    </w:pPr>
    <w:rPr>
      <w:sz w:val="22"/>
    </w:rPr>
  </w:style>
  <w:style w:type="character" w:styleId="Hyperlink">
    <w:name w:val="Hyperlink"/>
    <w:basedOn w:val="DefaultParagraphFont"/>
    <w:uiPriority w:val="99"/>
    <w:rPr>
      <w:color w:val="0000FF"/>
      <w:u w:val="single"/>
    </w:rPr>
  </w:style>
  <w:style w:type="paragraph" w:customStyle="1" w:styleId="SCATableHeading">
    <w:name w:val="SCA Table Heading"/>
    <w:basedOn w:val="Normal"/>
    <w:pPr>
      <w:jc w:val="center"/>
    </w:pPr>
    <w:rPr>
      <w:b/>
      <w:caps/>
    </w:rPr>
  </w:style>
  <w:style w:type="paragraph" w:styleId="Caption">
    <w:name w:val="caption"/>
    <w:basedOn w:val="Normal"/>
    <w:next w:val="Normal"/>
    <w:qFormat/>
    <w:rsid w:val="00746205"/>
    <w:pPr>
      <w:spacing w:before="360" w:after="120"/>
    </w:pPr>
    <w:rPr>
      <w:b/>
      <w:caps/>
      <w:sz w:val="22"/>
    </w:rPr>
  </w:style>
  <w:style w:type="paragraph" w:styleId="BalloonText">
    <w:name w:val="Balloon Text"/>
    <w:basedOn w:val="Normal"/>
    <w:link w:val="BalloonTextChar"/>
    <w:uiPriority w:val="99"/>
    <w:rsid w:val="00746205"/>
    <w:rPr>
      <w:rFonts w:ascii="Tahoma" w:hAnsi="Tahoma" w:cs="Tahoma"/>
      <w:sz w:val="16"/>
      <w:szCs w:val="16"/>
    </w:rPr>
  </w:style>
  <w:style w:type="table" w:styleId="TableGrid">
    <w:name w:val="Table Grid"/>
    <w:basedOn w:val="TableNormal"/>
    <w:uiPriority w:val="59"/>
    <w:rsid w:val="00DC7CC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2E3095"/>
    <w:pPr>
      <w:autoSpaceDE w:val="0"/>
      <w:autoSpaceDN w:val="0"/>
      <w:adjustRightInd w:val="0"/>
    </w:pPr>
    <w:rPr>
      <w:color w:val="000000"/>
      <w:sz w:val="24"/>
      <w:szCs w:val="24"/>
    </w:rPr>
  </w:style>
  <w:style w:type="paragraph" w:styleId="EndnoteText">
    <w:name w:val="endnote text"/>
    <w:basedOn w:val="Normal"/>
    <w:link w:val="EndnoteTextChar"/>
    <w:rsid w:val="00B256AC"/>
  </w:style>
  <w:style w:type="character" w:customStyle="1" w:styleId="EndnoteTextChar">
    <w:name w:val="Endnote Text Char"/>
    <w:basedOn w:val="DefaultParagraphFont"/>
    <w:link w:val="EndnoteText"/>
    <w:rsid w:val="00B256AC"/>
  </w:style>
  <w:style w:type="character" w:styleId="FollowedHyperlink">
    <w:name w:val="FollowedHyperlink"/>
    <w:basedOn w:val="DefaultParagraphFont"/>
    <w:rsid w:val="004E3423"/>
    <w:rPr>
      <w:color w:val="800080"/>
      <w:u w:val="single"/>
    </w:rPr>
  </w:style>
  <w:style w:type="paragraph" w:styleId="CommentText">
    <w:name w:val="annotation text"/>
    <w:basedOn w:val="Normal"/>
    <w:link w:val="CommentTextChar"/>
    <w:uiPriority w:val="99"/>
    <w:rsid w:val="00910756"/>
  </w:style>
  <w:style w:type="character" w:customStyle="1" w:styleId="CommentTextChar">
    <w:name w:val="Comment Text Char"/>
    <w:basedOn w:val="DefaultParagraphFont"/>
    <w:link w:val="CommentText"/>
    <w:uiPriority w:val="99"/>
    <w:rsid w:val="00910756"/>
  </w:style>
  <w:style w:type="character" w:styleId="Strong">
    <w:name w:val="Strong"/>
    <w:basedOn w:val="DefaultParagraphFont"/>
    <w:qFormat/>
    <w:rsid w:val="00910756"/>
    <w:rPr>
      <w:b/>
      <w:bCs/>
    </w:rPr>
  </w:style>
  <w:style w:type="character" w:styleId="Emphasis">
    <w:name w:val="Emphasis"/>
    <w:basedOn w:val="DefaultParagraphFont"/>
    <w:qFormat/>
    <w:rsid w:val="00910756"/>
    <w:rPr>
      <w:i/>
      <w:iCs/>
    </w:rPr>
  </w:style>
  <w:style w:type="paragraph" w:styleId="FootnoteText">
    <w:name w:val="footnote text"/>
    <w:basedOn w:val="Normal"/>
    <w:link w:val="FootnoteTextChar"/>
    <w:rsid w:val="00910756"/>
  </w:style>
  <w:style w:type="character" w:customStyle="1" w:styleId="FootnoteTextChar">
    <w:name w:val="Footnote Text Char"/>
    <w:basedOn w:val="DefaultParagraphFont"/>
    <w:link w:val="FootnoteText"/>
    <w:rsid w:val="00910756"/>
  </w:style>
  <w:style w:type="character" w:customStyle="1" w:styleId="Heading1Char">
    <w:name w:val="Heading 1 Char"/>
    <w:basedOn w:val="DefaultParagraphFont"/>
    <w:link w:val="Heading1"/>
    <w:uiPriority w:val="99"/>
    <w:locked/>
    <w:rsid w:val="00CA7D39"/>
    <w:rPr>
      <w:sz w:val="28"/>
    </w:rPr>
  </w:style>
  <w:style w:type="character" w:customStyle="1" w:styleId="Heading2Char">
    <w:name w:val="Heading 2 Char"/>
    <w:basedOn w:val="DefaultParagraphFont"/>
    <w:link w:val="Heading2"/>
    <w:uiPriority w:val="99"/>
    <w:locked/>
    <w:rsid w:val="00CA7D39"/>
    <w:rPr>
      <w:i/>
      <w:sz w:val="23"/>
    </w:rPr>
  </w:style>
  <w:style w:type="character" w:customStyle="1" w:styleId="Heading3Char">
    <w:name w:val="Heading 3 Char"/>
    <w:basedOn w:val="DefaultParagraphFont"/>
    <w:link w:val="Heading3"/>
    <w:uiPriority w:val="99"/>
    <w:locked/>
    <w:rsid w:val="00CA7D39"/>
    <w:rPr>
      <w:sz w:val="28"/>
    </w:rPr>
  </w:style>
  <w:style w:type="character" w:customStyle="1" w:styleId="Heading4Char">
    <w:name w:val="Heading 4 Char"/>
    <w:basedOn w:val="DefaultParagraphFont"/>
    <w:link w:val="Heading4"/>
    <w:uiPriority w:val="99"/>
    <w:locked/>
    <w:rsid w:val="00CA7D39"/>
    <w:rPr>
      <w:b/>
      <w:sz w:val="22"/>
    </w:rPr>
  </w:style>
  <w:style w:type="character" w:customStyle="1" w:styleId="Heading5Char">
    <w:name w:val="Heading 5 Char"/>
    <w:basedOn w:val="DefaultParagraphFont"/>
    <w:link w:val="Heading5"/>
    <w:uiPriority w:val="99"/>
    <w:locked/>
    <w:rsid w:val="00CA7D39"/>
    <w:rPr>
      <w:b/>
      <w:sz w:val="22"/>
    </w:rPr>
  </w:style>
  <w:style w:type="character" w:customStyle="1" w:styleId="Heading6Char">
    <w:name w:val="Heading 6 Char"/>
    <w:basedOn w:val="DefaultParagraphFont"/>
    <w:link w:val="Heading6"/>
    <w:uiPriority w:val="99"/>
    <w:locked/>
    <w:rsid w:val="00CA7D39"/>
    <w:rPr>
      <w:b/>
      <w:sz w:val="24"/>
    </w:rPr>
  </w:style>
  <w:style w:type="character" w:customStyle="1" w:styleId="Heading7Char">
    <w:name w:val="Heading 7 Char"/>
    <w:basedOn w:val="DefaultParagraphFont"/>
    <w:link w:val="Heading7"/>
    <w:locked/>
    <w:rsid w:val="00CA7D39"/>
    <w:rPr>
      <w:b/>
      <w:sz w:val="22"/>
    </w:rPr>
  </w:style>
  <w:style w:type="character" w:customStyle="1" w:styleId="Heading8Char">
    <w:name w:val="Heading 8 Char"/>
    <w:basedOn w:val="DefaultParagraphFont"/>
    <w:link w:val="Heading8"/>
    <w:uiPriority w:val="99"/>
    <w:locked/>
    <w:rsid w:val="00CA7D39"/>
    <w:rPr>
      <w:b/>
      <w:caps/>
      <w:sz w:val="22"/>
    </w:rPr>
  </w:style>
  <w:style w:type="paragraph" w:customStyle="1" w:styleId="TPName">
    <w:name w:val="TP Name"/>
    <w:basedOn w:val="Normal"/>
    <w:uiPriority w:val="99"/>
    <w:rsid w:val="00CA7D39"/>
    <w:pPr>
      <w:suppressAutoHyphens/>
      <w:spacing w:after="120"/>
    </w:pPr>
    <w:rPr>
      <w:rFonts w:ascii="Arial" w:hAnsi="Arial"/>
      <w:b/>
      <w:sz w:val="28"/>
      <w:szCs w:val="28"/>
    </w:rPr>
  </w:style>
  <w:style w:type="character" w:customStyle="1" w:styleId="BalloonTextChar">
    <w:name w:val="Balloon Text Char"/>
    <w:basedOn w:val="DefaultParagraphFont"/>
    <w:link w:val="BalloonText"/>
    <w:uiPriority w:val="99"/>
    <w:locked/>
    <w:rsid w:val="00CA7D39"/>
    <w:rPr>
      <w:rFonts w:ascii="Tahoma" w:hAnsi="Tahoma" w:cs="Tahoma"/>
      <w:sz w:val="16"/>
      <w:szCs w:val="16"/>
    </w:rPr>
  </w:style>
  <w:style w:type="paragraph" w:customStyle="1" w:styleId="TPAddress">
    <w:name w:val="TP Address"/>
    <w:basedOn w:val="Normal"/>
    <w:uiPriority w:val="99"/>
    <w:rsid w:val="00CA7D39"/>
    <w:rPr>
      <w:rFonts w:ascii="Arial" w:hAnsi="Arial"/>
      <w:szCs w:val="24"/>
    </w:rPr>
  </w:style>
  <w:style w:type="paragraph" w:styleId="ListParagraph">
    <w:name w:val="List Paragraph"/>
    <w:basedOn w:val="Normal"/>
    <w:qFormat/>
    <w:rsid w:val="00CA7D39"/>
    <w:pPr>
      <w:ind w:left="720"/>
      <w:contextualSpacing/>
    </w:pPr>
    <w:rPr>
      <w:sz w:val="24"/>
      <w:szCs w:val="24"/>
    </w:rPr>
  </w:style>
  <w:style w:type="character" w:customStyle="1" w:styleId="HeaderChar">
    <w:name w:val="Header Char"/>
    <w:basedOn w:val="DefaultParagraphFont"/>
    <w:link w:val="Header"/>
    <w:locked/>
    <w:rsid w:val="00CA7D39"/>
  </w:style>
  <w:style w:type="character" w:customStyle="1" w:styleId="FooterChar">
    <w:name w:val="Footer Char"/>
    <w:basedOn w:val="DefaultParagraphFont"/>
    <w:link w:val="Footer"/>
    <w:locked/>
    <w:rsid w:val="00CA7D39"/>
  </w:style>
  <w:style w:type="paragraph" w:styleId="DocumentMap">
    <w:name w:val="Document Map"/>
    <w:basedOn w:val="Normal"/>
    <w:link w:val="DocumentMapChar"/>
    <w:uiPriority w:val="99"/>
    <w:rsid w:val="00CA7D39"/>
    <w:rPr>
      <w:rFonts w:ascii="Tahoma" w:hAnsi="Tahoma" w:cs="Tahoma"/>
      <w:sz w:val="16"/>
      <w:szCs w:val="16"/>
    </w:rPr>
  </w:style>
  <w:style w:type="character" w:customStyle="1" w:styleId="DocumentMapChar">
    <w:name w:val="Document Map Char"/>
    <w:basedOn w:val="DefaultParagraphFont"/>
    <w:link w:val="DocumentMap"/>
    <w:uiPriority w:val="99"/>
    <w:rsid w:val="00CA7D39"/>
    <w:rPr>
      <w:rFonts w:ascii="Tahoma" w:hAnsi="Tahoma" w:cs="Tahoma"/>
      <w:sz w:val="16"/>
      <w:szCs w:val="16"/>
    </w:rPr>
  </w:style>
  <w:style w:type="character" w:styleId="CommentReference">
    <w:name w:val="annotation reference"/>
    <w:basedOn w:val="DefaultParagraphFont"/>
    <w:uiPriority w:val="99"/>
    <w:rsid w:val="00CA7D39"/>
    <w:rPr>
      <w:rFonts w:cs="Times New Roman"/>
      <w:sz w:val="16"/>
      <w:szCs w:val="16"/>
    </w:rPr>
  </w:style>
  <w:style w:type="paragraph" w:styleId="CommentSubject">
    <w:name w:val="annotation subject"/>
    <w:basedOn w:val="CommentText"/>
    <w:next w:val="CommentText"/>
    <w:link w:val="CommentSubjectChar"/>
    <w:uiPriority w:val="99"/>
    <w:rsid w:val="00CA7D39"/>
    <w:rPr>
      <w:b/>
      <w:bCs/>
    </w:rPr>
  </w:style>
  <w:style w:type="character" w:customStyle="1" w:styleId="CommentSubjectChar">
    <w:name w:val="Comment Subject Char"/>
    <w:basedOn w:val="CommentTextChar"/>
    <w:link w:val="CommentSubject"/>
    <w:uiPriority w:val="99"/>
    <w:rsid w:val="00CA7D39"/>
    <w:rPr>
      <w:b/>
      <w:bCs/>
    </w:rPr>
  </w:style>
  <w:style w:type="character" w:customStyle="1" w:styleId="CharChar12">
    <w:name w:val="Char Char12"/>
    <w:basedOn w:val="DefaultParagraphFont"/>
    <w:uiPriority w:val="99"/>
    <w:rsid w:val="00CA7D39"/>
    <w:rPr>
      <w:rFonts w:cs="Times New Roman"/>
    </w:rPr>
  </w:style>
  <w:style w:type="character" w:customStyle="1" w:styleId="CharChar11">
    <w:name w:val="Char Char11"/>
    <w:basedOn w:val="DefaultParagraphFont"/>
    <w:uiPriority w:val="99"/>
    <w:rsid w:val="00CA7D39"/>
    <w:rPr>
      <w:rFonts w:cs="Times New Roman"/>
    </w:rPr>
  </w:style>
  <w:style w:type="numbering" w:styleId="111111">
    <w:name w:val="Outline List 2"/>
    <w:basedOn w:val="NoList"/>
    <w:uiPriority w:val="99"/>
    <w:unhideWhenUsed/>
    <w:rsid w:val="00CA7D39"/>
    <w:pPr>
      <w:numPr>
        <w:numId w:val="5"/>
      </w:numPr>
    </w:pPr>
  </w:style>
  <w:style w:type="numbering" w:styleId="ArticleSection">
    <w:name w:val="Outline List 3"/>
    <w:basedOn w:val="NoList"/>
    <w:uiPriority w:val="99"/>
    <w:unhideWhenUsed/>
    <w:rsid w:val="00CA7D39"/>
    <w:pPr>
      <w:numPr>
        <w:numId w:val="6"/>
      </w:numPr>
    </w:pPr>
  </w:style>
  <w:style w:type="character" w:customStyle="1" w:styleId="BodyTextIndentChar">
    <w:name w:val="Body Text Indent Char"/>
    <w:basedOn w:val="DefaultParagraphFont"/>
    <w:link w:val="BodyTextIndent"/>
    <w:rsid w:val="00CA7D39"/>
    <w:rPr>
      <w:sz w:val="24"/>
    </w:rPr>
  </w:style>
  <w:style w:type="character" w:customStyle="1" w:styleId="BodyTextIndent3Char">
    <w:name w:val="Body Text Indent 3 Char"/>
    <w:basedOn w:val="DefaultParagraphFont"/>
    <w:link w:val="BodyTextIndent3"/>
    <w:rsid w:val="00CA7D39"/>
    <w:rPr>
      <w:caps/>
      <w:sz w:val="24"/>
    </w:rPr>
  </w:style>
  <w:style w:type="character" w:customStyle="1" w:styleId="BodyText2Char">
    <w:name w:val="Body Text 2 Char"/>
    <w:basedOn w:val="DefaultParagraphFont"/>
    <w:link w:val="BodyText2"/>
    <w:uiPriority w:val="99"/>
    <w:rsid w:val="00CA7D39"/>
    <w:rPr>
      <w:sz w:val="22"/>
    </w:rPr>
  </w:style>
  <w:style w:type="paragraph" w:styleId="NormalWeb">
    <w:name w:val="Normal (Web)"/>
    <w:basedOn w:val="Normal"/>
    <w:uiPriority w:val="99"/>
    <w:rsid w:val="00CA7D39"/>
    <w:pPr>
      <w:spacing w:before="100" w:beforeAutospacing="1" w:after="100" w:afterAutospacing="1"/>
    </w:pPr>
    <w:rPr>
      <w:rFonts w:eastAsia="MS Mincho"/>
      <w:color w:val="000000"/>
      <w:sz w:val="24"/>
      <w:szCs w:val="24"/>
      <w:lang w:eastAsia="ja-JP"/>
    </w:rPr>
  </w:style>
  <w:style w:type="paragraph" w:customStyle="1" w:styleId="font6">
    <w:name w:val="font6"/>
    <w:basedOn w:val="Normal"/>
    <w:rsid w:val="00CA7D39"/>
    <w:pPr>
      <w:spacing w:before="100" w:beforeAutospacing="1" w:after="100" w:afterAutospacing="1"/>
    </w:pPr>
    <w:rPr>
      <w:rFonts w:eastAsia="Arial Unicode MS"/>
      <w:sz w:val="22"/>
      <w:szCs w:val="22"/>
    </w:rPr>
  </w:style>
  <w:style w:type="paragraph" w:customStyle="1" w:styleId="GAIHeading1">
    <w:name w:val="GAI Heading 1"/>
    <w:next w:val="Reporttext"/>
    <w:rsid w:val="00CA7D39"/>
    <w:pPr>
      <w:keepNext/>
      <w:pageBreakBefore/>
      <w:numPr>
        <w:numId w:val="7"/>
      </w:numPr>
      <w:spacing w:before="240" w:after="120"/>
    </w:pPr>
    <w:rPr>
      <w:rFonts w:ascii="Arial" w:hAnsi="Arial"/>
      <w:b/>
      <w:caps/>
      <w:color w:val="008091"/>
      <w:sz w:val="24"/>
      <w:szCs w:val="24"/>
    </w:rPr>
  </w:style>
  <w:style w:type="paragraph" w:customStyle="1" w:styleId="GAIHeading2">
    <w:name w:val="GAI Heading 2"/>
    <w:next w:val="Reporttext"/>
    <w:rsid w:val="00CA7D39"/>
    <w:pPr>
      <w:keepNext/>
      <w:numPr>
        <w:ilvl w:val="1"/>
        <w:numId w:val="7"/>
      </w:numPr>
      <w:spacing w:before="240" w:after="120"/>
    </w:pPr>
    <w:rPr>
      <w:rFonts w:ascii="Arial" w:hAnsi="Arial"/>
      <w:b/>
      <w:color w:val="008091"/>
      <w:sz w:val="24"/>
      <w:szCs w:val="24"/>
    </w:rPr>
  </w:style>
  <w:style w:type="paragraph" w:customStyle="1" w:styleId="GAIHeading3">
    <w:name w:val="GAI Heading 3"/>
    <w:next w:val="Reporttext"/>
    <w:rsid w:val="00CA7D39"/>
    <w:pPr>
      <w:keepNext/>
      <w:numPr>
        <w:ilvl w:val="2"/>
        <w:numId w:val="7"/>
      </w:numPr>
      <w:spacing w:before="240" w:after="120"/>
    </w:pPr>
    <w:rPr>
      <w:rFonts w:ascii="Arial" w:hAnsi="Arial"/>
      <w:b/>
      <w:i/>
      <w:color w:val="008091"/>
      <w:sz w:val="22"/>
      <w:szCs w:val="24"/>
    </w:rPr>
  </w:style>
  <w:style w:type="paragraph" w:customStyle="1" w:styleId="GAIHeading4">
    <w:name w:val="GAI Heading 4"/>
    <w:next w:val="Reporttext"/>
    <w:rsid w:val="00CA7D39"/>
    <w:pPr>
      <w:keepNext/>
      <w:numPr>
        <w:ilvl w:val="3"/>
        <w:numId w:val="7"/>
      </w:numPr>
      <w:spacing w:before="240" w:after="120"/>
    </w:pPr>
    <w:rPr>
      <w:rFonts w:ascii="Arial" w:hAnsi="Arial"/>
      <w:color w:val="008091"/>
      <w:sz w:val="22"/>
      <w:szCs w:val="24"/>
      <w:u w:val="single" w:color="008091"/>
    </w:rPr>
  </w:style>
  <w:style w:type="paragraph" w:customStyle="1" w:styleId="GAIHeading5">
    <w:name w:val="GAI Heading 5"/>
    <w:next w:val="Reporttext"/>
    <w:rsid w:val="00CA7D39"/>
    <w:pPr>
      <w:keepNext/>
      <w:numPr>
        <w:ilvl w:val="4"/>
        <w:numId w:val="7"/>
      </w:numPr>
      <w:spacing w:before="240" w:after="120"/>
    </w:pPr>
    <w:rPr>
      <w:rFonts w:ascii="Arial" w:hAnsi="Arial"/>
      <w:color w:val="008091"/>
      <w:sz w:val="22"/>
      <w:szCs w:val="24"/>
    </w:rPr>
  </w:style>
  <w:style w:type="paragraph" w:customStyle="1" w:styleId="GAIHeading6">
    <w:name w:val="GAI Heading 6"/>
    <w:next w:val="Reporttext"/>
    <w:rsid w:val="00CA7D39"/>
    <w:pPr>
      <w:keepNext/>
      <w:numPr>
        <w:ilvl w:val="5"/>
        <w:numId w:val="7"/>
      </w:numPr>
      <w:spacing w:before="240" w:after="120"/>
    </w:pPr>
    <w:rPr>
      <w:rFonts w:ascii="Arial" w:hAnsi="Arial"/>
      <w:i/>
      <w:color w:val="008091"/>
      <w:sz w:val="22"/>
      <w:szCs w:val="24"/>
    </w:rPr>
  </w:style>
  <w:style w:type="paragraph" w:customStyle="1" w:styleId="Reporttext">
    <w:name w:val="Report text"/>
    <w:rsid w:val="00CA7D39"/>
    <w:pPr>
      <w:spacing w:after="240" w:line="360" w:lineRule="auto"/>
      <w:jc w:val="both"/>
    </w:pPr>
    <w:rPr>
      <w:rFonts w:ascii="Arial" w:hAnsi="Arial"/>
    </w:rPr>
  </w:style>
  <w:style w:type="paragraph" w:customStyle="1" w:styleId="Pa2">
    <w:name w:val="Pa2"/>
    <w:basedOn w:val="Default"/>
    <w:next w:val="Default"/>
    <w:rsid w:val="00CA7D39"/>
    <w:pPr>
      <w:spacing w:line="241" w:lineRule="atLeast"/>
    </w:pPr>
    <w:rPr>
      <w:rFonts w:ascii="Arial" w:eastAsia="MS Mincho" w:hAnsi="Arial"/>
      <w:color w:val="auto"/>
      <w:lang w:eastAsia="ja-JP"/>
    </w:rPr>
  </w:style>
  <w:style w:type="paragraph" w:customStyle="1" w:styleId="Pa3">
    <w:name w:val="Pa3"/>
    <w:basedOn w:val="Default"/>
    <w:next w:val="Default"/>
    <w:rsid w:val="00CA7D39"/>
    <w:pPr>
      <w:spacing w:line="201" w:lineRule="atLeast"/>
    </w:pPr>
    <w:rPr>
      <w:rFonts w:ascii="Arial" w:eastAsia="MS Mincho" w:hAnsi="Arial"/>
      <w:color w:val="auto"/>
      <w:lang w:eastAsia="ja-JP"/>
    </w:rPr>
  </w:style>
  <w:style w:type="paragraph" w:customStyle="1" w:styleId="Footer1">
    <w:name w:val="Footer1"/>
    <w:basedOn w:val="Normal"/>
    <w:rsid w:val="00CA7D39"/>
    <w:pPr>
      <w:spacing w:before="100" w:beforeAutospacing="1" w:after="100" w:afterAutospacing="1"/>
      <w:jc w:val="center"/>
    </w:pPr>
    <w:rPr>
      <w:rFonts w:ascii="Arial" w:eastAsia="MS Mincho" w:hAnsi="Arial" w:cs="Arial"/>
      <w:sz w:val="12"/>
      <w:szCs w:val="12"/>
      <w:lang w:eastAsia="ja-JP"/>
    </w:rPr>
  </w:style>
  <w:style w:type="character" w:customStyle="1" w:styleId="updatebodytest1">
    <w:name w:val="updatebodytest1"/>
    <w:basedOn w:val="DefaultParagraphFont"/>
    <w:rsid w:val="00CA7D39"/>
    <w:rPr>
      <w:rFonts w:ascii="Arial" w:hAnsi="Arial" w:cs="Arial" w:hint="default"/>
      <w:b w:val="0"/>
      <w:bCs w:val="0"/>
      <w:i w:val="0"/>
      <w:iCs w:val="0"/>
      <w:smallCaps w:val="0"/>
      <w:sz w:val="14"/>
      <w:szCs w:val="14"/>
    </w:rPr>
  </w:style>
  <w:style w:type="paragraph" w:customStyle="1" w:styleId="tabledescription">
    <w:name w:val="table_description"/>
    <w:basedOn w:val="Normal"/>
    <w:rsid w:val="00CA7D39"/>
    <w:pPr>
      <w:spacing w:before="100" w:beforeAutospacing="1" w:after="100" w:afterAutospacing="1"/>
      <w:jc w:val="center"/>
    </w:pPr>
    <w:rPr>
      <w:rFonts w:eastAsia="MS Mincho"/>
      <w:sz w:val="24"/>
      <w:szCs w:val="24"/>
      <w:lang w:eastAsia="ja-JP"/>
    </w:rPr>
  </w:style>
  <w:style w:type="character" w:customStyle="1" w:styleId="BodyText3Char">
    <w:name w:val="Body Text 3 Char"/>
    <w:basedOn w:val="DefaultParagraphFont"/>
    <w:link w:val="BodyText3"/>
    <w:rsid w:val="00CA7D39"/>
    <w:rPr>
      <w:sz w:val="22"/>
    </w:rPr>
  </w:style>
  <w:style w:type="character" w:customStyle="1" w:styleId="TitleChar">
    <w:name w:val="Title Char"/>
    <w:basedOn w:val="DefaultParagraphFont"/>
    <w:link w:val="Title"/>
    <w:rsid w:val="004E32B8"/>
    <w:rPr>
      <w:b/>
      <w:sz w:val="24"/>
    </w:rPr>
  </w:style>
  <w:style w:type="character" w:customStyle="1" w:styleId="a1">
    <w:name w:val="a1"/>
    <w:basedOn w:val="DefaultParagraphFont"/>
    <w:rsid w:val="00475D3C"/>
    <w:rPr>
      <w:bdr w:val="none" w:sz="0" w:space="0" w:color="auto" w:frame="1"/>
    </w:rPr>
  </w:style>
  <w:style w:type="character" w:customStyle="1" w:styleId="l15">
    <w:name w:val="l15"/>
    <w:basedOn w:val="DefaultParagraphFont"/>
    <w:rsid w:val="00475D3C"/>
    <w:rPr>
      <w:vanish w:val="0"/>
      <w:webHidden w:val="0"/>
      <w:bdr w:val="none" w:sz="0" w:space="0" w:color="auto" w:frame="1"/>
      <w:specVanish w:val="0"/>
    </w:rPr>
  </w:style>
  <w:style w:type="character" w:customStyle="1" w:styleId="l122">
    <w:name w:val="l122"/>
    <w:basedOn w:val="DefaultParagraphFont"/>
    <w:rsid w:val="00475D3C"/>
    <w:rPr>
      <w:vanish w:val="0"/>
      <w:webHidden w:val="0"/>
      <w:bdr w:val="none" w:sz="0" w:space="0" w:color="auto" w:frame="1"/>
      <w:specVanish w:val="0"/>
    </w:rPr>
  </w:style>
  <w:style w:type="character" w:styleId="FootnoteReference">
    <w:name w:val="footnote reference"/>
    <w:basedOn w:val="DefaultParagraphFont"/>
    <w:rsid w:val="00411EBF"/>
    <w:rPr>
      <w:vertAlign w:val="superscript"/>
    </w:rPr>
  </w:style>
  <w:style w:type="character" w:customStyle="1" w:styleId="BodyTextIndent2Char">
    <w:name w:val="Body Text Indent 2 Char"/>
    <w:basedOn w:val="DefaultParagraphFont"/>
    <w:link w:val="BodyTextIndent2"/>
    <w:rsid w:val="0011369F"/>
    <w:rPr>
      <w:sz w:val="24"/>
    </w:rPr>
  </w:style>
  <w:style w:type="character" w:styleId="PlaceholderText">
    <w:name w:val="Placeholder Text"/>
    <w:basedOn w:val="DefaultParagraphFont"/>
    <w:uiPriority w:val="99"/>
    <w:semiHidden/>
    <w:rsid w:val="006822F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903191">
      <w:bodyDiv w:val="1"/>
      <w:marLeft w:val="0"/>
      <w:marRight w:val="0"/>
      <w:marTop w:val="0"/>
      <w:marBottom w:val="0"/>
      <w:divBdr>
        <w:top w:val="none" w:sz="0" w:space="0" w:color="auto"/>
        <w:left w:val="none" w:sz="0" w:space="0" w:color="auto"/>
        <w:bottom w:val="none" w:sz="0" w:space="0" w:color="auto"/>
        <w:right w:val="none" w:sz="0" w:space="0" w:color="auto"/>
      </w:divBdr>
    </w:div>
    <w:div w:id="197082571">
      <w:bodyDiv w:val="1"/>
      <w:marLeft w:val="0"/>
      <w:marRight w:val="0"/>
      <w:marTop w:val="0"/>
      <w:marBottom w:val="0"/>
      <w:divBdr>
        <w:top w:val="none" w:sz="0" w:space="0" w:color="auto"/>
        <w:left w:val="none" w:sz="0" w:space="0" w:color="auto"/>
        <w:bottom w:val="none" w:sz="0" w:space="0" w:color="auto"/>
        <w:right w:val="none" w:sz="0" w:space="0" w:color="auto"/>
      </w:divBdr>
    </w:div>
    <w:div w:id="205531225">
      <w:bodyDiv w:val="1"/>
      <w:marLeft w:val="0"/>
      <w:marRight w:val="0"/>
      <w:marTop w:val="0"/>
      <w:marBottom w:val="0"/>
      <w:divBdr>
        <w:top w:val="none" w:sz="0" w:space="0" w:color="auto"/>
        <w:left w:val="none" w:sz="0" w:space="0" w:color="auto"/>
        <w:bottom w:val="none" w:sz="0" w:space="0" w:color="auto"/>
        <w:right w:val="none" w:sz="0" w:space="0" w:color="auto"/>
      </w:divBdr>
      <w:divsChild>
        <w:div w:id="784737102">
          <w:marLeft w:val="0"/>
          <w:marRight w:val="0"/>
          <w:marTop w:val="0"/>
          <w:marBottom w:val="0"/>
          <w:divBdr>
            <w:top w:val="none" w:sz="0" w:space="0" w:color="auto"/>
            <w:left w:val="none" w:sz="0" w:space="0" w:color="auto"/>
            <w:bottom w:val="none" w:sz="0" w:space="0" w:color="auto"/>
            <w:right w:val="none" w:sz="0" w:space="0" w:color="auto"/>
          </w:divBdr>
          <w:divsChild>
            <w:div w:id="664865250">
              <w:marLeft w:val="0"/>
              <w:marRight w:val="0"/>
              <w:marTop w:val="0"/>
              <w:marBottom w:val="0"/>
              <w:divBdr>
                <w:top w:val="none" w:sz="0" w:space="0" w:color="auto"/>
                <w:left w:val="none" w:sz="0" w:space="0" w:color="auto"/>
                <w:bottom w:val="none" w:sz="0" w:space="0" w:color="auto"/>
                <w:right w:val="none" w:sz="0" w:space="0" w:color="auto"/>
              </w:divBdr>
              <w:divsChild>
                <w:div w:id="1509372552">
                  <w:marLeft w:val="0"/>
                  <w:marRight w:val="0"/>
                  <w:marTop w:val="0"/>
                  <w:marBottom w:val="0"/>
                  <w:divBdr>
                    <w:top w:val="none" w:sz="0" w:space="0" w:color="auto"/>
                    <w:left w:val="none" w:sz="0" w:space="0" w:color="auto"/>
                    <w:bottom w:val="none" w:sz="0" w:space="0" w:color="auto"/>
                    <w:right w:val="none" w:sz="0" w:space="0" w:color="auto"/>
                  </w:divBdr>
                  <w:divsChild>
                    <w:div w:id="938367498">
                      <w:marLeft w:val="0"/>
                      <w:marRight w:val="0"/>
                      <w:marTop w:val="0"/>
                      <w:marBottom w:val="0"/>
                      <w:divBdr>
                        <w:top w:val="none" w:sz="0" w:space="0" w:color="auto"/>
                        <w:left w:val="none" w:sz="0" w:space="0" w:color="auto"/>
                        <w:bottom w:val="none" w:sz="0" w:space="0" w:color="auto"/>
                        <w:right w:val="none" w:sz="0" w:space="0" w:color="auto"/>
                      </w:divBdr>
                      <w:divsChild>
                        <w:div w:id="386883162">
                          <w:marLeft w:val="0"/>
                          <w:marRight w:val="0"/>
                          <w:marTop w:val="0"/>
                          <w:marBottom w:val="0"/>
                          <w:divBdr>
                            <w:top w:val="none" w:sz="0" w:space="0" w:color="auto"/>
                            <w:left w:val="none" w:sz="0" w:space="0" w:color="auto"/>
                            <w:bottom w:val="none" w:sz="0" w:space="0" w:color="auto"/>
                            <w:right w:val="none" w:sz="0" w:space="0" w:color="auto"/>
                          </w:divBdr>
                          <w:divsChild>
                            <w:div w:id="866872165">
                              <w:marLeft w:val="0"/>
                              <w:marRight w:val="0"/>
                              <w:marTop w:val="0"/>
                              <w:marBottom w:val="0"/>
                              <w:divBdr>
                                <w:top w:val="none" w:sz="0" w:space="0" w:color="auto"/>
                                <w:left w:val="none" w:sz="0" w:space="0" w:color="auto"/>
                                <w:bottom w:val="none" w:sz="0" w:space="0" w:color="auto"/>
                                <w:right w:val="none" w:sz="0" w:space="0" w:color="auto"/>
                              </w:divBdr>
                              <w:divsChild>
                                <w:div w:id="1796488478">
                                  <w:marLeft w:val="0"/>
                                  <w:marRight w:val="0"/>
                                  <w:marTop w:val="0"/>
                                  <w:marBottom w:val="0"/>
                                  <w:divBdr>
                                    <w:top w:val="none" w:sz="0" w:space="0" w:color="auto"/>
                                    <w:left w:val="none" w:sz="0" w:space="0" w:color="auto"/>
                                    <w:bottom w:val="none" w:sz="0" w:space="0" w:color="auto"/>
                                    <w:right w:val="none" w:sz="0" w:space="0" w:color="auto"/>
                                  </w:divBdr>
                                  <w:divsChild>
                                    <w:div w:id="2129933869">
                                      <w:marLeft w:val="0"/>
                                      <w:marRight w:val="0"/>
                                      <w:marTop w:val="0"/>
                                      <w:marBottom w:val="0"/>
                                      <w:divBdr>
                                        <w:top w:val="none" w:sz="0" w:space="0" w:color="auto"/>
                                        <w:left w:val="none" w:sz="0" w:space="0" w:color="auto"/>
                                        <w:bottom w:val="none" w:sz="0" w:space="0" w:color="auto"/>
                                        <w:right w:val="none" w:sz="0" w:space="0" w:color="auto"/>
                                      </w:divBdr>
                                      <w:divsChild>
                                        <w:div w:id="89544226">
                                          <w:marLeft w:val="0"/>
                                          <w:marRight w:val="0"/>
                                          <w:marTop w:val="0"/>
                                          <w:marBottom w:val="0"/>
                                          <w:divBdr>
                                            <w:top w:val="none" w:sz="0" w:space="0" w:color="auto"/>
                                            <w:left w:val="none" w:sz="0" w:space="0" w:color="auto"/>
                                            <w:bottom w:val="none" w:sz="0" w:space="0" w:color="auto"/>
                                            <w:right w:val="none" w:sz="0" w:space="0" w:color="auto"/>
                                          </w:divBdr>
                                          <w:divsChild>
                                            <w:div w:id="689113162">
                                              <w:marLeft w:val="100"/>
                                              <w:marRight w:val="100"/>
                                              <w:marTop w:val="100"/>
                                              <w:marBottom w:val="200"/>
                                              <w:divBdr>
                                                <w:top w:val="none" w:sz="0" w:space="0" w:color="auto"/>
                                                <w:left w:val="none" w:sz="0" w:space="0" w:color="auto"/>
                                                <w:bottom w:val="none" w:sz="0" w:space="0" w:color="auto"/>
                                                <w:right w:val="none" w:sz="0" w:space="0" w:color="auto"/>
                                              </w:divBdr>
                                              <w:divsChild>
                                                <w:div w:id="1669212818">
                                                  <w:marLeft w:val="0"/>
                                                  <w:marRight w:val="0"/>
                                                  <w:marTop w:val="0"/>
                                                  <w:marBottom w:val="0"/>
                                                  <w:divBdr>
                                                    <w:top w:val="none" w:sz="0" w:space="0" w:color="auto"/>
                                                    <w:left w:val="none" w:sz="0" w:space="0" w:color="auto"/>
                                                    <w:bottom w:val="none" w:sz="0" w:space="0" w:color="auto"/>
                                                    <w:right w:val="none" w:sz="0" w:space="0" w:color="auto"/>
                                                  </w:divBdr>
                                                  <w:divsChild>
                                                    <w:div w:id="1606577756">
                                                      <w:marLeft w:val="0"/>
                                                      <w:marRight w:val="0"/>
                                                      <w:marTop w:val="0"/>
                                                      <w:marBottom w:val="0"/>
                                                      <w:divBdr>
                                                        <w:top w:val="none" w:sz="0" w:space="0" w:color="auto"/>
                                                        <w:left w:val="none" w:sz="0" w:space="0" w:color="auto"/>
                                                        <w:bottom w:val="none" w:sz="0" w:space="0" w:color="auto"/>
                                                        <w:right w:val="none" w:sz="0" w:space="0" w:color="auto"/>
                                                      </w:divBdr>
                                                      <w:divsChild>
                                                        <w:div w:id="1643539749">
                                                          <w:marLeft w:val="0"/>
                                                          <w:marRight w:val="0"/>
                                                          <w:marTop w:val="0"/>
                                                          <w:marBottom w:val="0"/>
                                                          <w:divBdr>
                                                            <w:top w:val="none" w:sz="0" w:space="0" w:color="auto"/>
                                                            <w:left w:val="none" w:sz="0" w:space="0" w:color="auto"/>
                                                            <w:bottom w:val="none" w:sz="0" w:space="0" w:color="auto"/>
                                                            <w:right w:val="none" w:sz="0" w:space="0" w:color="auto"/>
                                                          </w:divBdr>
                                                          <w:divsChild>
                                                            <w:div w:id="141387849">
                                                              <w:marLeft w:val="0"/>
                                                              <w:marRight w:val="0"/>
                                                              <w:marTop w:val="0"/>
                                                              <w:marBottom w:val="0"/>
                                                              <w:divBdr>
                                                                <w:top w:val="none" w:sz="0" w:space="0" w:color="auto"/>
                                                                <w:left w:val="none" w:sz="0" w:space="0" w:color="auto"/>
                                                                <w:bottom w:val="none" w:sz="0" w:space="0" w:color="auto"/>
                                                                <w:right w:val="none" w:sz="0" w:space="0" w:color="auto"/>
                                                              </w:divBdr>
                                                            </w:div>
                                                            <w:div w:id="483354714">
                                                              <w:marLeft w:val="0"/>
                                                              <w:marRight w:val="0"/>
                                                              <w:marTop w:val="0"/>
                                                              <w:marBottom w:val="0"/>
                                                              <w:divBdr>
                                                                <w:top w:val="none" w:sz="0" w:space="0" w:color="auto"/>
                                                                <w:left w:val="none" w:sz="0" w:space="0" w:color="auto"/>
                                                                <w:bottom w:val="none" w:sz="0" w:space="0" w:color="auto"/>
                                                                <w:right w:val="none" w:sz="0" w:space="0" w:color="auto"/>
                                                              </w:divBdr>
                                                            </w:div>
                                                            <w:div w:id="644775413">
                                                              <w:marLeft w:val="0"/>
                                                              <w:marRight w:val="0"/>
                                                              <w:marTop w:val="0"/>
                                                              <w:marBottom w:val="0"/>
                                                              <w:divBdr>
                                                                <w:top w:val="none" w:sz="0" w:space="0" w:color="auto"/>
                                                                <w:left w:val="none" w:sz="0" w:space="0" w:color="auto"/>
                                                                <w:bottom w:val="none" w:sz="0" w:space="0" w:color="auto"/>
                                                                <w:right w:val="none" w:sz="0" w:space="0" w:color="auto"/>
                                                              </w:divBdr>
                                                            </w:div>
                                                            <w:div w:id="1169321453">
                                                              <w:marLeft w:val="0"/>
                                                              <w:marRight w:val="0"/>
                                                              <w:marTop w:val="0"/>
                                                              <w:marBottom w:val="0"/>
                                                              <w:divBdr>
                                                                <w:top w:val="none" w:sz="0" w:space="0" w:color="auto"/>
                                                                <w:left w:val="none" w:sz="0" w:space="0" w:color="auto"/>
                                                                <w:bottom w:val="none" w:sz="0" w:space="0" w:color="auto"/>
                                                                <w:right w:val="none" w:sz="0" w:space="0" w:color="auto"/>
                                                              </w:divBdr>
                                                            </w:div>
                                                            <w:div w:id="1455251150">
                                                              <w:marLeft w:val="0"/>
                                                              <w:marRight w:val="0"/>
                                                              <w:marTop w:val="0"/>
                                                              <w:marBottom w:val="0"/>
                                                              <w:divBdr>
                                                                <w:top w:val="none" w:sz="0" w:space="0" w:color="auto"/>
                                                                <w:left w:val="none" w:sz="0" w:space="0" w:color="auto"/>
                                                                <w:bottom w:val="none" w:sz="0" w:space="0" w:color="auto"/>
                                                                <w:right w:val="none" w:sz="0" w:space="0" w:color="auto"/>
                                                              </w:divBdr>
                                                            </w:div>
                                                            <w:div w:id="1859851887">
                                                              <w:marLeft w:val="0"/>
                                                              <w:marRight w:val="0"/>
                                                              <w:marTop w:val="0"/>
                                                              <w:marBottom w:val="0"/>
                                                              <w:divBdr>
                                                                <w:top w:val="none" w:sz="0" w:space="0" w:color="auto"/>
                                                                <w:left w:val="none" w:sz="0" w:space="0" w:color="auto"/>
                                                                <w:bottom w:val="none" w:sz="0" w:space="0" w:color="auto"/>
                                                                <w:right w:val="none" w:sz="0" w:space="0" w:color="auto"/>
                                                              </w:divBdr>
                                                            </w:div>
                                                            <w:div w:id="1945115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327173615">
      <w:bodyDiv w:val="1"/>
      <w:marLeft w:val="0"/>
      <w:marRight w:val="0"/>
      <w:marTop w:val="0"/>
      <w:marBottom w:val="0"/>
      <w:divBdr>
        <w:top w:val="none" w:sz="0" w:space="0" w:color="auto"/>
        <w:left w:val="none" w:sz="0" w:space="0" w:color="auto"/>
        <w:bottom w:val="none" w:sz="0" w:space="0" w:color="auto"/>
        <w:right w:val="none" w:sz="0" w:space="0" w:color="auto"/>
      </w:divBdr>
      <w:divsChild>
        <w:div w:id="559942544">
          <w:marLeft w:val="0"/>
          <w:marRight w:val="0"/>
          <w:marTop w:val="0"/>
          <w:marBottom w:val="0"/>
          <w:divBdr>
            <w:top w:val="none" w:sz="0" w:space="0" w:color="auto"/>
            <w:left w:val="none" w:sz="0" w:space="0" w:color="auto"/>
            <w:bottom w:val="none" w:sz="0" w:space="0" w:color="auto"/>
            <w:right w:val="none" w:sz="0" w:space="0" w:color="auto"/>
          </w:divBdr>
          <w:divsChild>
            <w:div w:id="1522669170">
              <w:marLeft w:val="0"/>
              <w:marRight w:val="0"/>
              <w:marTop w:val="0"/>
              <w:marBottom w:val="0"/>
              <w:divBdr>
                <w:top w:val="none" w:sz="0" w:space="0" w:color="auto"/>
                <w:left w:val="none" w:sz="0" w:space="0" w:color="auto"/>
                <w:bottom w:val="none" w:sz="0" w:space="0" w:color="auto"/>
                <w:right w:val="none" w:sz="0" w:space="0" w:color="auto"/>
              </w:divBdr>
              <w:divsChild>
                <w:div w:id="77425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7599364">
      <w:bodyDiv w:val="1"/>
      <w:marLeft w:val="0"/>
      <w:marRight w:val="0"/>
      <w:marTop w:val="0"/>
      <w:marBottom w:val="0"/>
      <w:divBdr>
        <w:top w:val="none" w:sz="0" w:space="0" w:color="auto"/>
        <w:left w:val="none" w:sz="0" w:space="0" w:color="auto"/>
        <w:bottom w:val="none" w:sz="0" w:space="0" w:color="auto"/>
        <w:right w:val="none" w:sz="0" w:space="0" w:color="auto"/>
      </w:divBdr>
      <w:divsChild>
        <w:div w:id="260189395">
          <w:marLeft w:val="0"/>
          <w:marRight w:val="0"/>
          <w:marTop w:val="0"/>
          <w:marBottom w:val="0"/>
          <w:divBdr>
            <w:top w:val="none" w:sz="0" w:space="0" w:color="auto"/>
            <w:left w:val="none" w:sz="0" w:space="0" w:color="auto"/>
            <w:bottom w:val="none" w:sz="0" w:space="0" w:color="auto"/>
            <w:right w:val="none" w:sz="0" w:space="0" w:color="auto"/>
          </w:divBdr>
          <w:divsChild>
            <w:div w:id="258485945">
              <w:marLeft w:val="0"/>
              <w:marRight w:val="0"/>
              <w:marTop w:val="0"/>
              <w:marBottom w:val="0"/>
              <w:divBdr>
                <w:top w:val="none" w:sz="0" w:space="0" w:color="auto"/>
                <w:left w:val="none" w:sz="0" w:space="0" w:color="auto"/>
                <w:bottom w:val="none" w:sz="0" w:space="0" w:color="auto"/>
                <w:right w:val="none" w:sz="0" w:space="0" w:color="auto"/>
              </w:divBdr>
              <w:divsChild>
                <w:div w:id="1804276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9604875">
      <w:bodyDiv w:val="1"/>
      <w:marLeft w:val="0"/>
      <w:marRight w:val="0"/>
      <w:marTop w:val="0"/>
      <w:marBottom w:val="0"/>
      <w:divBdr>
        <w:top w:val="none" w:sz="0" w:space="0" w:color="auto"/>
        <w:left w:val="none" w:sz="0" w:space="0" w:color="auto"/>
        <w:bottom w:val="none" w:sz="0" w:space="0" w:color="auto"/>
        <w:right w:val="none" w:sz="0" w:space="0" w:color="auto"/>
      </w:divBdr>
      <w:divsChild>
        <w:div w:id="1488210200">
          <w:marLeft w:val="0"/>
          <w:marRight w:val="0"/>
          <w:marTop w:val="0"/>
          <w:marBottom w:val="0"/>
          <w:divBdr>
            <w:top w:val="none" w:sz="0" w:space="0" w:color="auto"/>
            <w:left w:val="none" w:sz="0" w:space="0" w:color="auto"/>
            <w:bottom w:val="none" w:sz="0" w:space="0" w:color="auto"/>
            <w:right w:val="none" w:sz="0" w:space="0" w:color="auto"/>
          </w:divBdr>
          <w:divsChild>
            <w:div w:id="1612934534">
              <w:marLeft w:val="0"/>
              <w:marRight w:val="0"/>
              <w:marTop w:val="0"/>
              <w:marBottom w:val="0"/>
              <w:divBdr>
                <w:top w:val="single" w:sz="8" w:space="0" w:color="000000"/>
                <w:left w:val="single" w:sz="8" w:space="0" w:color="000000"/>
                <w:bottom w:val="single" w:sz="8" w:space="0" w:color="000000"/>
                <w:right w:val="single" w:sz="8" w:space="0" w:color="000000"/>
              </w:divBdr>
            </w:div>
          </w:divsChild>
        </w:div>
      </w:divsChild>
    </w:div>
    <w:div w:id="1358701225">
      <w:bodyDiv w:val="1"/>
      <w:marLeft w:val="0"/>
      <w:marRight w:val="0"/>
      <w:marTop w:val="0"/>
      <w:marBottom w:val="0"/>
      <w:divBdr>
        <w:top w:val="none" w:sz="0" w:space="0" w:color="auto"/>
        <w:left w:val="none" w:sz="0" w:space="0" w:color="auto"/>
        <w:bottom w:val="none" w:sz="0" w:space="0" w:color="auto"/>
        <w:right w:val="none" w:sz="0" w:space="0" w:color="auto"/>
      </w:divBdr>
      <w:divsChild>
        <w:div w:id="1816679148">
          <w:marLeft w:val="0"/>
          <w:marRight w:val="0"/>
          <w:marTop w:val="0"/>
          <w:marBottom w:val="0"/>
          <w:divBdr>
            <w:top w:val="none" w:sz="0" w:space="0" w:color="auto"/>
            <w:left w:val="none" w:sz="0" w:space="0" w:color="auto"/>
            <w:bottom w:val="none" w:sz="0" w:space="0" w:color="auto"/>
            <w:right w:val="none" w:sz="0" w:space="0" w:color="auto"/>
          </w:divBdr>
          <w:divsChild>
            <w:div w:id="92869669">
              <w:marLeft w:val="0"/>
              <w:marRight w:val="0"/>
              <w:marTop w:val="0"/>
              <w:marBottom w:val="0"/>
              <w:divBdr>
                <w:top w:val="none" w:sz="0" w:space="0" w:color="auto"/>
                <w:left w:val="none" w:sz="0" w:space="0" w:color="auto"/>
                <w:bottom w:val="none" w:sz="0" w:space="0" w:color="auto"/>
                <w:right w:val="none" w:sz="0" w:space="0" w:color="auto"/>
              </w:divBdr>
              <w:divsChild>
                <w:div w:id="70228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8279420">
      <w:bodyDiv w:val="1"/>
      <w:marLeft w:val="0"/>
      <w:marRight w:val="0"/>
      <w:marTop w:val="0"/>
      <w:marBottom w:val="0"/>
      <w:divBdr>
        <w:top w:val="none" w:sz="0" w:space="0" w:color="auto"/>
        <w:left w:val="none" w:sz="0" w:space="0" w:color="auto"/>
        <w:bottom w:val="none" w:sz="0" w:space="0" w:color="auto"/>
        <w:right w:val="none" w:sz="0" w:space="0" w:color="auto"/>
      </w:divBdr>
      <w:divsChild>
        <w:div w:id="1686130639">
          <w:marLeft w:val="0"/>
          <w:marRight w:val="0"/>
          <w:marTop w:val="0"/>
          <w:marBottom w:val="0"/>
          <w:divBdr>
            <w:top w:val="none" w:sz="0" w:space="0" w:color="auto"/>
            <w:left w:val="none" w:sz="0" w:space="0" w:color="auto"/>
            <w:bottom w:val="none" w:sz="0" w:space="0" w:color="auto"/>
            <w:right w:val="none" w:sz="0" w:space="0" w:color="auto"/>
          </w:divBdr>
          <w:divsChild>
            <w:div w:id="666595085">
              <w:marLeft w:val="0"/>
              <w:marRight w:val="0"/>
              <w:marTop w:val="0"/>
              <w:marBottom w:val="0"/>
              <w:divBdr>
                <w:top w:val="none" w:sz="0" w:space="0" w:color="auto"/>
                <w:left w:val="none" w:sz="0" w:space="0" w:color="auto"/>
                <w:bottom w:val="none" w:sz="0" w:space="0" w:color="auto"/>
                <w:right w:val="none" w:sz="0" w:space="0" w:color="auto"/>
              </w:divBdr>
              <w:divsChild>
                <w:div w:id="1051340521">
                  <w:marLeft w:val="0"/>
                  <w:marRight w:val="0"/>
                  <w:marTop w:val="0"/>
                  <w:marBottom w:val="0"/>
                  <w:divBdr>
                    <w:top w:val="none" w:sz="0" w:space="0" w:color="auto"/>
                    <w:left w:val="none" w:sz="0" w:space="0" w:color="auto"/>
                    <w:bottom w:val="none" w:sz="0" w:space="0" w:color="auto"/>
                    <w:right w:val="none" w:sz="0" w:space="0" w:color="auto"/>
                  </w:divBdr>
                  <w:divsChild>
                    <w:div w:id="668557480">
                      <w:marLeft w:val="0"/>
                      <w:marRight w:val="0"/>
                      <w:marTop w:val="0"/>
                      <w:marBottom w:val="0"/>
                      <w:divBdr>
                        <w:top w:val="none" w:sz="0" w:space="0" w:color="auto"/>
                        <w:left w:val="none" w:sz="0" w:space="0" w:color="auto"/>
                        <w:bottom w:val="none" w:sz="0" w:space="0" w:color="auto"/>
                        <w:right w:val="none" w:sz="0" w:space="0" w:color="auto"/>
                      </w:divBdr>
                      <w:divsChild>
                        <w:div w:id="1921870243">
                          <w:marLeft w:val="0"/>
                          <w:marRight w:val="0"/>
                          <w:marTop w:val="0"/>
                          <w:marBottom w:val="0"/>
                          <w:divBdr>
                            <w:top w:val="none" w:sz="0" w:space="0" w:color="auto"/>
                            <w:left w:val="none" w:sz="0" w:space="0" w:color="auto"/>
                            <w:bottom w:val="none" w:sz="0" w:space="0" w:color="auto"/>
                            <w:right w:val="none" w:sz="0" w:space="0" w:color="auto"/>
                          </w:divBdr>
                          <w:divsChild>
                            <w:div w:id="1280990925">
                              <w:marLeft w:val="0"/>
                              <w:marRight w:val="0"/>
                              <w:marTop w:val="0"/>
                              <w:marBottom w:val="0"/>
                              <w:divBdr>
                                <w:top w:val="none" w:sz="0" w:space="0" w:color="auto"/>
                                <w:left w:val="none" w:sz="0" w:space="0" w:color="auto"/>
                                <w:bottom w:val="none" w:sz="0" w:space="0" w:color="auto"/>
                                <w:right w:val="none" w:sz="0" w:space="0" w:color="auto"/>
                              </w:divBdr>
                              <w:divsChild>
                                <w:div w:id="1083725011">
                                  <w:marLeft w:val="0"/>
                                  <w:marRight w:val="0"/>
                                  <w:marTop w:val="0"/>
                                  <w:marBottom w:val="0"/>
                                  <w:divBdr>
                                    <w:top w:val="none" w:sz="0" w:space="0" w:color="auto"/>
                                    <w:left w:val="none" w:sz="0" w:space="0" w:color="auto"/>
                                    <w:bottom w:val="none" w:sz="0" w:space="0" w:color="auto"/>
                                    <w:right w:val="none" w:sz="0" w:space="0" w:color="auto"/>
                                  </w:divBdr>
                                  <w:divsChild>
                                    <w:div w:id="538593437">
                                      <w:marLeft w:val="0"/>
                                      <w:marRight w:val="0"/>
                                      <w:marTop w:val="0"/>
                                      <w:marBottom w:val="0"/>
                                      <w:divBdr>
                                        <w:top w:val="none" w:sz="0" w:space="0" w:color="auto"/>
                                        <w:left w:val="none" w:sz="0" w:space="0" w:color="auto"/>
                                        <w:bottom w:val="none" w:sz="0" w:space="0" w:color="auto"/>
                                        <w:right w:val="none" w:sz="0" w:space="0" w:color="auto"/>
                                      </w:divBdr>
                                      <w:divsChild>
                                        <w:div w:id="1057777252">
                                          <w:marLeft w:val="0"/>
                                          <w:marRight w:val="0"/>
                                          <w:marTop w:val="0"/>
                                          <w:marBottom w:val="0"/>
                                          <w:divBdr>
                                            <w:top w:val="none" w:sz="0" w:space="0" w:color="auto"/>
                                            <w:left w:val="none" w:sz="0" w:space="0" w:color="auto"/>
                                            <w:bottom w:val="none" w:sz="0" w:space="0" w:color="auto"/>
                                            <w:right w:val="none" w:sz="0" w:space="0" w:color="auto"/>
                                          </w:divBdr>
                                          <w:divsChild>
                                            <w:div w:id="1245795475">
                                              <w:marLeft w:val="100"/>
                                              <w:marRight w:val="100"/>
                                              <w:marTop w:val="100"/>
                                              <w:marBottom w:val="200"/>
                                              <w:divBdr>
                                                <w:top w:val="none" w:sz="0" w:space="0" w:color="auto"/>
                                                <w:left w:val="none" w:sz="0" w:space="0" w:color="auto"/>
                                                <w:bottom w:val="none" w:sz="0" w:space="0" w:color="auto"/>
                                                <w:right w:val="none" w:sz="0" w:space="0" w:color="auto"/>
                                              </w:divBdr>
                                              <w:divsChild>
                                                <w:div w:id="45841122">
                                                  <w:marLeft w:val="0"/>
                                                  <w:marRight w:val="0"/>
                                                  <w:marTop w:val="0"/>
                                                  <w:marBottom w:val="0"/>
                                                  <w:divBdr>
                                                    <w:top w:val="none" w:sz="0" w:space="0" w:color="auto"/>
                                                    <w:left w:val="none" w:sz="0" w:space="0" w:color="auto"/>
                                                    <w:bottom w:val="none" w:sz="0" w:space="0" w:color="auto"/>
                                                    <w:right w:val="none" w:sz="0" w:space="0" w:color="auto"/>
                                                  </w:divBdr>
                                                  <w:divsChild>
                                                    <w:div w:id="63142837">
                                                      <w:marLeft w:val="0"/>
                                                      <w:marRight w:val="0"/>
                                                      <w:marTop w:val="0"/>
                                                      <w:marBottom w:val="0"/>
                                                      <w:divBdr>
                                                        <w:top w:val="none" w:sz="0" w:space="0" w:color="auto"/>
                                                        <w:left w:val="none" w:sz="0" w:space="0" w:color="auto"/>
                                                        <w:bottom w:val="none" w:sz="0" w:space="0" w:color="auto"/>
                                                        <w:right w:val="none" w:sz="0" w:space="0" w:color="auto"/>
                                                      </w:divBdr>
                                                      <w:divsChild>
                                                        <w:div w:id="1586499168">
                                                          <w:marLeft w:val="0"/>
                                                          <w:marRight w:val="0"/>
                                                          <w:marTop w:val="0"/>
                                                          <w:marBottom w:val="0"/>
                                                          <w:divBdr>
                                                            <w:top w:val="none" w:sz="0" w:space="0" w:color="auto"/>
                                                            <w:left w:val="none" w:sz="0" w:space="0" w:color="auto"/>
                                                            <w:bottom w:val="none" w:sz="0" w:space="0" w:color="auto"/>
                                                            <w:right w:val="none" w:sz="0" w:space="0" w:color="auto"/>
                                                          </w:divBdr>
                                                        </w:div>
                                                      </w:divsChild>
                                                    </w:div>
                                                    <w:div w:id="492993187">
                                                      <w:marLeft w:val="0"/>
                                                      <w:marRight w:val="0"/>
                                                      <w:marTop w:val="0"/>
                                                      <w:marBottom w:val="0"/>
                                                      <w:divBdr>
                                                        <w:top w:val="none" w:sz="0" w:space="0" w:color="auto"/>
                                                        <w:left w:val="none" w:sz="0" w:space="0" w:color="auto"/>
                                                        <w:bottom w:val="none" w:sz="0" w:space="0" w:color="auto"/>
                                                        <w:right w:val="none" w:sz="0" w:space="0" w:color="auto"/>
                                                      </w:divBdr>
                                                      <w:divsChild>
                                                        <w:div w:id="1787768793">
                                                          <w:marLeft w:val="0"/>
                                                          <w:marRight w:val="0"/>
                                                          <w:marTop w:val="0"/>
                                                          <w:marBottom w:val="0"/>
                                                          <w:divBdr>
                                                            <w:top w:val="none" w:sz="0" w:space="0" w:color="auto"/>
                                                            <w:left w:val="none" w:sz="0" w:space="0" w:color="auto"/>
                                                            <w:bottom w:val="none" w:sz="0" w:space="0" w:color="auto"/>
                                                            <w:right w:val="none" w:sz="0" w:space="0" w:color="auto"/>
                                                          </w:divBdr>
                                                          <w:divsChild>
                                                            <w:div w:id="104154867">
                                                              <w:marLeft w:val="0"/>
                                                              <w:marRight w:val="0"/>
                                                              <w:marTop w:val="0"/>
                                                              <w:marBottom w:val="0"/>
                                                              <w:divBdr>
                                                                <w:top w:val="none" w:sz="0" w:space="0" w:color="auto"/>
                                                                <w:left w:val="none" w:sz="0" w:space="0" w:color="auto"/>
                                                                <w:bottom w:val="none" w:sz="0" w:space="0" w:color="auto"/>
                                                                <w:right w:val="none" w:sz="0" w:space="0" w:color="auto"/>
                                                              </w:divBdr>
                                                            </w:div>
                                                            <w:div w:id="506481493">
                                                              <w:marLeft w:val="0"/>
                                                              <w:marRight w:val="0"/>
                                                              <w:marTop w:val="0"/>
                                                              <w:marBottom w:val="0"/>
                                                              <w:divBdr>
                                                                <w:top w:val="none" w:sz="0" w:space="0" w:color="auto"/>
                                                                <w:left w:val="none" w:sz="0" w:space="0" w:color="auto"/>
                                                                <w:bottom w:val="none" w:sz="0" w:space="0" w:color="auto"/>
                                                                <w:right w:val="none" w:sz="0" w:space="0" w:color="auto"/>
                                                              </w:divBdr>
                                                            </w:div>
                                                            <w:div w:id="557279752">
                                                              <w:marLeft w:val="0"/>
                                                              <w:marRight w:val="0"/>
                                                              <w:marTop w:val="0"/>
                                                              <w:marBottom w:val="0"/>
                                                              <w:divBdr>
                                                                <w:top w:val="none" w:sz="0" w:space="0" w:color="auto"/>
                                                                <w:left w:val="none" w:sz="0" w:space="0" w:color="auto"/>
                                                                <w:bottom w:val="none" w:sz="0" w:space="0" w:color="auto"/>
                                                                <w:right w:val="none" w:sz="0" w:space="0" w:color="auto"/>
                                                              </w:divBdr>
                                                            </w:div>
                                                            <w:div w:id="592324562">
                                                              <w:marLeft w:val="0"/>
                                                              <w:marRight w:val="0"/>
                                                              <w:marTop w:val="0"/>
                                                              <w:marBottom w:val="0"/>
                                                              <w:divBdr>
                                                                <w:top w:val="none" w:sz="0" w:space="0" w:color="auto"/>
                                                                <w:left w:val="none" w:sz="0" w:space="0" w:color="auto"/>
                                                                <w:bottom w:val="none" w:sz="0" w:space="0" w:color="auto"/>
                                                                <w:right w:val="none" w:sz="0" w:space="0" w:color="auto"/>
                                                              </w:divBdr>
                                                            </w:div>
                                                            <w:div w:id="615479230">
                                                              <w:marLeft w:val="0"/>
                                                              <w:marRight w:val="0"/>
                                                              <w:marTop w:val="0"/>
                                                              <w:marBottom w:val="0"/>
                                                              <w:divBdr>
                                                                <w:top w:val="none" w:sz="0" w:space="0" w:color="auto"/>
                                                                <w:left w:val="none" w:sz="0" w:space="0" w:color="auto"/>
                                                                <w:bottom w:val="none" w:sz="0" w:space="0" w:color="auto"/>
                                                                <w:right w:val="none" w:sz="0" w:space="0" w:color="auto"/>
                                                              </w:divBdr>
                                                            </w:div>
                                                            <w:div w:id="796872819">
                                                              <w:marLeft w:val="0"/>
                                                              <w:marRight w:val="0"/>
                                                              <w:marTop w:val="0"/>
                                                              <w:marBottom w:val="0"/>
                                                              <w:divBdr>
                                                                <w:top w:val="none" w:sz="0" w:space="0" w:color="auto"/>
                                                                <w:left w:val="none" w:sz="0" w:space="0" w:color="auto"/>
                                                                <w:bottom w:val="none" w:sz="0" w:space="0" w:color="auto"/>
                                                                <w:right w:val="none" w:sz="0" w:space="0" w:color="auto"/>
                                                              </w:divBdr>
                                                            </w:div>
                                                            <w:div w:id="867259149">
                                                              <w:marLeft w:val="0"/>
                                                              <w:marRight w:val="0"/>
                                                              <w:marTop w:val="0"/>
                                                              <w:marBottom w:val="0"/>
                                                              <w:divBdr>
                                                                <w:top w:val="none" w:sz="0" w:space="0" w:color="auto"/>
                                                                <w:left w:val="none" w:sz="0" w:space="0" w:color="auto"/>
                                                                <w:bottom w:val="none" w:sz="0" w:space="0" w:color="auto"/>
                                                                <w:right w:val="none" w:sz="0" w:space="0" w:color="auto"/>
                                                              </w:divBdr>
                                                            </w:div>
                                                            <w:div w:id="890576362">
                                                              <w:marLeft w:val="0"/>
                                                              <w:marRight w:val="0"/>
                                                              <w:marTop w:val="0"/>
                                                              <w:marBottom w:val="0"/>
                                                              <w:divBdr>
                                                                <w:top w:val="none" w:sz="0" w:space="0" w:color="auto"/>
                                                                <w:left w:val="none" w:sz="0" w:space="0" w:color="auto"/>
                                                                <w:bottom w:val="none" w:sz="0" w:space="0" w:color="auto"/>
                                                                <w:right w:val="none" w:sz="0" w:space="0" w:color="auto"/>
                                                              </w:divBdr>
                                                            </w:div>
                                                            <w:div w:id="901212361">
                                                              <w:marLeft w:val="0"/>
                                                              <w:marRight w:val="0"/>
                                                              <w:marTop w:val="0"/>
                                                              <w:marBottom w:val="0"/>
                                                              <w:divBdr>
                                                                <w:top w:val="none" w:sz="0" w:space="0" w:color="auto"/>
                                                                <w:left w:val="none" w:sz="0" w:space="0" w:color="auto"/>
                                                                <w:bottom w:val="none" w:sz="0" w:space="0" w:color="auto"/>
                                                                <w:right w:val="none" w:sz="0" w:space="0" w:color="auto"/>
                                                              </w:divBdr>
                                                            </w:div>
                                                            <w:div w:id="902914118">
                                                              <w:marLeft w:val="0"/>
                                                              <w:marRight w:val="0"/>
                                                              <w:marTop w:val="0"/>
                                                              <w:marBottom w:val="0"/>
                                                              <w:divBdr>
                                                                <w:top w:val="none" w:sz="0" w:space="0" w:color="auto"/>
                                                                <w:left w:val="none" w:sz="0" w:space="0" w:color="auto"/>
                                                                <w:bottom w:val="none" w:sz="0" w:space="0" w:color="auto"/>
                                                                <w:right w:val="none" w:sz="0" w:space="0" w:color="auto"/>
                                                              </w:divBdr>
                                                            </w:div>
                                                            <w:div w:id="949700247">
                                                              <w:marLeft w:val="0"/>
                                                              <w:marRight w:val="0"/>
                                                              <w:marTop w:val="0"/>
                                                              <w:marBottom w:val="0"/>
                                                              <w:divBdr>
                                                                <w:top w:val="none" w:sz="0" w:space="0" w:color="auto"/>
                                                                <w:left w:val="none" w:sz="0" w:space="0" w:color="auto"/>
                                                                <w:bottom w:val="none" w:sz="0" w:space="0" w:color="auto"/>
                                                                <w:right w:val="none" w:sz="0" w:space="0" w:color="auto"/>
                                                              </w:divBdr>
                                                            </w:div>
                                                            <w:div w:id="1197542867">
                                                              <w:marLeft w:val="0"/>
                                                              <w:marRight w:val="0"/>
                                                              <w:marTop w:val="0"/>
                                                              <w:marBottom w:val="0"/>
                                                              <w:divBdr>
                                                                <w:top w:val="none" w:sz="0" w:space="0" w:color="auto"/>
                                                                <w:left w:val="none" w:sz="0" w:space="0" w:color="auto"/>
                                                                <w:bottom w:val="none" w:sz="0" w:space="0" w:color="auto"/>
                                                                <w:right w:val="none" w:sz="0" w:space="0" w:color="auto"/>
                                                              </w:divBdr>
                                                            </w:div>
                                                            <w:div w:id="1292592660">
                                                              <w:marLeft w:val="0"/>
                                                              <w:marRight w:val="0"/>
                                                              <w:marTop w:val="0"/>
                                                              <w:marBottom w:val="0"/>
                                                              <w:divBdr>
                                                                <w:top w:val="none" w:sz="0" w:space="0" w:color="auto"/>
                                                                <w:left w:val="none" w:sz="0" w:space="0" w:color="auto"/>
                                                                <w:bottom w:val="none" w:sz="0" w:space="0" w:color="auto"/>
                                                                <w:right w:val="none" w:sz="0" w:space="0" w:color="auto"/>
                                                              </w:divBdr>
                                                            </w:div>
                                                            <w:div w:id="1303081102">
                                                              <w:marLeft w:val="0"/>
                                                              <w:marRight w:val="0"/>
                                                              <w:marTop w:val="0"/>
                                                              <w:marBottom w:val="0"/>
                                                              <w:divBdr>
                                                                <w:top w:val="none" w:sz="0" w:space="0" w:color="auto"/>
                                                                <w:left w:val="none" w:sz="0" w:space="0" w:color="auto"/>
                                                                <w:bottom w:val="none" w:sz="0" w:space="0" w:color="auto"/>
                                                                <w:right w:val="none" w:sz="0" w:space="0" w:color="auto"/>
                                                              </w:divBdr>
                                                            </w:div>
                                                            <w:div w:id="1486704447">
                                                              <w:marLeft w:val="0"/>
                                                              <w:marRight w:val="0"/>
                                                              <w:marTop w:val="0"/>
                                                              <w:marBottom w:val="0"/>
                                                              <w:divBdr>
                                                                <w:top w:val="none" w:sz="0" w:space="0" w:color="auto"/>
                                                                <w:left w:val="none" w:sz="0" w:space="0" w:color="auto"/>
                                                                <w:bottom w:val="none" w:sz="0" w:space="0" w:color="auto"/>
                                                                <w:right w:val="none" w:sz="0" w:space="0" w:color="auto"/>
                                                              </w:divBdr>
                                                            </w:div>
                                                            <w:div w:id="1488938064">
                                                              <w:marLeft w:val="0"/>
                                                              <w:marRight w:val="0"/>
                                                              <w:marTop w:val="0"/>
                                                              <w:marBottom w:val="0"/>
                                                              <w:divBdr>
                                                                <w:top w:val="none" w:sz="0" w:space="0" w:color="auto"/>
                                                                <w:left w:val="none" w:sz="0" w:space="0" w:color="auto"/>
                                                                <w:bottom w:val="none" w:sz="0" w:space="0" w:color="auto"/>
                                                                <w:right w:val="none" w:sz="0" w:space="0" w:color="auto"/>
                                                              </w:divBdr>
                                                            </w:div>
                                                            <w:div w:id="1635675895">
                                                              <w:marLeft w:val="0"/>
                                                              <w:marRight w:val="0"/>
                                                              <w:marTop w:val="0"/>
                                                              <w:marBottom w:val="0"/>
                                                              <w:divBdr>
                                                                <w:top w:val="none" w:sz="0" w:space="0" w:color="auto"/>
                                                                <w:left w:val="none" w:sz="0" w:space="0" w:color="auto"/>
                                                                <w:bottom w:val="none" w:sz="0" w:space="0" w:color="auto"/>
                                                                <w:right w:val="none" w:sz="0" w:space="0" w:color="auto"/>
                                                              </w:divBdr>
                                                            </w:div>
                                                            <w:div w:id="2044019422">
                                                              <w:marLeft w:val="0"/>
                                                              <w:marRight w:val="0"/>
                                                              <w:marTop w:val="0"/>
                                                              <w:marBottom w:val="0"/>
                                                              <w:divBdr>
                                                                <w:top w:val="none" w:sz="0" w:space="0" w:color="auto"/>
                                                                <w:left w:val="none" w:sz="0" w:space="0" w:color="auto"/>
                                                                <w:bottom w:val="none" w:sz="0" w:space="0" w:color="auto"/>
                                                                <w:right w:val="none" w:sz="0" w:space="0" w:color="auto"/>
                                                              </w:divBdr>
                                                            </w:div>
                                                            <w:div w:id="21003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554199660">
      <w:bodyDiv w:val="1"/>
      <w:marLeft w:val="0"/>
      <w:marRight w:val="0"/>
      <w:marTop w:val="0"/>
      <w:marBottom w:val="0"/>
      <w:divBdr>
        <w:top w:val="none" w:sz="0" w:space="0" w:color="auto"/>
        <w:left w:val="none" w:sz="0" w:space="0" w:color="auto"/>
        <w:bottom w:val="none" w:sz="0" w:space="0" w:color="auto"/>
        <w:right w:val="none" w:sz="0" w:space="0" w:color="auto"/>
      </w:divBdr>
    </w:div>
    <w:div w:id="1703238262">
      <w:bodyDiv w:val="1"/>
      <w:marLeft w:val="0"/>
      <w:marRight w:val="0"/>
      <w:marTop w:val="0"/>
      <w:marBottom w:val="0"/>
      <w:divBdr>
        <w:top w:val="none" w:sz="0" w:space="0" w:color="auto"/>
        <w:left w:val="none" w:sz="0" w:space="0" w:color="auto"/>
        <w:bottom w:val="none" w:sz="0" w:space="0" w:color="auto"/>
        <w:right w:val="none" w:sz="0" w:space="0" w:color="auto"/>
      </w:divBdr>
      <w:divsChild>
        <w:div w:id="1528055902">
          <w:marLeft w:val="0"/>
          <w:marRight w:val="0"/>
          <w:marTop w:val="0"/>
          <w:marBottom w:val="0"/>
          <w:divBdr>
            <w:top w:val="none" w:sz="0" w:space="0" w:color="auto"/>
            <w:left w:val="none" w:sz="0" w:space="0" w:color="auto"/>
            <w:bottom w:val="none" w:sz="0" w:space="0" w:color="auto"/>
            <w:right w:val="none" w:sz="0" w:space="0" w:color="auto"/>
          </w:divBdr>
          <w:divsChild>
            <w:div w:id="1227031014">
              <w:marLeft w:val="0"/>
              <w:marRight w:val="0"/>
              <w:marTop w:val="0"/>
              <w:marBottom w:val="0"/>
              <w:divBdr>
                <w:top w:val="none" w:sz="0" w:space="0" w:color="auto"/>
                <w:left w:val="none" w:sz="0" w:space="0" w:color="auto"/>
                <w:bottom w:val="none" w:sz="0" w:space="0" w:color="auto"/>
                <w:right w:val="none" w:sz="0" w:space="0" w:color="auto"/>
              </w:divBdr>
              <w:divsChild>
                <w:div w:id="194924361">
                  <w:marLeft w:val="0"/>
                  <w:marRight w:val="0"/>
                  <w:marTop w:val="0"/>
                  <w:marBottom w:val="0"/>
                  <w:divBdr>
                    <w:top w:val="none" w:sz="0" w:space="0" w:color="auto"/>
                    <w:left w:val="none" w:sz="0" w:space="0" w:color="auto"/>
                    <w:bottom w:val="none" w:sz="0" w:space="0" w:color="auto"/>
                    <w:right w:val="none" w:sz="0" w:space="0" w:color="auto"/>
                  </w:divBdr>
                  <w:divsChild>
                    <w:div w:id="878976252">
                      <w:marLeft w:val="0"/>
                      <w:marRight w:val="0"/>
                      <w:marTop w:val="0"/>
                      <w:marBottom w:val="0"/>
                      <w:divBdr>
                        <w:top w:val="none" w:sz="0" w:space="0" w:color="auto"/>
                        <w:left w:val="none" w:sz="0" w:space="0" w:color="auto"/>
                        <w:bottom w:val="none" w:sz="0" w:space="0" w:color="auto"/>
                        <w:right w:val="none" w:sz="0" w:space="0" w:color="auto"/>
                      </w:divBdr>
                      <w:divsChild>
                        <w:div w:id="1777099107">
                          <w:marLeft w:val="0"/>
                          <w:marRight w:val="0"/>
                          <w:marTop w:val="0"/>
                          <w:marBottom w:val="0"/>
                          <w:divBdr>
                            <w:top w:val="none" w:sz="0" w:space="0" w:color="auto"/>
                            <w:left w:val="none" w:sz="0" w:space="0" w:color="auto"/>
                            <w:bottom w:val="none" w:sz="0" w:space="0" w:color="auto"/>
                            <w:right w:val="none" w:sz="0" w:space="0" w:color="auto"/>
                          </w:divBdr>
                          <w:divsChild>
                            <w:div w:id="598290838">
                              <w:marLeft w:val="0"/>
                              <w:marRight w:val="0"/>
                              <w:marTop w:val="0"/>
                              <w:marBottom w:val="0"/>
                              <w:divBdr>
                                <w:top w:val="none" w:sz="0" w:space="0" w:color="auto"/>
                                <w:left w:val="none" w:sz="0" w:space="0" w:color="auto"/>
                                <w:bottom w:val="none" w:sz="0" w:space="0" w:color="auto"/>
                                <w:right w:val="none" w:sz="0" w:space="0" w:color="auto"/>
                              </w:divBdr>
                              <w:divsChild>
                                <w:div w:id="380640035">
                                  <w:marLeft w:val="0"/>
                                  <w:marRight w:val="0"/>
                                  <w:marTop w:val="0"/>
                                  <w:marBottom w:val="0"/>
                                  <w:divBdr>
                                    <w:top w:val="none" w:sz="0" w:space="0" w:color="auto"/>
                                    <w:left w:val="none" w:sz="0" w:space="0" w:color="auto"/>
                                    <w:bottom w:val="none" w:sz="0" w:space="0" w:color="auto"/>
                                    <w:right w:val="none" w:sz="0" w:space="0" w:color="auto"/>
                                  </w:divBdr>
                                  <w:divsChild>
                                    <w:div w:id="1953780245">
                                      <w:marLeft w:val="0"/>
                                      <w:marRight w:val="0"/>
                                      <w:marTop w:val="0"/>
                                      <w:marBottom w:val="0"/>
                                      <w:divBdr>
                                        <w:top w:val="none" w:sz="0" w:space="0" w:color="auto"/>
                                        <w:left w:val="none" w:sz="0" w:space="0" w:color="auto"/>
                                        <w:bottom w:val="none" w:sz="0" w:space="0" w:color="auto"/>
                                        <w:right w:val="none" w:sz="0" w:space="0" w:color="auto"/>
                                      </w:divBdr>
                                      <w:divsChild>
                                        <w:div w:id="531843300">
                                          <w:marLeft w:val="0"/>
                                          <w:marRight w:val="0"/>
                                          <w:marTop w:val="0"/>
                                          <w:marBottom w:val="0"/>
                                          <w:divBdr>
                                            <w:top w:val="none" w:sz="0" w:space="0" w:color="auto"/>
                                            <w:left w:val="none" w:sz="0" w:space="0" w:color="auto"/>
                                            <w:bottom w:val="none" w:sz="0" w:space="0" w:color="auto"/>
                                            <w:right w:val="none" w:sz="0" w:space="0" w:color="auto"/>
                                          </w:divBdr>
                                          <w:divsChild>
                                            <w:div w:id="1990396806">
                                              <w:marLeft w:val="100"/>
                                              <w:marRight w:val="100"/>
                                              <w:marTop w:val="100"/>
                                              <w:marBottom w:val="200"/>
                                              <w:divBdr>
                                                <w:top w:val="none" w:sz="0" w:space="0" w:color="auto"/>
                                                <w:left w:val="none" w:sz="0" w:space="0" w:color="auto"/>
                                                <w:bottom w:val="none" w:sz="0" w:space="0" w:color="auto"/>
                                                <w:right w:val="none" w:sz="0" w:space="0" w:color="auto"/>
                                              </w:divBdr>
                                              <w:divsChild>
                                                <w:div w:id="648557378">
                                                  <w:marLeft w:val="0"/>
                                                  <w:marRight w:val="0"/>
                                                  <w:marTop w:val="0"/>
                                                  <w:marBottom w:val="0"/>
                                                  <w:divBdr>
                                                    <w:top w:val="none" w:sz="0" w:space="0" w:color="auto"/>
                                                    <w:left w:val="none" w:sz="0" w:space="0" w:color="auto"/>
                                                    <w:bottom w:val="none" w:sz="0" w:space="0" w:color="auto"/>
                                                    <w:right w:val="none" w:sz="0" w:space="0" w:color="auto"/>
                                                  </w:divBdr>
                                                  <w:divsChild>
                                                    <w:div w:id="256520079">
                                                      <w:marLeft w:val="0"/>
                                                      <w:marRight w:val="0"/>
                                                      <w:marTop w:val="0"/>
                                                      <w:marBottom w:val="0"/>
                                                      <w:divBdr>
                                                        <w:top w:val="none" w:sz="0" w:space="0" w:color="auto"/>
                                                        <w:left w:val="none" w:sz="0" w:space="0" w:color="auto"/>
                                                        <w:bottom w:val="none" w:sz="0" w:space="0" w:color="auto"/>
                                                        <w:right w:val="none" w:sz="0" w:space="0" w:color="auto"/>
                                                      </w:divBdr>
                                                      <w:divsChild>
                                                        <w:div w:id="64643629">
                                                          <w:marLeft w:val="0"/>
                                                          <w:marRight w:val="0"/>
                                                          <w:marTop w:val="0"/>
                                                          <w:marBottom w:val="0"/>
                                                          <w:divBdr>
                                                            <w:top w:val="none" w:sz="0" w:space="0" w:color="auto"/>
                                                            <w:left w:val="none" w:sz="0" w:space="0" w:color="auto"/>
                                                            <w:bottom w:val="none" w:sz="0" w:space="0" w:color="auto"/>
                                                            <w:right w:val="none" w:sz="0" w:space="0" w:color="auto"/>
                                                          </w:divBdr>
                                                          <w:divsChild>
                                                            <w:div w:id="218397818">
                                                              <w:marLeft w:val="0"/>
                                                              <w:marRight w:val="0"/>
                                                              <w:marTop w:val="0"/>
                                                              <w:marBottom w:val="0"/>
                                                              <w:divBdr>
                                                                <w:top w:val="none" w:sz="0" w:space="0" w:color="auto"/>
                                                                <w:left w:val="none" w:sz="0" w:space="0" w:color="auto"/>
                                                                <w:bottom w:val="none" w:sz="0" w:space="0" w:color="auto"/>
                                                                <w:right w:val="none" w:sz="0" w:space="0" w:color="auto"/>
                                                              </w:divBdr>
                                                            </w:div>
                                                            <w:div w:id="329451419">
                                                              <w:marLeft w:val="0"/>
                                                              <w:marRight w:val="0"/>
                                                              <w:marTop w:val="0"/>
                                                              <w:marBottom w:val="0"/>
                                                              <w:divBdr>
                                                                <w:top w:val="none" w:sz="0" w:space="0" w:color="auto"/>
                                                                <w:left w:val="none" w:sz="0" w:space="0" w:color="auto"/>
                                                                <w:bottom w:val="none" w:sz="0" w:space="0" w:color="auto"/>
                                                                <w:right w:val="none" w:sz="0" w:space="0" w:color="auto"/>
                                                              </w:divBdr>
                                                            </w:div>
                                                            <w:div w:id="367032581">
                                                              <w:marLeft w:val="0"/>
                                                              <w:marRight w:val="0"/>
                                                              <w:marTop w:val="0"/>
                                                              <w:marBottom w:val="0"/>
                                                              <w:divBdr>
                                                                <w:top w:val="none" w:sz="0" w:space="0" w:color="auto"/>
                                                                <w:left w:val="none" w:sz="0" w:space="0" w:color="auto"/>
                                                                <w:bottom w:val="none" w:sz="0" w:space="0" w:color="auto"/>
                                                                <w:right w:val="none" w:sz="0" w:space="0" w:color="auto"/>
                                                              </w:divBdr>
                                                            </w:div>
                                                            <w:div w:id="1006051564">
                                                              <w:marLeft w:val="0"/>
                                                              <w:marRight w:val="0"/>
                                                              <w:marTop w:val="0"/>
                                                              <w:marBottom w:val="0"/>
                                                              <w:divBdr>
                                                                <w:top w:val="none" w:sz="0" w:space="0" w:color="auto"/>
                                                                <w:left w:val="none" w:sz="0" w:space="0" w:color="auto"/>
                                                                <w:bottom w:val="none" w:sz="0" w:space="0" w:color="auto"/>
                                                                <w:right w:val="none" w:sz="0" w:space="0" w:color="auto"/>
                                                              </w:divBdr>
                                                            </w:div>
                                                            <w:div w:id="1017998960">
                                                              <w:marLeft w:val="0"/>
                                                              <w:marRight w:val="0"/>
                                                              <w:marTop w:val="0"/>
                                                              <w:marBottom w:val="0"/>
                                                              <w:divBdr>
                                                                <w:top w:val="none" w:sz="0" w:space="0" w:color="auto"/>
                                                                <w:left w:val="none" w:sz="0" w:space="0" w:color="auto"/>
                                                                <w:bottom w:val="none" w:sz="0" w:space="0" w:color="auto"/>
                                                                <w:right w:val="none" w:sz="0" w:space="0" w:color="auto"/>
                                                              </w:divBdr>
                                                            </w:div>
                                                            <w:div w:id="1085496619">
                                                              <w:marLeft w:val="0"/>
                                                              <w:marRight w:val="0"/>
                                                              <w:marTop w:val="0"/>
                                                              <w:marBottom w:val="0"/>
                                                              <w:divBdr>
                                                                <w:top w:val="none" w:sz="0" w:space="0" w:color="auto"/>
                                                                <w:left w:val="none" w:sz="0" w:space="0" w:color="auto"/>
                                                                <w:bottom w:val="none" w:sz="0" w:space="0" w:color="auto"/>
                                                                <w:right w:val="none" w:sz="0" w:space="0" w:color="auto"/>
                                                              </w:divBdr>
                                                            </w:div>
                                                            <w:div w:id="1263107550">
                                                              <w:marLeft w:val="0"/>
                                                              <w:marRight w:val="0"/>
                                                              <w:marTop w:val="0"/>
                                                              <w:marBottom w:val="0"/>
                                                              <w:divBdr>
                                                                <w:top w:val="none" w:sz="0" w:space="0" w:color="auto"/>
                                                                <w:left w:val="none" w:sz="0" w:space="0" w:color="auto"/>
                                                                <w:bottom w:val="none" w:sz="0" w:space="0" w:color="auto"/>
                                                                <w:right w:val="none" w:sz="0" w:space="0" w:color="auto"/>
                                                              </w:divBdr>
                                                            </w:div>
                                                            <w:div w:id="1274821444">
                                                              <w:marLeft w:val="0"/>
                                                              <w:marRight w:val="0"/>
                                                              <w:marTop w:val="0"/>
                                                              <w:marBottom w:val="0"/>
                                                              <w:divBdr>
                                                                <w:top w:val="none" w:sz="0" w:space="0" w:color="auto"/>
                                                                <w:left w:val="none" w:sz="0" w:space="0" w:color="auto"/>
                                                                <w:bottom w:val="none" w:sz="0" w:space="0" w:color="auto"/>
                                                                <w:right w:val="none" w:sz="0" w:space="0" w:color="auto"/>
                                                              </w:divBdr>
                                                            </w:div>
                                                            <w:div w:id="1345013937">
                                                              <w:marLeft w:val="0"/>
                                                              <w:marRight w:val="0"/>
                                                              <w:marTop w:val="0"/>
                                                              <w:marBottom w:val="0"/>
                                                              <w:divBdr>
                                                                <w:top w:val="none" w:sz="0" w:space="0" w:color="auto"/>
                                                                <w:left w:val="none" w:sz="0" w:space="0" w:color="auto"/>
                                                                <w:bottom w:val="none" w:sz="0" w:space="0" w:color="auto"/>
                                                                <w:right w:val="none" w:sz="0" w:space="0" w:color="auto"/>
                                                              </w:divBdr>
                                                            </w:div>
                                                            <w:div w:id="1445884731">
                                                              <w:marLeft w:val="0"/>
                                                              <w:marRight w:val="0"/>
                                                              <w:marTop w:val="0"/>
                                                              <w:marBottom w:val="0"/>
                                                              <w:divBdr>
                                                                <w:top w:val="none" w:sz="0" w:space="0" w:color="auto"/>
                                                                <w:left w:val="none" w:sz="0" w:space="0" w:color="auto"/>
                                                                <w:bottom w:val="none" w:sz="0" w:space="0" w:color="auto"/>
                                                                <w:right w:val="none" w:sz="0" w:space="0" w:color="auto"/>
                                                              </w:divBdr>
                                                            </w:div>
                                                            <w:div w:id="1463772239">
                                                              <w:marLeft w:val="0"/>
                                                              <w:marRight w:val="0"/>
                                                              <w:marTop w:val="0"/>
                                                              <w:marBottom w:val="0"/>
                                                              <w:divBdr>
                                                                <w:top w:val="none" w:sz="0" w:space="0" w:color="auto"/>
                                                                <w:left w:val="none" w:sz="0" w:space="0" w:color="auto"/>
                                                                <w:bottom w:val="none" w:sz="0" w:space="0" w:color="auto"/>
                                                                <w:right w:val="none" w:sz="0" w:space="0" w:color="auto"/>
                                                              </w:divBdr>
                                                            </w:div>
                                                            <w:div w:id="1560557846">
                                                              <w:marLeft w:val="0"/>
                                                              <w:marRight w:val="0"/>
                                                              <w:marTop w:val="0"/>
                                                              <w:marBottom w:val="0"/>
                                                              <w:divBdr>
                                                                <w:top w:val="none" w:sz="0" w:space="0" w:color="auto"/>
                                                                <w:left w:val="none" w:sz="0" w:space="0" w:color="auto"/>
                                                                <w:bottom w:val="none" w:sz="0" w:space="0" w:color="auto"/>
                                                                <w:right w:val="none" w:sz="0" w:space="0" w:color="auto"/>
                                                              </w:divBdr>
                                                            </w:div>
                                                            <w:div w:id="1648364605">
                                                              <w:marLeft w:val="0"/>
                                                              <w:marRight w:val="0"/>
                                                              <w:marTop w:val="0"/>
                                                              <w:marBottom w:val="0"/>
                                                              <w:divBdr>
                                                                <w:top w:val="none" w:sz="0" w:space="0" w:color="auto"/>
                                                                <w:left w:val="none" w:sz="0" w:space="0" w:color="auto"/>
                                                                <w:bottom w:val="none" w:sz="0" w:space="0" w:color="auto"/>
                                                                <w:right w:val="none" w:sz="0" w:space="0" w:color="auto"/>
                                                              </w:divBdr>
                                                            </w:div>
                                                            <w:div w:id="1650403316">
                                                              <w:marLeft w:val="0"/>
                                                              <w:marRight w:val="0"/>
                                                              <w:marTop w:val="0"/>
                                                              <w:marBottom w:val="0"/>
                                                              <w:divBdr>
                                                                <w:top w:val="none" w:sz="0" w:space="0" w:color="auto"/>
                                                                <w:left w:val="none" w:sz="0" w:space="0" w:color="auto"/>
                                                                <w:bottom w:val="none" w:sz="0" w:space="0" w:color="auto"/>
                                                                <w:right w:val="none" w:sz="0" w:space="0" w:color="auto"/>
                                                              </w:divBdr>
                                                            </w:div>
                                                            <w:div w:id="1894074402">
                                                              <w:marLeft w:val="0"/>
                                                              <w:marRight w:val="0"/>
                                                              <w:marTop w:val="0"/>
                                                              <w:marBottom w:val="0"/>
                                                              <w:divBdr>
                                                                <w:top w:val="none" w:sz="0" w:space="0" w:color="auto"/>
                                                                <w:left w:val="none" w:sz="0" w:space="0" w:color="auto"/>
                                                                <w:bottom w:val="none" w:sz="0" w:space="0" w:color="auto"/>
                                                                <w:right w:val="none" w:sz="0" w:space="0" w:color="auto"/>
                                                              </w:divBdr>
                                                            </w:div>
                                                            <w:div w:id="1922910400">
                                                              <w:marLeft w:val="0"/>
                                                              <w:marRight w:val="0"/>
                                                              <w:marTop w:val="0"/>
                                                              <w:marBottom w:val="0"/>
                                                              <w:divBdr>
                                                                <w:top w:val="none" w:sz="0" w:space="0" w:color="auto"/>
                                                                <w:left w:val="none" w:sz="0" w:space="0" w:color="auto"/>
                                                                <w:bottom w:val="none" w:sz="0" w:space="0" w:color="auto"/>
                                                                <w:right w:val="none" w:sz="0" w:space="0" w:color="auto"/>
                                                              </w:divBdr>
                                                            </w:div>
                                                            <w:div w:id="1941252656">
                                                              <w:marLeft w:val="0"/>
                                                              <w:marRight w:val="0"/>
                                                              <w:marTop w:val="0"/>
                                                              <w:marBottom w:val="0"/>
                                                              <w:divBdr>
                                                                <w:top w:val="none" w:sz="0" w:space="0" w:color="auto"/>
                                                                <w:left w:val="none" w:sz="0" w:space="0" w:color="auto"/>
                                                                <w:bottom w:val="none" w:sz="0" w:space="0" w:color="auto"/>
                                                                <w:right w:val="none" w:sz="0" w:space="0" w:color="auto"/>
                                                              </w:divBdr>
                                                            </w:div>
                                                            <w:div w:id="1945262879">
                                                              <w:marLeft w:val="0"/>
                                                              <w:marRight w:val="0"/>
                                                              <w:marTop w:val="0"/>
                                                              <w:marBottom w:val="0"/>
                                                              <w:divBdr>
                                                                <w:top w:val="none" w:sz="0" w:space="0" w:color="auto"/>
                                                                <w:left w:val="none" w:sz="0" w:space="0" w:color="auto"/>
                                                                <w:bottom w:val="none" w:sz="0" w:space="0" w:color="auto"/>
                                                                <w:right w:val="none" w:sz="0" w:space="0" w:color="auto"/>
                                                              </w:divBdr>
                                                            </w:div>
                                                            <w:div w:id="2031101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473529">
                                                      <w:marLeft w:val="0"/>
                                                      <w:marRight w:val="0"/>
                                                      <w:marTop w:val="0"/>
                                                      <w:marBottom w:val="0"/>
                                                      <w:divBdr>
                                                        <w:top w:val="none" w:sz="0" w:space="0" w:color="auto"/>
                                                        <w:left w:val="none" w:sz="0" w:space="0" w:color="auto"/>
                                                        <w:bottom w:val="none" w:sz="0" w:space="0" w:color="auto"/>
                                                        <w:right w:val="none" w:sz="0" w:space="0" w:color="auto"/>
                                                      </w:divBdr>
                                                      <w:divsChild>
                                                        <w:div w:id="32709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099321819">
      <w:bodyDiv w:val="1"/>
      <w:marLeft w:val="0"/>
      <w:marRight w:val="0"/>
      <w:marTop w:val="0"/>
      <w:marBottom w:val="0"/>
      <w:divBdr>
        <w:top w:val="none" w:sz="0" w:space="0" w:color="auto"/>
        <w:left w:val="none" w:sz="0" w:space="0" w:color="auto"/>
        <w:bottom w:val="none" w:sz="0" w:space="0" w:color="auto"/>
        <w:right w:val="none" w:sz="0" w:space="0" w:color="auto"/>
      </w:divBdr>
      <w:divsChild>
        <w:div w:id="1802074434">
          <w:marLeft w:val="0"/>
          <w:marRight w:val="0"/>
          <w:marTop w:val="0"/>
          <w:marBottom w:val="0"/>
          <w:divBdr>
            <w:top w:val="none" w:sz="0" w:space="0" w:color="auto"/>
            <w:left w:val="none" w:sz="0" w:space="0" w:color="auto"/>
            <w:bottom w:val="none" w:sz="0" w:space="0" w:color="auto"/>
            <w:right w:val="none" w:sz="0" w:space="0" w:color="auto"/>
          </w:divBdr>
          <w:divsChild>
            <w:div w:id="974717294">
              <w:marLeft w:val="0"/>
              <w:marRight w:val="0"/>
              <w:marTop w:val="0"/>
              <w:marBottom w:val="0"/>
              <w:divBdr>
                <w:top w:val="none" w:sz="0" w:space="0" w:color="auto"/>
                <w:left w:val="none" w:sz="0" w:space="0" w:color="auto"/>
                <w:bottom w:val="none" w:sz="0" w:space="0" w:color="auto"/>
                <w:right w:val="none" w:sz="0" w:space="0" w:color="auto"/>
              </w:divBdr>
              <w:divsChild>
                <w:div w:id="541598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dep.state.fl.us/air/rules/fac/62-212.pdf" TargetMode="External"/><Relationship Id="rId26" Type="http://schemas.openxmlformats.org/officeDocument/2006/relationships/image" Target="media/image11.png"/><Relationship Id="rId39" Type="http://schemas.openxmlformats.org/officeDocument/2006/relationships/image" Target="media/image21.wmf"/><Relationship Id="rId21" Type="http://schemas.openxmlformats.org/officeDocument/2006/relationships/hyperlink" Target="http://www.dep.state.fl.us/air/rules/fac/62-297.pdf" TargetMode="External"/><Relationship Id="rId34" Type="http://schemas.openxmlformats.org/officeDocument/2006/relationships/image" Target="media/image18.emf"/><Relationship Id="rId42" Type="http://schemas.openxmlformats.org/officeDocument/2006/relationships/hyperlink" Target="http://www.ecfr.gov/cgi-bin/text-idx?c=ecfr;sid=6cf296a286d1a8e3defa20ad9a375138;rgn=div6;view=text;node=40%3A13.0.1.1.1.31;idno=40;cc=ecfr" TargetMode="External"/><Relationship Id="rId47" Type="http://schemas.openxmlformats.org/officeDocument/2006/relationships/hyperlink" Target="http://www.scribd.com/doc/44554552/7FA-GT-Classic-Re-Imagined-GEA17911" TargetMode="External"/><Relationship Id="rId50" Type="http://schemas.openxmlformats.org/officeDocument/2006/relationships/hyperlink" Target="http://www.ecfr.gov/cgi-bin/text-idx?c=ecfr;rgn=div6;view=text;node=40%3A14.0.1.1.1.1;idno=40;sid=e94dcfde4a04b27290c445a56e635e58;cc=ecfr" TargetMode="External"/><Relationship Id="rId55" Type="http://schemas.openxmlformats.org/officeDocument/2006/relationships/hyperlink" Target="http://www.ecfr.gov/cgi-bin/retrieveECFR?gp=&amp;SID=13f1f1ff23eaaf41cc09b5a85ce8cd62&amp;r=SUBPART&amp;n=40y7.0.1.1.1.26" TargetMode="External"/><Relationship Id="rId63" Type="http://schemas.openxmlformats.org/officeDocument/2006/relationships/header" Target="header1.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dep.state.fl.us/air/rules/fac/62-204.pdf" TargetMode="External"/><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emf"/><Relationship Id="rId32" Type="http://schemas.openxmlformats.org/officeDocument/2006/relationships/image" Target="media/image16.emf"/><Relationship Id="rId37" Type="http://schemas.openxmlformats.org/officeDocument/2006/relationships/image" Target="media/image20.wmf"/><Relationship Id="rId40" Type="http://schemas.openxmlformats.org/officeDocument/2006/relationships/oleObject" Target="embeddings/oleObject3.bin"/><Relationship Id="rId45" Type="http://schemas.openxmlformats.org/officeDocument/2006/relationships/image" Target="media/image24.png"/><Relationship Id="rId53" Type="http://schemas.openxmlformats.org/officeDocument/2006/relationships/hyperlink" Target="http://www.ecfr.gov/cgi-bin/text-idx?c=ecfr&amp;SID=365e16ab0acbe5bdfded3e3fa4452754&amp;rgn=div6&amp;view=text&amp;node=40:17.0.1.1.9.9&amp;idno=40" TargetMode="External"/><Relationship Id="rId58" Type="http://schemas.openxmlformats.org/officeDocument/2006/relationships/image" Target="media/image28.jpeg"/><Relationship Id="rId66"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dep.state.fl.us/siting/files/rules_statutes/pps_rule.pdf" TargetMode="External"/><Relationship Id="rId23" Type="http://schemas.openxmlformats.org/officeDocument/2006/relationships/image" Target="media/image8.emf"/><Relationship Id="rId28" Type="http://schemas.openxmlformats.org/officeDocument/2006/relationships/oleObject" Target="embeddings/Microsoft_PowerPoint_97-2003_Presentation1.ppt"/><Relationship Id="rId36" Type="http://schemas.openxmlformats.org/officeDocument/2006/relationships/oleObject" Target="embeddings/oleObject1.bin"/><Relationship Id="rId49" Type="http://schemas.openxmlformats.org/officeDocument/2006/relationships/hyperlink" Target="http://www.ecfr.gov/cgi-bin/retrieveECFR?gp=&amp;SID=5cad118045b921585dbef4079dc88e3a&amp;r=SUBPART&amp;n=40y7.0.1.1.1.97" TargetMode="External"/><Relationship Id="rId57" Type="http://schemas.openxmlformats.org/officeDocument/2006/relationships/image" Target="media/image27.jpeg"/><Relationship Id="rId61" Type="http://schemas.openxmlformats.org/officeDocument/2006/relationships/hyperlink" Target="mailto:@dep.state.fl.us" TargetMode="External"/><Relationship Id="rId10" Type="http://schemas.openxmlformats.org/officeDocument/2006/relationships/image" Target="media/image3.emf"/><Relationship Id="rId19" Type="http://schemas.openxmlformats.org/officeDocument/2006/relationships/hyperlink" Target="http://www.dep.state.fl.us/air/rules/fac/62-213.pdf" TargetMode="External"/><Relationship Id="rId31" Type="http://schemas.openxmlformats.org/officeDocument/2006/relationships/image" Target="media/image15.emf"/><Relationship Id="rId44" Type="http://schemas.openxmlformats.org/officeDocument/2006/relationships/image" Target="media/image23.png"/><Relationship Id="rId52" Type="http://schemas.openxmlformats.org/officeDocument/2006/relationships/hyperlink" Target="http://www.epa.gov/otaq/standards/nonroad/nonroadci.htm" TargetMode="External"/><Relationship Id="rId60" Type="http://schemas.openxmlformats.org/officeDocument/2006/relationships/image" Target="media/image30.jpeg"/><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dep.state.fl.us/air/rules/fac/62-4.pdf" TargetMode="External"/><Relationship Id="rId22" Type="http://schemas.openxmlformats.org/officeDocument/2006/relationships/image" Target="media/image7.emf"/><Relationship Id="rId27" Type="http://schemas.openxmlformats.org/officeDocument/2006/relationships/image" Target="media/image12.wmf"/><Relationship Id="rId30" Type="http://schemas.openxmlformats.org/officeDocument/2006/relationships/image" Target="media/image14.emf"/><Relationship Id="rId35" Type="http://schemas.openxmlformats.org/officeDocument/2006/relationships/image" Target="media/image19.wmf"/><Relationship Id="rId43" Type="http://schemas.openxmlformats.org/officeDocument/2006/relationships/image" Target="media/image22.png"/><Relationship Id="rId48" Type="http://schemas.openxmlformats.org/officeDocument/2006/relationships/hyperlink" Target="http://www.ge-energy.com/content/multimedia/_files/downloads/GEA18457A_7FA_GI_7-27-11_r1.pdf" TargetMode="External"/><Relationship Id="rId56" Type="http://schemas.openxmlformats.org/officeDocument/2006/relationships/image" Target="media/image26.jpe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hyperlink" Target="http://www.ecfr.gov/cgi-bin/text-idx?tpl=/ecfrbrowse/Title40/40cfr89_main_02.tpl"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dep.state.fl.us/air/rules/fac/62-210.pdf" TargetMode="External"/><Relationship Id="rId25" Type="http://schemas.openxmlformats.org/officeDocument/2006/relationships/image" Target="media/image10.emf"/><Relationship Id="rId33" Type="http://schemas.openxmlformats.org/officeDocument/2006/relationships/image" Target="media/image17.emf"/><Relationship Id="rId38" Type="http://schemas.openxmlformats.org/officeDocument/2006/relationships/oleObject" Target="embeddings/oleObject2.bin"/><Relationship Id="rId46" Type="http://schemas.openxmlformats.org/officeDocument/2006/relationships/image" Target="media/image25.png"/><Relationship Id="rId59" Type="http://schemas.openxmlformats.org/officeDocument/2006/relationships/image" Target="media/image29.jpeg"/><Relationship Id="rId67" Type="http://schemas.openxmlformats.org/officeDocument/2006/relationships/fontTable" Target="fontTable.xml"/><Relationship Id="rId20" Type="http://schemas.openxmlformats.org/officeDocument/2006/relationships/hyperlink" Target="http://www.dep.state.fl.us/air/rules/fac/62-296.pdf" TargetMode="External"/><Relationship Id="rId41" Type="http://schemas.openxmlformats.org/officeDocument/2006/relationships/hyperlink" Target="http://www.ecfr.gov/cgi-bin/text-idx?c=ecfr;sid=86adad5cd90377b914f73235b8506ef6;rgn=div6;view=text;node=40%3A7.0.1.1.1.99;idno=40;cc=ecfr" TargetMode="External"/><Relationship Id="rId54" Type="http://schemas.openxmlformats.org/officeDocument/2006/relationships/hyperlink" Target="http://www.ecfr.gov/cgi-bin/text-idx?c=ecfr&amp;SID=365e16ab0acbe5bdfded3e3fa4452754&amp;rgn=div6&amp;view=text&amp;node=40:17.0.1.1.9.9&amp;idno=40" TargetMode="External"/><Relationship Id="rId62" Type="http://schemas.openxmlformats.org/officeDocument/2006/relationships/hyperlink" Target="mailto:david.read@dep.state.fl.u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49D50C7-9D89-4CCF-96F8-0CFFC2F8E8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1305</TotalTime>
  <Pages>37</Pages>
  <Words>17190</Words>
  <Characters>96045</Characters>
  <Application>Microsoft Office Word</Application>
  <DocSecurity>0</DocSecurity>
  <Lines>800</Lines>
  <Paragraphs>226</Paragraphs>
  <ScaleCrop>false</ScaleCrop>
  <HeadingPairs>
    <vt:vector size="2" baseType="variant">
      <vt:variant>
        <vt:lpstr>Title</vt:lpstr>
      </vt:variant>
      <vt:variant>
        <vt:i4>1</vt:i4>
      </vt:variant>
    </vt:vector>
  </HeadingPairs>
  <TitlesOfParts>
    <vt:vector size="1" baseType="lpstr">
      <vt:lpstr>Technical Evaluation &amp; Prelimnary Determination</vt:lpstr>
    </vt:vector>
  </TitlesOfParts>
  <Company/>
  <LinksUpToDate>false</LinksUpToDate>
  <CharactersWithSpaces>113009</CharactersWithSpaces>
  <SharedDoc>false</SharedDoc>
  <HLinks>
    <vt:vector size="126" baseType="variant">
      <vt:variant>
        <vt:i4>3866694</vt:i4>
      </vt:variant>
      <vt:variant>
        <vt:i4>411</vt:i4>
      </vt:variant>
      <vt:variant>
        <vt:i4>0</vt:i4>
      </vt:variant>
      <vt:variant>
        <vt:i4>5</vt:i4>
      </vt:variant>
      <vt:variant>
        <vt:lpwstr>mailto:david.read@dep.state.fl.us</vt:lpwstr>
      </vt:variant>
      <vt:variant>
        <vt:lpwstr/>
      </vt:variant>
      <vt:variant>
        <vt:i4>6160481</vt:i4>
      </vt:variant>
      <vt:variant>
        <vt:i4>408</vt:i4>
      </vt:variant>
      <vt:variant>
        <vt:i4>0</vt:i4>
      </vt:variant>
      <vt:variant>
        <vt:i4>5</vt:i4>
      </vt:variant>
      <vt:variant>
        <vt:lpwstr>mailto:@dep.state.fl.us</vt:lpwstr>
      </vt:variant>
      <vt:variant>
        <vt:lpwstr/>
      </vt:variant>
      <vt:variant>
        <vt:i4>4325376</vt:i4>
      </vt:variant>
      <vt:variant>
        <vt:i4>303</vt:i4>
      </vt:variant>
      <vt:variant>
        <vt:i4>0</vt:i4>
      </vt:variant>
      <vt:variant>
        <vt:i4>5</vt:i4>
      </vt:variant>
      <vt:variant>
        <vt:lpwstr>http://www.ecfr.gov/cgi-bin/retrieveECFR?gp=&amp;SID=13f1f1ff23eaaf41cc09b5a85ce8cd62&amp;r=SUBPART&amp;n=40y7.0.1.1.1.26</vt:lpwstr>
      </vt:variant>
      <vt:variant>
        <vt:lpwstr/>
      </vt:variant>
      <vt:variant>
        <vt:i4>1638489</vt:i4>
      </vt:variant>
      <vt:variant>
        <vt:i4>297</vt:i4>
      </vt:variant>
      <vt:variant>
        <vt:i4>0</vt:i4>
      </vt:variant>
      <vt:variant>
        <vt:i4>5</vt:i4>
      </vt:variant>
      <vt:variant>
        <vt:lpwstr>http://www.ecfr.gov/cgi-bin/text-idx?c=ecfr&amp;SID=365e16ab0acbe5bdfded3e3fa4452754&amp;rgn=div6&amp;view=text&amp;node=40:17.0.1.1.9.9&amp;idno=40</vt:lpwstr>
      </vt:variant>
      <vt:variant>
        <vt:lpwstr/>
      </vt:variant>
      <vt:variant>
        <vt:i4>1638489</vt:i4>
      </vt:variant>
      <vt:variant>
        <vt:i4>285</vt:i4>
      </vt:variant>
      <vt:variant>
        <vt:i4>0</vt:i4>
      </vt:variant>
      <vt:variant>
        <vt:i4>5</vt:i4>
      </vt:variant>
      <vt:variant>
        <vt:lpwstr>http://www.ecfr.gov/cgi-bin/text-idx?c=ecfr&amp;SID=365e16ab0acbe5bdfded3e3fa4452754&amp;rgn=div6&amp;view=text&amp;node=40:17.0.1.1.9.9&amp;idno=40</vt:lpwstr>
      </vt:variant>
      <vt:variant>
        <vt:lpwstr/>
      </vt:variant>
      <vt:variant>
        <vt:i4>3735613</vt:i4>
      </vt:variant>
      <vt:variant>
        <vt:i4>276</vt:i4>
      </vt:variant>
      <vt:variant>
        <vt:i4>0</vt:i4>
      </vt:variant>
      <vt:variant>
        <vt:i4>5</vt:i4>
      </vt:variant>
      <vt:variant>
        <vt:lpwstr>http://www.epa.gov/otaq/standards/nonroad/nonroadci.htm</vt:lpwstr>
      </vt:variant>
      <vt:variant>
        <vt:lpwstr/>
      </vt:variant>
      <vt:variant>
        <vt:i4>3407997</vt:i4>
      </vt:variant>
      <vt:variant>
        <vt:i4>273</vt:i4>
      </vt:variant>
      <vt:variant>
        <vt:i4>0</vt:i4>
      </vt:variant>
      <vt:variant>
        <vt:i4>5</vt:i4>
      </vt:variant>
      <vt:variant>
        <vt:lpwstr>http://www.ecfr.gov/cgi-bin/text-idx?tpl=/ecfrbrowse/Title40/40cfr89_main_02.tpl</vt:lpwstr>
      </vt:variant>
      <vt:variant>
        <vt:lpwstr/>
      </vt:variant>
      <vt:variant>
        <vt:i4>2097196</vt:i4>
      </vt:variant>
      <vt:variant>
        <vt:i4>270</vt:i4>
      </vt:variant>
      <vt:variant>
        <vt:i4>0</vt:i4>
      </vt:variant>
      <vt:variant>
        <vt:i4>5</vt:i4>
      </vt:variant>
      <vt:variant>
        <vt:lpwstr>http://www.ecfr.gov/cgi-bin/text-idx?c=ecfr;rgn=div6;view=text;node=40%3A14.0.1.1.1.1;idno=40;sid=e94dcfde4a04b27290c445a56e635e58;cc=ecfr</vt:lpwstr>
      </vt:variant>
      <vt:variant>
        <vt:lpwstr/>
      </vt:variant>
      <vt:variant>
        <vt:i4>1376339</vt:i4>
      </vt:variant>
      <vt:variant>
        <vt:i4>267</vt:i4>
      </vt:variant>
      <vt:variant>
        <vt:i4>0</vt:i4>
      </vt:variant>
      <vt:variant>
        <vt:i4>5</vt:i4>
      </vt:variant>
      <vt:variant>
        <vt:lpwstr>http://www.ecfr.gov/cgi-bin/retrieveECFR?gp=&amp;SID=5cad118045b921585dbef4079dc88e3a&amp;r=SUBPART&amp;n=40y7.0.1.1.1.97</vt:lpwstr>
      </vt:variant>
      <vt:variant>
        <vt:lpwstr/>
      </vt:variant>
      <vt:variant>
        <vt:i4>1966127</vt:i4>
      </vt:variant>
      <vt:variant>
        <vt:i4>264</vt:i4>
      </vt:variant>
      <vt:variant>
        <vt:i4>0</vt:i4>
      </vt:variant>
      <vt:variant>
        <vt:i4>5</vt:i4>
      </vt:variant>
      <vt:variant>
        <vt:lpwstr>http://www.ge-energy.com/content/multimedia/_files/downloads/GEA18457A_7FA_GI_7-27-11_r1.pdf</vt:lpwstr>
      </vt:variant>
      <vt:variant>
        <vt:lpwstr/>
      </vt:variant>
      <vt:variant>
        <vt:i4>3604586</vt:i4>
      </vt:variant>
      <vt:variant>
        <vt:i4>255</vt:i4>
      </vt:variant>
      <vt:variant>
        <vt:i4>0</vt:i4>
      </vt:variant>
      <vt:variant>
        <vt:i4>5</vt:i4>
      </vt:variant>
      <vt:variant>
        <vt:lpwstr>http://www.scribd.com/doc/44554552/7FA-GT-Classic-Re-Imagined-GEA17911</vt:lpwstr>
      </vt:variant>
      <vt:variant>
        <vt:lpwstr/>
      </vt:variant>
      <vt:variant>
        <vt:i4>2818102</vt:i4>
      </vt:variant>
      <vt:variant>
        <vt:i4>192</vt:i4>
      </vt:variant>
      <vt:variant>
        <vt:i4>0</vt:i4>
      </vt:variant>
      <vt:variant>
        <vt:i4>5</vt:i4>
      </vt:variant>
      <vt:variant>
        <vt:lpwstr>http://www.ecfr.gov/cgi-bin/text-idx?c=ecfr;sid=6cf296a286d1a8e3defa20ad9a375138;rgn=div6;view=text;node=40%3A13.0.1.1.1.31;idno=40;cc=ecfr</vt:lpwstr>
      </vt:variant>
      <vt:variant>
        <vt:lpwstr/>
      </vt:variant>
      <vt:variant>
        <vt:i4>8323118</vt:i4>
      </vt:variant>
      <vt:variant>
        <vt:i4>180</vt:i4>
      </vt:variant>
      <vt:variant>
        <vt:i4>0</vt:i4>
      </vt:variant>
      <vt:variant>
        <vt:i4>5</vt:i4>
      </vt:variant>
      <vt:variant>
        <vt:lpwstr>http://www.ecfr.gov/cgi-bin/text-idx?c=ecfr;sid=86adad5cd90377b914f73235b8506ef6;rgn=div6;view=text;node=40%3A7.0.1.1.1.99;idno=40;cc=ecfr</vt:lpwstr>
      </vt:variant>
      <vt:variant>
        <vt:lpwstr/>
      </vt:variant>
      <vt:variant>
        <vt:i4>6291571</vt:i4>
      </vt:variant>
      <vt:variant>
        <vt:i4>63</vt:i4>
      </vt:variant>
      <vt:variant>
        <vt:i4>0</vt:i4>
      </vt:variant>
      <vt:variant>
        <vt:i4>5</vt:i4>
      </vt:variant>
      <vt:variant>
        <vt:lpwstr>http://www.dep.state.fl.us/air/rules/fac/62-297.pdf</vt:lpwstr>
      </vt:variant>
      <vt:variant>
        <vt:lpwstr/>
      </vt:variant>
      <vt:variant>
        <vt:i4>6291570</vt:i4>
      </vt:variant>
      <vt:variant>
        <vt:i4>60</vt:i4>
      </vt:variant>
      <vt:variant>
        <vt:i4>0</vt:i4>
      </vt:variant>
      <vt:variant>
        <vt:i4>5</vt:i4>
      </vt:variant>
      <vt:variant>
        <vt:lpwstr>http://www.dep.state.fl.us/air/rules/fac/62-296.pdf</vt:lpwstr>
      </vt:variant>
      <vt:variant>
        <vt:lpwstr/>
      </vt:variant>
      <vt:variant>
        <vt:i4>6815863</vt:i4>
      </vt:variant>
      <vt:variant>
        <vt:i4>57</vt:i4>
      </vt:variant>
      <vt:variant>
        <vt:i4>0</vt:i4>
      </vt:variant>
      <vt:variant>
        <vt:i4>5</vt:i4>
      </vt:variant>
      <vt:variant>
        <vt:lpwstr>http://www.dep.state.fl.us/air/rules/fac/62-213.pdf</vt:lpwstr>
      </vt:variant>
      <vt:variant>
        <vt:lpwstr/>
      </vt:variant>
      <vt:variant>
        <vt:i4>6815862</vt:i4>
      </vt:variant>
      <vt:variant>
        <vt:i4>54</vt:i4>
      </vt:variant>
      <vt:variant>
        <vt:i4>0</vt:i4>
      </vt:variant>
      <vt:variant>
        <vt:i4>5</vt:i4>
      </vt:variant>
      <vt:variant>
        <vt:lpwstr>http://www.dep.state.fl.us/air/rules/fac/62-212.pdf</vt:lpwstr>
      </vt:variant>
      <vt:variant>
        <vt:lpwstr/>
      </vt:variant>
      <vt:variant>
        <vt:i4>6815860</vt:i4>
      </vt:variant>
      <vt:variant>
        <vt:i4>51</vt:i4>
      </vt:variant>
      <vt:variant>
        <vt:i4>0</vt:i4>
      </vt:variant>
      <vt:variant>
        <vt:i4>5</vt:i4>
      </vt:variant>
      <vt:variant>
        <vt:lpwstr>http://www.dep.state.fl.us/air/rules/fac/62-210.pdf</vt:lpwstr>
      </vt:variant>
      <vt:variant>
        <vt:lpwstr/>
      </vt:variant>
      <vt:variant>
        <vt:i4>6881392</vt:i4>
      </vt:variant>
      <vt:variant>
        <vt:i4>48</vt:i4>
      </vt:variant>
      <vt:variant>
        <vt:i4>0</vt:i4>
      </vt:variant>
      <vt:variant>
        <vt:i4>5</vt:i4>
      </vt:variant>
      <vt:variant>
        <vt:lpwstr>http://www.dep.state.fl.us/air/rules/fac/62-204.pdf</vt:lpwstr>
      </vt:variant>
      <vt:variant>
        <vt:lpwstr/>
      </vt:variant>
      <vt:variant>
        <vt:i4>589842</vt:i4>
      </vt:variant>
      <vt:variant>
        <vt:i4>45</vt:i4>
      </vt:variant>
      <vt:variant>
        <vt:i4>0</vt:i4>
      </vt:variant>
      <vt:variant>
        <vt:i4>5</vt:i4>
      </vt:variant>
      <vt:variant>
        <vt:lpwstr>http://www.dep.state.fl.us/siting/files/rules_statutes/pps_rule.pdf</vt:lpwstr>
      </vt:variant>
      <vt:variant>
        <vt:lpwstr/>
      </vt:variant>
      <vt:variant>
        <vt:i4>5832770</vt:i4>
      </vt:variant>
      <vt:variant>
        <vt:i4>42</vt:i4>
      </vt:variant>
      <vt:variant>
        <vt:i4>0</vt:i4>
      </vt:variant>
      <vt:variant>
        <vt:i4>5</vt:i4>
      </vt:variant>
      <vt:variant>
        <vt:lpwstr>http://www.dep.state.fl.us/air/rules/fac/62-4.pdf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Prelimnary Determination</dc:title>
  <dc:subject>Draft Permit</dc:subject>
  <cp:keywords/>
  <dc:description/>
  <cp:lastModifiedBy>Read, David</cp:lastModifiedBy>
  <cp:revision>25</cp:revision>
  <cp:lastPrinted>2014-01-29T12:54:00Z</cp:lastPrinted>
  <dcterms:created xsi:type="dcterms:W3CDTF">2014-01-27T17:43:00Z</dcterms:created>
  <dcterms:modified xsi:type="dcterms:W3CDTF">2014-02-27T17:14:00Z</dcterms:modified>
</cp:coreProperties>
</file>