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B65" w:rsidRPr="00B41AC1" w:rsidRDefault="00594B65" w:rsidP="00594B65">
      <w:pPr>
        <w:pStyle w:val="Heading5"/>
        <w:keepNext w:val="0"/>
        <w:spacing w:before="60"/>
        <w:jc w:val="left"/>
        <w:rPr>
          <w:szCs w:val="22"/>
        </w:rPr>
      </w:pPr>
      <w:r w:rsidRPr="00B41AC1">
        <w:rPr>
          <w:szCs w:val="22"/>
        </w:rPr>
        <w:t>PERMITTEE</w:t>
      </w:r>
    </w:p>
    <w:p w:rsidR="00BB349C" w:rsidRDefault="00BB349C" w:rsidP="00BB349C">
      <w:pPr>
        <w:tabs>
          <w:tab w:val="left" w:pos="360"/>
          <w:tab w:val="left" w:pos="720"/>
          <w:tab w:val="left" w:pos="1080"/>
          <w:tab w:val="left" w:pos="1440"/>
          <w:tab w:val="right" w:pos="10080"/>
        </w:tabs>
        <w:rPr>
          <w:sz w:val="22"/>
          <w:szCs w:val="22"/>
        </w:rPr>
      </w:pPr>
      <w:r>
        <w:rPr>
          <w:sz w:val="22"/>
          <w:szCs w:val="22"/>
        </w:rPr>
        <w:t>Florida Power Corporation</w:t>
      </w:r>
    </w:p>
    <w:p w:rsidR="00BB349C" w:rsidRDefault="00BB349C" w:rsidP="00BB349C">
      <w:pPr>
        <w:tabs>
          <w:tab w:val="left" w:pos="360"/>
          <w:tab w:val="left" w:pos="720"/>
          <w:tab w:val="left" w:pos="1080"/>
          <w:tab w:val="left" w:pos="1440"/>
          <w:tab w:val="right" w:pos="10080"/>
        </w:tabs>
        <w:rPr>
          <w:sz w:val="22"/>
          <w:szCs w:val="22"/>
        </w:rPr>
      </w:pPr>
      <w:r>
        <w:rPr>
          <w:sz w:val="22"/>
          <w:szCs w:val="22"/>
        </w:rPr>
        <w:t>d/b/a Progress Energy Florida</w:t>
      </w:r>
      <w:r w:rsidR="00CB4C99">
        <w:rPr>
          <w:sz w:val="22"/>
          <w:szCs w:val="22"/>
        </w:rPr>
        <w:t xml:space="preserve"> (PEF)</w:t>
      </w:r>
      <w:r>
        <w:rPr>
          <w:sz w:val="22"/>
          <w:szCs w:val="22"/>
        </w:rPr>
        <w:t>, Inc.</w:t>
      </w:r>
    </w:p>
    <w:p w:rsidR="00BB349C" w:rsidRPr="00057DE7" w:rsidRDefault="00BB349C" w:rsidP="00BB349C">
      <w:pPr>
        <w:tabs>
          <w:tab w:val="left" w:pos="360"/>
          <w:tab w:val="left" w:pos="720"/>
          <w:tab w:val="left" w:pos="1080"/>
          <w:tab w:val="left" w:pos="1440"/>
          <w:tab w:val="right" w:pos="10080"/>
        </w:tabs>
        <w:rPr>
          <w:sz w:val="22"/>
          <w:szCs w:val="22"/>
        </w:rPr>
      </w:pPr>
      <w:r w:rsidRPr="00057DE7">
        <w:rPr>
          <w:sz w:val="22"/>
          <w:szCs w:val="22"/>
        </w:rPr>
        <w:t>Direct Subsidiary of Duke Energy Corporation</w:t>
      </w:r>
    </w:p>
    <w:p w:rsidR="00057DE7" w:rsidRPr="0096018F" w:rsidRDefault="00057DE7" w:rsidP="00057DE7">
      <w:pPr>
        <w:rPr>
          <w:sz w:val="22"/>
          <w:szCs w:val="22"/>
        </w:rPr>
      </w:pPr>
      <w:r w:rsidRPr="0096018F">
        <w:rPr>
          <w:sz w:val="22"/>
          <w:szCs w:val="22"/>
        </w:rPr>
        <w:t>1729 Baillies Bluff Road</w:t>
      </w:r>
    </w:p>
    <w:p w:rsidR="00BB349C" w:rsidRPr="000472DA" w:rsidRDefault="00057DE7" w:rsidP="00057DE7">
      <w:pPr>
        <w:tabs>
          <w:tab w:val="left" w:pos="360"/>
          <w:tab w:val="left" w:pos="720"/>
          <w:tab w:val="left" w:pos="1080"/>
          <w:tab w:val="left" w:pos="1440"/>
          <w:tab w:val="right" w:pos="10080"/>
        </w:tabs>
        <w:rPr>
          <w:sz w:val="22"/>
          <w:szCs w:val="22"/>
        </w:rPr>
      </w:pPr>
      <w:r w:rsidRPr="0096018F">
        <w:rPr>
          <w:sz w:val="22"/>
          <w:szCs w:val="22"/>
        </w:rPr>
        <w:t>Holiday, Florida 34691-9753</w:t>
      </w:r>
    </w:p>
    <w:p w:rsidR="00594B65" w:rsidRPr="00B41AC1" w:rsidRDefault="00594B65" w:rsidP="00A05957">
      <w:pPr>
        <w:pStyle w:val="Heading5"/>
        <w:keepNext w:val="0"/>
        <w:spacing w:before="60"/>
        <w:jc w:val="left"/>
        <w:rPr>
          <w:caps/>
          <w:szCs w:val="22"/>
        </w:rPr>
      </w:pPr>
      <w:r w:rsidRPr="00B41AC1">
        <w:rPr>
          <w:caps/>
          <w:szCs w:val="22"/>
        </w:rPr>
        <w:t>Permitting Authority</w:t>
      </w:r>
    </w:p>
    <w:p w:rsidR="00594B65" w:rsidRPr="00B41AC1" w:rsidRDefault="00594B65" w:rsidP="00594B65">
      <w:pPr>
        <w:pStyle w:val="Header"/>
        <w:tabs>
          <w:tab w:val="clear" w:pos="4320"/>
          <w:tab w:val="clear" w:pos="8640"/>
          <w:tab w:val="center" w:pos="6840"/>
        </w:tabs>
        <w:rPr>
          <w:sz w:val="22"/>
          <w:szCs w:val="22"/>
        </w:rPr>
      </w:pPr>
      <w:r w:rsidRPr="00B41AC1">
        <w:rPr>
          <w:sz w:val="22"/>
          <w:szCs w:val="22"/>
        </w:rPr>
        <w:t>Florida Department of Environmental Protection</w:t>
      </w:r>
      <w:r w:rsidR="00287C1F">
        <w:rPr>
          <w:sz w:val="22"/>
          <w:szCs w:val="22"/>
        </w:rPr>
        <w:t xml:space="preserve"> (Department)</w:t>
      </w:r>
    </w:p>
    <w:p w:rsidR="00594B65" w:rsidRPr="00A05957" w:rsidRDefault="00594B65" w:rsidP="00594B65">
      <w:pPr>
        <w:pStyle w:val="Header"/>
        <w:rPr>
          <w:sz w:val="22"/>
          <w:szCs w:val="22"/>
        </w:rPr>
      </w:pPr>
      <w:r w:rsidRPr="00B41AC1">
        <w:rPr>
          <w:sz w:val="22"/>
          <w:szCs w:val="22"/>
        </w:rPr>
        <w:t>Division of Air Resource Managemen</w:t>
      </w:r>
      <w:r w:rsidRPr="00A05957">
        <w:rPr>
          <w:sz w:val="22"/>
          <w:szCs w:val="22"/>
        </w:rPr>
        <w:t>t</w:t>
      </w:r>
    </w:p>
    <w:p w:rsidR="00594B65" w:rsidRPr="00A05957" w:rsidRDefault="0084732C" w:rsidP="00594B65">
      <w:pPr>
        <w:pStyle w:val="Header"/>
        <w:rPr>
          <w:sz w:val="22"/>
          <w:szCs w:val="22"/>
        </w:rPr>
      </w:pPr>
      <w:r w:rsidRPr="00A05957">
        <w:rPr>
          <w:sz w:val="22"/>
          <w:szCs w:val="22"/>
        </w:rPr>
        <w:t>Office of Permitting and Compliance</w:t>
      </w:r>
    </w:p>
    <w:p w:rsidR="00594B65" w:rsidRPr="00A05957" w:rsidRDefault="00594B65" w:rsidP="00594B65">
      <w:pPr>
        <w:rPr>
          <w:sz w:val="22"/>
          <w:szCs w:val="22"/>
        </w:rPr>
      </w:pPr>
      <w:smartTag w:uri="urn:schemas-microsoft-com:office:smarttags" w:element="place">
        <w:smartTag w:uri="urn:schemas-microsoft-com:office:smarttags" w:element="City">
          <w:r w:rsidRPr="00A05957">
            <w:rPr>
              <w:sz w:val="22"/>
              <w:szCs w:val="22"/>
            </w:rPr>
            <w:t>2600</w:t>
          </w:r>
        </w:smartTag>
        <w:r w:rsidRPr="00A05957">
          <w:rPr>
            <w:sz w:val="22"/>
            <w:szCs w:val="22"/>
          </w:rPr>
          <w:t xml:space="preserve"> Blair Stone Road, </w:t>
        </w:r>
        <w:smartTag w:uri="urn:schemas-microsoft-com:office:smarttags" w:element="State">
          <w:r w:rsidRPr="00A05957">
            <w:rPr>
              <w:sz w:val="22"/>
              <w:szCs w:val="22"/>
            </w:rPr>
            <w:t>MS</w:t>
          </w:r>
        </w:smartTag>
      </w:smartTag>
      <w:r w:rsidRPr="00A05957">
        <w:rPr>
          <w:sz w:val="22"/>
          <w:szCs w:val="22"/>
        </w:rPr>
        <w:t xml:space="preserve"> #5505</w:t>
      </w:r>
    </w:p>
    <w:p w:rsidR="00E32A27" w:rsidRDefault="00594B65" w:rsidP="00E32A27">
      <w:pPr>
        <w:spacing w:after="120"/>
        <w:rPr>
          <w:sz w:val="22"/>
          <w:szCs w:val="22"/>
        </w:rPr>
      </w:pPr>
      <w:r w:rsidRPr="00A05957">
        <w:rPr>
          <w:sz w:val="22"/>
          <w:szCs w:val="22"/>
        </w:rPr>
        <w:t xml:space="preserve">Tallahassee, Florida </w:t>
      </w:r>
      <w:r w:rsidR="00A05957">
        <w:rPr>
          <w:sz w:val="22"/>
          <w:szCs w:val="22"/>
        </w:rPr>
        <w:t xml:space="preserve"> </w:t>
      </w:r>
      <w:r w:rsidRPr="00A05957">
        <w:rPr>
          <w:sz w:val="22"/>
          <w:szCs w:val="22"/>
        </w:rPr>
        <w:t>32399-2400</w:t>
      </w:r>
    </w:p>
    <w:p w:rsidR="00594B65" w:rsidRPr="00B41AC1" w:rsidRDefault="00594B65" w:rsidP="00E32A27">
      <w:pPr>
        <w:pStyle w:val="Heading5"/>
        <w:keepNext w:val="0"/>
        <w:spacing w:before="60"/>
        <w:jc w:val="left"/>
        <w:rPr>
          <w:szCs w:val="22"/>
        </w:rPr>
      </w:pPr>
      <w:r w:rsidRPr="00B41AC1">
        <w:rPr>
          <w:szCs w:val="22"/>
        </w:rPr>
        <w:t>PROJECT</w:t>
      </w:r>
    </w:p>
    <w:p w:rsidR="00BB349C" w:rsidRPr="000472DA" w:rsidRDefault="00BB349C" w:rsidP="00BB349C">
      <w:pPr>
        <w:tabs>
          <w:tab w:val="right" w:pos="10080"/>
        </w:tabs>
        <w:rPr>
          <w:sz w:val="22"/>
          <w:szCs w:val="22"/>
        </w:rPr>
      </w:pPr>
      <w:r w:rsidRPr="000472DA">
        <w:rPr>
          <w:sz w:val="22"/>
          <w:szCs w:val="22"/>
        </w:rPr>
        <w:t xml:space="preserve">Air Permit No. </w:t>
      </w:r>
      <w:r w:rsidR="00057DE7" w:rsidRPr="0096018F">
        <w:rPr>
          <w:sz w:val="22"/>
          <w:szCs w:val="22"/>
        </w:rPr>
        <w:t>1010017-0</w:t>
      </w:r>
      <w:r w:rsidR="00CD3EC2">
        <w:rPr>
          <w:sz w:val="22"/>
          <w:szCs w:val="22"/>
        </w:rPr>
        <w:t>13</w:t>
      </w:r>
      <w:r w:rsidR="00057DE7" w:rsidRPr="0096018F">
        <w:rPr>
          <w:sz w:val="22"/>
          <w:szCs w:val="22"/>
        </w:rPr>
        <w:t>-AC (PSD-FL-419)</w:t>
      </w:r>
    </w:p>
    <w:p w:rsidR="00BB349C" w:rsidRDefault="00057DE7" w:rsidP="00BB349C">
      <w:pPr>
        <w:tabs>
          <w:tab w:val="right" w:pos="10080"/>
        </w:tabs>
        <w:rPr>
          <w:sz w:val="22"/>
          <w:szCs w:val="22"/>
        </w:rPr>
      </w:pPr>
      <w:r w:rsidRPr="0096018F">
        <w:rPr>
          <w:sz w:val="22"/>
          <w:szCs w:val="22"/>
        </w:rPr>
        <w:t>Anclote Power Plant</w:t>
      </w:r>
      <w:r>
        <w:rPr>
          <w:sz w:val="22"/>
          <w:szCs w:val="22"/>
        </w:rPr>
        <w:t xml:space="preserve"> </w:t>
      </w:r>
      <w:r w:rsidR="00BB349C">
        <w:rPr>
          <w:sz w:val="22"/>
          <w:szCs w:val="22"/>
        </w:rPr>
        <w:t>Units 1 and 2</w:t>
      </w:r>
    </w:p>
    <w:p w:rsidR="00E32A27" w:rsidRDefault="00057DE7" w:rsidP="00BB349C">
      <w:pPr>
        <w:spacing w:after="120"/>
        <w:rPr>
          <w:sz w:val="22"/>
          <w:szCs w:val="22"/>
        </w:rPr>
      </w:pPr>
      <w:r w:rsidRPr="0096018F">
        <w:rPr>
          <w:sz w:val="22"/>
          <w:szCs w:val="22"/>
        </w:rPr>
        <w:t>Natural Gas Conversion Project</w:t>
      </w:r>
    </w:p>
    <w:p w:rsidR="0025697A" w:rsidRDefault="0025697A" w:rsidP="0025697A">
      <w:pPr>
        <w:pStyle w:val="BodyText3"/>
        <w:autoSpaceDE w:val="0"/>
        <w:jc w:val="left"/>
        <w:rPr>
          <w:szCs w:val="22"/>
        </w:rPr>
      </w:pPr>
      <w:r w:rsidRPr="00715CAF">
        <w:rPr>
          <w:szCs w:val="22"/>
        </w:rPr>
        <w:t xml:space="preserve">This is the final air construction permit, </w:t>
      </w:r>
      <w:r>
        <w:rPr>
          <w:szCs w:val="22"/>
        </w:rPr>
        <w:t xml:space="preserve">which authorizes </w:t>
      </w:r>
      <w:r w:rsidRPr="0096018F">
        <w:rPr>
          <w:bCs/>
          <w:szCs w:val="22"/>
        </w:rPr>
        <w:t>conver</w:t>
      </w:r>
      <w:r>
        <w:rPr>
          <w:bCs/>
          <w:szCs w:val="22"/>
        </w:rPr>
        <w:t xml:space="preserve">sion of </w:t>
      </w:r>
      <w:r w:rsidRPr="0096018F">
        <w:rPr>
          <w:bCs/>
          <w:szCs w:val="22"/>
        </w:rPr>
        <w:t>Units 1 and 2 and associated equipment from present use of heavy fuel oil and natural gas to exclusive use of natural gas</w:t>
      </w:r>
      <w:r>
        <w:rPr>
          <w:bCs/>
          <w:szCs w:val="22"/>
        </w:rPr>
        <w:t xml:space="preserve"> and establishes permit limits for nitrogen oxides (NO</w:t>
      </w:r>
      <w:r w:rsidR="00AF3D2C" w:rsidRPr="00AF3D2C">
        <w:rPr>
          <w:bCs/>
          <w:szCs w:val="22"/>
          <w:vertAlign w:val="subscript"/>
        </w:rPr>
        <w:t>X</w:t>
      </w:r>
      <w:r w:rsidR="0091563B">
        <w:rPr>
          <w:bCs/>
          <w:szCs w:val="22"/>
        </w:rPr>
        <w:t xml:space="preserve">) </w:t>
      </w:r>
      <w:r>
        <w:rPr>
          <w:bCs/>
          <w:szCs w:val="22"/>
        </w:rPr>
        <w:t xml:space="preserve">and carbon monoxide (CO).  </w:t>
      </w:r>
      <w:r>
        <w:rPr>
          <w:szCs w:val="22"/>
        </w:rPr>
        <w:t xml:space="preserve">The proposed work </w:t>
      </w:r>
      <w:r w:rsidRPr="000472DA">
        <w:rPr>
          <w:szCs w:val="22"/>
        </w:rPr>
        <w:t xml:space="preserve">will </w:t>
      </w:r>
      <w:r>
        <w:rPr>
          <w:szCs w:val="22"/>
        </w:rPr>
        <w:t xml:space="preserve">be conducted </w:t>
      </w:r>
      <w:r w:rsidRPr="000472DA">
        <w:rPr>
          <w:szCs w:val="22"/>
        </w:rPr>
        <w:t xml:space="preserve">at the </w:t>
      </w:r>
      <w:r>
        <w:rPr>
          <w:szCs w:val="22"/>
        </w:rPr>
        <w:t>existing Anc</w:t>
      </w:r>
      <w:r w:rsidRPr="0096018F">
        <w:rPr>
          <w:szCs w:val="22"/>
        </w:rPr>
        <w:t>lote Power Plant</w:t>
      </w:r>
      <w:r>
        <w:rPr>
          <w:szCs w:val="22"/>
        </w:rPr>
        <w:t>,</w:t>
      </w:r>
      <w:r w:rsidRPr="0096018F">
        <w:rPr>
          <w:szCs w:val="22"/>
        </w:rPr>
        <w:t xml:space="preserve"> located in Pasco County at 1729 Baillies Bluff Road, Holiday, Florida.</w:t>
      </w:r>
      <w:r w:rsidRPr="000472DA">
        <w:rPr>
          <w:szCs w:val="22"/>
        </w:rPr>
        <w:t xml:space="preserve">  The UTM coordinates are </w:t>
      </w:r>
      <w:r w:rsidRPr="00430C62">
        <w:rPr>
          <w:bCs/>
          <w:szCs w:val="22"/>
        </w:rPr>
        <w:t>Zone 17, 324.4 km East and 3118.7 km North</w:t>
      </w:r>
      <w:r>
        <w:rPr>
          <w:bCs/>
          <w:szCs w:val="22"/>
        </w:rPr>
        <w:t>.</w:t>
      </w:r>
    </w:p>
    <w:p w:rsidR="00594B65" w:rsidRPr="00B41AC1" w:rsidRDefault="00594B65" w:rsidP="00594B65">
      <w:pPr>
        <w:pStyle w:val="Heading5"/>
        <w:keepNext w:val="0"/>
        <w:spacing w:before="60"/>
        <w:jc w:val="left"/>
        <w:rPr>
          <w:szCs w:val="22"/>
        </w:rPr>
      </w:pPr>
      <w:r w:rsidRPr="00B41AC1">
        <w:rPr>
          <w:szCs w:val="22"/>
        </w:rPr>
        <w:t>NOTICE AND PUBLICATION</w:t>
      </w:r>
    </w:p>
    <w:p w:rsidR="00594B65" w:rsidRPr="00B41AC1" w:rsidRDefault="00594B65" w:rsidP="00594B65">
      <w:pPr>
        <w:spacing w:after="120"/>
        <w:rPr>
          <w:sz w:val="22"/>
          <w:szCs w:val="22"/>
        </w:rPr>
      </w:pPr>
      <w:r w:rsidRPr="00B41AC1">
        <w:rPr>
          <w:sz w:val="22"/>
          <w:szCs w:val="22"/>
        </w:rPr>
        <w:t>The Department distributed a</w:t>
      </w:r>
      <w:r w:rsidR="00AC7766">
        <w:rPr>
          <w:sz w:val="22"/>
          <w:szCs w:val="22"/>
        </w:rPr>
        <w:t xml:space="preserve"> </w:t>
      </w:r>
      <w:r w:rsidR="00106B44">
        <w:rPr>
          <w:sz w:val="22"/>
          <w:szCs w:val="22"/>
        </w:rPr>
        <w:t xml:space="preserve">major stationary source modification </w:t>
      </w:r>
      <w:r w:rsidR="00AC7766">
        <w:rPr>
          <w:sz w:val="22"/>
          <w:szCs w:val="22"/>
        </w:rPr>
        <w:t xml:space="preserve">air </w:t>
      </w:r>
      <w:r w:rsidR="00836F59">
        <w:rPr>
          <w:sz w:val="22"/>
          <w:szCs w:val="22"/>
        </w:rPr>
        <w:t xml:space="preserve">construction </w:t>
      </w:r>
      <w:r w:rsidR="00106B44">
        <w:rPr>
          <w:sz w:val="22"/>
          <w:szCs w:val="22"/>
        </w:rPr>
        <w:t xml:space="preserve">(PSD) draft </w:t>
      </w:r>
      <w:r w:rsidR="00AC7766">
        <w:rPr>
          <w:sz w:val="22"/>
          <w:szCs w:val="22"/>
        </w:rPr>
        <w:t>p</w:t>
      </w:r>
      <w:r w:rsidRPr="00B41AC1">
        <w:rPr>
          <w:sz w:val="22"/>
          <w:szCs w:val="22"/>
        </w:rPr>
        <w:t xml:space="preserve">ermit package on </w:t>
      </w:r>
      <w:r w:rsidR="00055D34">
        <w:rPr>
          <w:sz w:val="22"/>
          <w:szCs w:val="22"/>
        </w:rPr>
        <w:t>J</w:t>
      </w:r>
      <w:r w:rsidR="00536E44">
        <w:rPr>
          <w:sz w:val="22"/>
          <w:szCs w:val="22"/>
        </w:rPr>
        <w:t>u</w:t>
      </w:r>
      <w:r w:rsidR="00E32A27">
        <w:rPr>
          <w:sz w:val="22"/>
          <w:szCs w:val="22"/>
        </w:rPr>
        <w:t xml:space="preserve">ly </w:t>
      </w:r>
      <w:r w:rsidR="00356426">
        <w:rPr>
          <w:sz w:val="22"/>
          <w:szCs w:val="22"/>
        </w:rPr>
        <w:t>3</w:t>
      </w:r>
      <w:r w:rsidR="0025697A">
        <w:rPr>
          <w:sz w:val="22"/>
          <w:szCs w:val="22"/>
        </w:rPr>
        <w:t>0</w:t>
      </w:r>
      <w:r w:rsidR="00536E44">
        <w:rPr>
          <w:sz w:val="22"/>
          <w:szCs w:val="22"/>
        </w:rPr>
        <w:t>, 2012</w:t>
      </w:r>
      <w:r w:rsidRPr="00B41AC1">
        <w:rPr>
          <w:sz w:val="22"/>
          <w:szCs w:val="22"/>
        </w:rPr>
        <w:t xml:space="preserve">.  The applicant published the Public Notice in the </w:t>
      </w:r>
      <w:r w:rsidR="0025697A">
        <w:rPr>
          <w:sz w:val="22"/>
          <w:szCs w:val="22"/>
          <w:u w:val="single"/>
        </w:rPr>
        <w:t>Pasco Times</w:t>
      </w:r>
      <w:r w:rsidRPr="00B41AC1">
        <w:rPr>
          <w:sz w:val="22"/>
          <w:szCs w:val="22"/>
        </w:rPr>
        <w:t xml:space="preserve"> on </w:t>
      </w:r>
      <w:r w:rsidR="00055D34">
        <w:rPr>
          <w:sz w:val="22"/>
          <w:szCs w:val="22"/>
        </w:rPr>
        <w:t xml:space="preserve">August </w:t>
      </w:r>
      <w:r w:rsidR="0025697A">
        <w:rPr>
          <w:sz w:val="22"/>
          <w:szCs w:val="22"/>
        </w:rPr>
        <w:t>4</w:t>
      </w:r>
      <w:r w:rsidR="00055D34">
        <w:rPr>
          <w:sz w:val="22"/>
          <w:szCs w:val="22"/>
        </w:rPr>
        <w:t xml:space="preserve">, </w:t>
      </w:r>
      <w:r w:rsidR="00536E44">
        <w:rPr>
          <w:sz w:val="22"/>
          <w:szCs w:val="22"/>
        </w:rPr>
        <w:t>2012</w:t>
      </w:r>
      <w:r w:rsidRPr="00B41AC1">
        <w:rPr>
          <w:sz w:val="22"/>
          <w:szCs w:val="22"/>
        </w:rPr>
        <w:t xml:space="preserve">.  The Department received the proof of publication on </w:t>
      </w:r>
      <w:r w:rsidR="00055D34">
        <w:rPr>
          <w:sz w:val="22"/>
          <w:szCs w:val="22"/>
        </w:rPr>
        <w:t>August 9, 2012</w:t>
      </w:r>
      <w:r w:rsidRPr="00B41AC1">
        <w:rPr>
          <w:sz w:val="22"/>
          <w:szCs w:val="22"/>
        </w:rPr>
        <w:t xml:space="preserve">.  </w:t>
      </w:r>
      <w:r w:rsidR="00AC7766" w:rsidRPr="00536E44">
        <w:rPr>
          <w:sz w:val="22"/>
          <w:szCs w:val="22"/>
        </w:rPr>
        <w:t>No requests for administrative hearings or requests for extensions of time to file a petition for administrative hearing were received.</w:t>
      </w:r>
      <w:r w:rsidR="00EF7EE8">
        <w:rPr>
          <w:sz w:val="22"/>
          <w:szCs w:val="22"/>
          <w:highlight w:val="yellow"/>
        </w:rPr>
        <w:t xml:space="preserve">  </w:t>
      </w:r>
    </w:p>
    <w:p w:rsidR="00594B65" w:rsidRPr="00B41AC1" w:rsidRDefault="00594B65" w:rsidP="00594B65">
      <w:pPr>
        <w:pStyle w:val="Heading1"/>
        <w:keepNext w:val="0"/>
        <w:spacing w:before="60"/>
        <w:rPr>
          <w:szCs w:val="22"/>
        </w:rPr>
      </w:pPr>
      <w:r w:rsidRPr="00B41AC1">
        <w:rPr>
          <w:szCs w:val="22"/>
        </w:rPr>
        <w:t>COMMENTS</w:t>
      </w:r>
    </w:p>
    <w:p w:rsidR="00FB7AC6" w:rsidRDefault="00594B65" w:rsidP="009D4442">
      <w:pPr>
        <w:pStyle w:val="BodyText3"/>
        <w:jc w:val="left"/>
        <w:rPr>
          <w:szCs w:val="22"/>
        </w:rPr>
      </w:pPr>
      <w:r w:rsidRPr="00B41AC1">
        <w:rPr>
          <w:szCs w:val="22"/>
        </w:rPr>
        <w:t xml:space="preserve">No comments on the </w:t>
      </w:r>
      <w:r w:rsidR="00536E44">
        <w:rPr>
          <w:szCs w:val="22"/>
        </w:rPr>
        <w:t>d</w:t>
      </w:r>
      <w:r w:rsidRPr="00B41AC1">
        <w:rPr>
          <w:szCs w:val="22"/>
        </w:rPr>
        <w:t xml:space="preserve">raft </w:t>
      </w:r>
      <w:r w:rsidR="00536E44">
        <w:rPr>
          <w:szCs w:val="22"/>
        </w:rPr>
        <w:t>p</w:t>
      </w:r>
      <w:r w:rsidRPr="00B41AC1">
        <w:rPr>
          <w:szCs w:val="22"/>
        </w:rPr>
        <w:t xml:space="preserve">ermit were received from </w:t>
      </w:r>
      <w:r w:rsidR="00F77A18">
        <w:rPr>
          <w:szCs w:val="22"/>
        </w:rPr>
        <w:t xml:space="preserve">individual members of </w:t>
      </w:r>
      <w:r w:rsidRPr="00B41AC1">
        <w:rPr>
          <w:szCs w:val="22"/>
        </w:rPr>
        <w:t xml:space="preserve">the </w:t>
      </w:r>
      <w:r w:rsidRPr="009B1934">
        <w:rPr>
          <w:szCs w:val="22"/>
        </w:rPr>
        <w:t>public</w:t>
      </w:r>
      <w:r w:rsidR="00FB7AC6">
        <w:rPr>
          <w:szCs w:val="22"/>
        </w:rPr>
        <w:t xml:space="preserve">.  </w:t>
      </w:r>
      <w:r w:rsidR="00CB4C99">
        <w:rPr>
          <w:szCs w:val="22"/>
        </w:rPr>
        <w:t xml:space="preserve">Comments were received from the applicant (PEF) </w:t>
      </w:r>
      <w:r w:rsidR="0025697A">
        <w:rPr>
          <w:szCs w:val="22"/>
        </w:rPr>
        <w:t xml:space="preserve">on August 28, 2012 and </w:t>
      </w:r>
      <w:r w:rsidR="00FB7AC6">
        <w:rPr>
          <w:szCs w:val="22"/>
        </w:rPr>
        <w:t xml:space="preserve">from the </w:t>
      </w:r>
      <w:r w:rsidR="00FB7AC6" w:rsidRPr="009B1934">
        <w:rPr>
          <w:szCs w:val="22"/>
        </w:rPr>
        <w:t>EPA Region 4 Office</w:t>
      </w:r>
      <w:r w:rsidR="00FB7AC6">
        <w:rPr>
          <w:szCs w:val="22"/>
        </w:rPr>
        <w:t xml:space="preserve"> on September 4, 2012.  </w:t>
      </w:r>
    </w:p>
    <w:p w:rsidR="00900669" w:rsidRDefault="00900669" w:rsidP="00900669">
      <w:pPr>
        <w:pStyle w:val="BodyText3"/>
        <w:numPr>
          <w:ilvl w:val="0"/>
          <w:numId w:val="13"/>
        </w:numPr>
        <w:ind w:left="360" w:hanging="360"/>
        <w:jc w:val="left"/>
        <w:rPr>
          <w:szCs w:val="22"/>
        </w:rPr>
      </w:pPr>
      <w:r>
        <w:rPr>
          <w:szCs w:val="22"/>
        </w:rPr>
        <w:t>REVIEW OF COMMENTS FROM PROGRESS ENERGY FLORIDA</w:t>
      </w:r>
    </w:p>
    <w:p w:rsidR="00542833" w:rsidRDefault="00900669" w:rsidP="009D4442">
      <w:pPr>
        <w:pStyle w:val="BodyText3"/>
        <w:jc w:val="left"/>
        <w:rPr>
          <w:szCs w:val="22"/>
        </w:rPr>
      </w:pPr>
      <w:r>
        <w:rPr>
          <w:szCs w:val="22"/>
        </w:rPr>
        <w:t xml:space="preserve">The comments from PEF were received </w:t>
      </w:r>
      <w:r w:rsidR="0025697A">
        <w:rPr>
          <w:szCs w:val="22"/>
        </w:rPr>
        <w:t>within the 30-day comment period</w:t>
      </w:r>
      <w:r w:rsidR="00AF3D2C">
        <w:rPr>
          <w:szCs w:val="22"/>
        </w:rPr>
        <w:t xml:space="preserve">. </w:t>
      </w:r>
      <w:r w:rsidR="00FB7AC6">
        <w:rPr>
          <w:szCs w:val="22"/>
        </w:rPr>
        <w:t xml:space="preserve"> </w:t>
      </w:r>
      <w:hyperlink r:id="rId8" w:history="1">
        <w:r w:rsidR="00AF3D2C">
          <w:rPr>
            <w:rStyle w:val="Hyperlink"/>
            <w:szCs w:val="22"/>
          </w:rPr>
          <w:t xml:space="preserve">Link </w:t>
        </w:r>
        <w:r w:rsidR="00AF3D2C">
          <w:rPr>
            <w:rStyle w:val="Hyperlink"/>
            <w:szCs w:val="22"/>
          </w:rPr>
          <w:t>t</w:t>
        </w:r>
        <w:r w:rsidR="00AF3D2C">
          <w:rPr>
            <w:rStyle w:val="Hyperlink"/>
            <w:szCs w:val="22"/>
          </w:rPr>
          <w:t>o PEF Comments</w:t>
        </w:r>
      </w:hyperlink>
      <w:r w:rsidR="00AF3D2C">
        <w:rPr>
          <w:szCs w:val="22"/>
        </w:rPr>
        <w:t xml:space="preserve"> .  </w:t>
      </w:r>
      <w:r w:rsidR="009D4442">
        <w:rPr>
          <w:szCs w:val="22"/>
        </w:rPr>
        <w:t xml:space="preserve">The key comments contained in the </w:t>
      </w:r>
      <w:r w:rsidR="00AF3D2C">
        <w:rPr>
          <w:szCs w:val="22"/>
        </w:rPr>
        <w:t xml:space="preserve">PEF document </w:t>
      </w:r>
      <w:r w:rsidR="00CB4C99">
        <w:rPr>
          <w:szCs w:val="22"/>
        </w:rPr>
        <w:t xml:space="preserve">are </w:t>
      </w:r>
      <w:r w:rsidR="00055D34">
        <w:rPr>
          <w:szCs w:val="22"/>
        </w:rPr>
        <w:t xml:space="preserve">repeated or paraphrased </w:t>
      </w:r>
      <w:r w:rsidR="00055D34">
        <w:rPr>
          <w:i/>
          <w:szCs w:val="22"/>
        </w:rPr>
        <w:t>(in italics)</w:t>
      </w:r>
      <w:r w:rsidR="00055D34">
        <w:rPr>
          <w:szCs w:val="22"/>
        </w:rPr>
        <w:t xml:space="preserve"> below and followed by the Department’s response.</w:t>
      </w:r>
    </w:p>
    <w:p w:rsidR="00963CB0" w:rsidRPr="00963CB0" w:rsidRDefault="00542833" w:rsidP="000D1932">
      <w:pPr>
        <w:pStyle w:val="Default"/>
        <w:numPr>
          <w:ilvl w:val="0"/>
          <w:numId w:val="9"/>
        </w:numPr>
        <w:spacing w:after="120"/>
        <w:ind w:left="360"/>
        <w:rPr>
          <w:sz w:val="22"/>
          <w:szCs w:val="22"/>
        </w:rPr>
      </w:pPr>
      <w:r>
        <w:rPr>
          <w:i/>
          <w:sz w:val="22"/>
          <w:szCs w:val="22"/>
          <w:u w:val="single"/>
        </w:rPr>
        <w:t>Permit Facility Description</w:t>
      </w:r>
      <w:r w:rsidR="00125671" w:rsidRPr="00A670BC">
        <w:rPr>
          <w:i/>
          <w:sz w:val="22"/>
          <w:szCs w:val="22"/>
        </w:rPr>
        <w:t>:</w:t>
      </w:r>
      <w:r>
        <w:rPr>
          <w:i/>
          <w:sz w:val="22"/>
          <w:szCs w:val="22"/>
        </w:rPr>
        <w:t xml:space="preserve">  </w:t>
      </w:r>
      <w:r w:rsidR="00E45286" w:rsidRPr="008403AF">
        <w:rPr>
          <w:i/>
          <w:sz w:val="22"/>
          <w:szCs w:val="22"/>
        </w:rPr>
        <w:t>The</w:t>
      </w:r>
      <w:r w:rsidR="00125671" w:rsidRPr="008403AF">
        <w:rPr>
          <w:i/>
          <w:sz w:val="22"/>
          <w:szCs w:val="22"/>
        </w:rPr>
        <w:t xml:space="preserve"> </w:t>
      </w:r>
      <w:r>
        <w:rPr>
          <w:i/>
          <w:sz w:val="22"/>
          <w:szCs w:val="22"/>
        </w:rPr>
        <w:t xml:space="preserve">date in which natural gas </w:t>
      </w:r>
      <w:r w:rsidR="00963CB0">
        <w:rPr>
          <w:i/>
          <w:sz w:val="22"/>
          <w:szCs w:val="22"/>
        </w:rPr>
        <w:t xml:space="preserve">firing </w:t>
      </w:r>
      <w:r>
        <w:rPr>
          <w:i/>
          <w:sz w:val="22"/>
          <w:szCs w:val="22"/>
        </w:rPr>
        <w:t>capability was installed is incorrect.  The year noted (1998) was the year in which the final permit authorizing the installation of the natural gas burners was issued</w:t>
      </w:r>
      <w:r w:rsidR="00963CB0">
        <w:rPr>
          <w:i/>
          <w:sz w:val="22"/>
          <w:szCs w:val="22"/>
        </w:rPr>
        <w:t xml:space="preserve"> ….”  PEF requests the following change </w:t>
      </w:r>
      <w:r w:rsidR="002F62B7">
        <w:rPr>
          <w:i/>
          <w:sz w:val="22"/>
          <w:szCs w:val="22"/>
        </w:rPr>
        <w:t xml:space="preserve">in the Facility Description Section </w:t>
      </w:r>
      <w:r w:rsidR="00963CB0">
        <w:rPr>
          <w:i/>
          <w:sz w:val="22"/>
          <w:szCs w:val="22"/>
        </w:rPr>
        <w:t xml:space="preserve">(shown in </w:t>
      </w:r>
      <w:r w:rsidR="00963CB0" w:rsidRPr="002F62B7">
        <w:rPr>
          <w:i/>
          <w:strike/>
          <w:sz w:val="22"/>
          <w:szCs w:val="22"/>
        </w:rPr>
        <w:t>strike-out</w:t>
      </w:r>
      <w:r w:rsidR="00963CB0">
        <w:rPr>
          <w:i/>
          <w:sz w:val="22"/>
          <w:szCs w:val="22"/>
        </w:rPr>
        <w:t xml:space="preserve"> and </w:t>
      </w:r>
      <w:r w:rsidR="00963CB0" w:rsidRPr="002F62B7">
        <w:rPr>
          <w:i/>
          <w:sz w:val="22"/>
          <w:szCs w:val="22"/>
          <w:u w:val="double"/>
        </w:rPr>
        <w:t>double underlined</w:t>
      </w:r>
      <w:r w:rsidR="00963CB0">
        <w:rPr>
          <w:i/>
          <w:sz w:val="22"/>
          <w:szCs w:val="22"/>
        </w:rPr>
        <w:t xml:space="preserve"> format):</w:t>
      </w:r>
    </w:p>
    <w:p w:rsidR="00542833" w:rsidRDefault="00963CB0" w:rsidP="00542833">
      <w:pPr>
        <w:pStyle w:val="Default"/>
        <w:spacing w:after="120"/>
        <w:ind w:left="360"/>
        <w:rPr>
          <w:i/>
          <w:sz w:val="22"/>
          <w:szCs w:val="22"/>
          <w:u w:val="double"/>
        </w:rPr>
      </w:pPr>
      <w:r w:rsidRPr="00963CB0">
        <w:rPr>
          <w:i/>
          <w:sz w:val="22"/>
          <w:szCs w:val="22"/>
        </w:rPr>
        <w:t xml:space="preserve">Units 1 and 2 are residual fuel oil and natural gas-fired steam electric generating units.  Each boiler provides steam to a steam turbine-electric generator with a gross nameplate </w:t>
      </w:r>
      <w:r w:rsidR="00542833" w:rsidRPr="00963CB0">
        <w:rPr>
          <w:i/>
          <w:sz w:val="22"/>
          <w:szCs w:val="22"/>
        </w:rPr>
        <w:t xml:space="preserve">rating of 556.2 megawatts (MW). </w:t>
      </w:r>
      <w:r>
        <w:rPr>
          <w:i/>
          <w:sz w:val="22"/>
          <w:szCs w:val="22"/>
        </w:rPr>
        <w:t xml:space="preserve"> </w:t>
      </w:r>
      <w:r w:rsidR="00542833" w:rsidRPr="00963CB0">
        <w:rPr>
          <w:i/>
          <w:sz w:val="22"/>
          <w:szCs w:val="22"/>
        </w:rPr>
        <w:t>Units 1 and 2 began commercial operation in 1974 and</w:t>
      </w:r>
      <w:r w:rsidRPr="00963CB0">
        <w:rPr>
          <w:i/>
          <w:sz w:val="22"/>
          <w:szCs w:val="22"/>
        </w:rPr>
        <w:t xml:space="preserve"> </w:t>
      </w:r>
      <w:r w:rsidR="00542833" w:rsidRPr="00963CB0">
        <w:rPr>
          <w:i/>
          <w:sz w:val="22"/>
          <w:szCs w:val="22"/>
        </w:rPr>
        <w:t xml:space="preserve">1978, respectively as residual fuel oil units. </w:t>
      </w:r>
      <w:r>
        <w:rPr>
          <w:i/>
          <w:sz w:val="22"/>
          <w:szCs w:val="22"/>
        </w:rPr>
        <w:t xml:space="preserve"> </w:t>
      </w:r>
      <w:r w:rsidR="00542833" w:rsidRPr="00963CB0">
        <w:rPr>
          <w:i/>
          <w:strike/>
          <w:sz w:val="22"/>
          <w:szCs w:val="22"/>
        </w:rPr>
        <w:t>Limited natural gas firing capability of 2,300</w:t>
      </w:r>
      <w:r w:rsidRPr="00963CB0">
        <w:rPr>
          <w:i/>
          <w:strike/>
          <w:sz w:val="22"/>
          <w:szCs w:val="22"/>
        </w:rPr>
        <w:t xml:space="preserve"> </w:t>
      </w:r>
      <w:r w:rsidR="00542833" w:rsidRPr="00963CB0">
        <w:rPr>
          <w:i/>
          <w:strike/>
          <w:sz w:val="22"/>
          <w:szCs w:val="22"/>
        </w:rPr>
        <w:t>million Btu per hour (MMBtu/hour) was installed on each in 1998.</w:t>
      </w:r>
      <w:r>
        <w:rPr>
          <w:i/>
          <w:strike/>
          <w:sz w:val="22"/>
          <w:szCs w:val="22"/>
        </w:rPr>
        <w:t xml:space="preserve"> </w:t>
      </w:r>
      <w:r w:rsidR="00542833" w:rsidRPr="00963CB0">
        <w:rPr>
          <w:i/>
          <w:strike/>
          <w:sz w:val="22"/>
          <w:szCs w:val="22"/>
        </w:rPr>
        <w:t xml:space="preserve"> </w:t>
      </w:r>
      <w:r w:rsidR="00542833" w:rsidRPr="00963CB0">
        <w:rPr>
          <w:i/>
          <w:sz w:val="22"/>
          <w:szCs w:val="22"/>
          <w:u w:val="double"/>
        </w:rPr>
        <w:t>An Air Construction</w:t>
      </w:r>
      <w:r w:rsidRPr="00963CB0">
        <w:rPr>
          <w:i/>
          <w:sz w:val="22"/>
          <w:szCs w:val="22"/>
          <w:u w:val="double"/>
        </w:rPr>
        <w:t xml:space="preserve"> </w:t>
      </w:r>
      <w:r w:rsidR="00542833" w:rsidRPr="00963CB0">
        <w:rPr>
          <w:i/>
          <w:sz w:val="22"/>
          <w:szCs w:val="22"/>
          <w:u w:val="double"/>
        </w:rPr>
        <w:t>permit for installation of limited natural gas firing capability of 2,300 million Btu per hour</w:t>
      </w:r>
      <w:r w:rsidRPr="00963CB0">
        <w:rPr>
          <w:i/>
          <w:sz w:val="22"/>
          <w:szCs w:val="22"/>
          <w:u w:val="double"/>
        </w:rPr>
        <w:t xml:space="preserve"> </w:t>
      </w:r>
      <w:r w:rsidR="00542833" w:rsidRPr="00963CB0">
        <w:rPr>
          <w:i/>
          <w:sz w:val="22"/>
          <w:szCs w:val="22"/>
          <w:u w:val="double"/>
        </w:rPr>
        <w:t>(MMBtu/hour) was issued in October 1998.</w:t>
      </w:r>
    </w:p>
    <w:p w:rsidR="002F62B7" w:rsidRPr="002F62B7" w:rsidRDefault="002F62B7" w:rsidP="00542833">
      <w:pPr>
        <w:pStyle w:val="Default"/>
        <w:spacing w:after="120"/>
        <w:ind w:left="360"/>
        <w:rPr>
          <w:sz w:val="22"/>
          <w:szCs w:val="22"/>
        </w:rPr>
      </w:pPr>
      <w:r w:rsidRPr="008403AF">
        <w:rPr>
          <w:sz w:val="22"/>
          <w:szCs w:val="22"/>
          <w:u w:val="single"/>
        </w:rPr>
        <w:t>Department Response</w:t>
      </w:r>
      <w:r w:rsidRPr="008403AF">
        <w:rPr>
          <w:sz w:val="22"/>
          <w:szCs w:val="22"/>
        </w:rPr>
        <w:t xml:space="preserve">:  The Department </w:t>
      </w:r>
      <w:r>
        <w:rPr>
          <w:sz w:val="22"/>
          <w:szCs w:val="22"/>
        </w:rPr>
        <w:t>will make the requested change</w:t>
      </w:r>
      <w:r w:rsidRPr="008403AF">
        <w:rPr>
          <w:sz w:val="22"/>
          <w:szCs w:val="22"/>
        </w:rPr>
        <w:t xml:space="preserve">.  </w:t>
      </w:r>
    </w:p>
    <w:p w:rsidR="00542833" w:rsidRPr="00963CB0" w:rsidRDefault="000F3FF0" w:rsidP="000F3FF0">
      <w:pPr>
        <w:pStyle w:val="Default"/>
        <w:numPr>
          <w:ilvl w:val="0"/>
          <w:numId w:val="9"/>
        </w:numPr>
        <w:spacing w:after="120"/>
        <w:ind w:left="360"/>
        <w:rPr>
          <w:sz w:val="22"/>
          <w:szCs w:val="22"/>
        </w:rPr>
      </w:pPr>
      <w:r>
        <w:rPr>
          <w:i/>
          <w:sz w:val="22"/>
          <w:szCs w:val="22"/>
          <w:u w:val="single"/>
        </w:rPr>
        <w:lastRenderedPageBreak/>
        <w:t>Section 3.A</w:t>
      </w:r>
      <w:r w:rsidR="005C3481">
        <w:rPr>
          <w:i/>
          <w:sz w:val="22"/>
          <w:szCs w:val="22"/>
          <w:u w:val="single"/>
        </w:rPr>
        <w:t>.</w:t>
      </w:r>
      <w:r>
        <w:rPr>
          <w:i/>
          <w:sz w:val="22"/>
          <w:szCs w:val="22"/>
          <w:u w:val="single"/>
        </w:rPr>
        <w:t>, Specific Condition 1</w:t>
      </w:r>
      <w:r w:rsidR="002F62B7" w:rsidRPr="002F62B7">
        <w:rPr>
          <w:i/>
          <w:sz w:val="22"/>
          <w:szCs w:val="22"/>
        </w:rPr>
        <w:t>:  Same comment</w:t>
      </w:r>
      <w:r w:rsidR="002F62B7">
        <w:rPr>
          <w:i/>
          <w:sz w:val="22"/>
          <w:szCs w:val="22"/>
        </w:rPr>
        <w:t xml:space="preserve"> as above.  PEF requests correction of the date given in the condition from 1999 to 1998</w:t>
      </w:r>
      <w:r w:rsidR="00DB5441">
        <w:rPr>
          <w:i/>
          <w:sz w:val="22"/>
          <w:szCs w:val="22"/>
        </w:rPr>
        <w:t>.</w:t>
      </w:r>
      <w:r w:rsidR="002F62B7" w:rsidRPr="002F62B7">
        <w:rPr>
          <w:i/>
          <w:sz w:val="22"/>
          <w:szCs w:val="22"/>
        </w:rPr>
        <w:t xml:space="preserve"> </w:t>
      </w:r>
    </w:p>
    <w:p w:rsidR="00DB5441" w:rsidRDefault="00E45286" w:rsidP="000D1932">
      <w:pPr>
        <w:pStyle w:val="Default"/>
        <w:spacing w:after="120"/>
        <w:ind w:left="360"/>
        <w:rPr>
          <w:sz w:val="22"/>
          <w:szCs w:val="22"/>
        </w:rPr>
      </w:pPr>
      <w:r w:rsidRPr="008403AF">
        <w:rPr>
          <w:sz w:val="22"/>
          <w:szCs w:val="22"/>
          <w:u w:val="single"/>
        </w:rPr>
        <w:t>Department Response</w:t>
      </w:r>
      <w:r w:rsidRPr="008403AF">
        <w:rPr>
          <w:sz w:val="22"/>
          <w:szCs w:val="22"/>
        </w:rPr>
        <w:t xml:space="preserve">:  The </w:t>
      </w:r>
      <w:r w:rsidR="00125671" w:rsidRPr="008403AF">
        <w:rPr>
          <w:sz w:val="22"/>
          <w:szCs w:val="22"/>
        </w:rPr>
        <w:t xml:space="preserve">Department </w:t>
      </w:r>
      <w:r w:rsidR="00DB5441">
        <w:rPr>
          <w:sz w:val="22"/>
          <w:szCs w:val="22"/>
        </w:rPr>
        <w:t>will make the requested change.</w:t>
      </w:r>
    </w:p>
    <w:p w:rsidR="00B212AF" w:rsidRPr="00B212AF" w:rsidRDefault="00CA0433" w:rsidP="00CA0433">
      <w:pPr>
        <w:pStyle w:val="Default"/>
        <w:numPr>
          <w:ilvl w:val="0"/>
          <w:numId w:val="9"/>
        </w:numPr>
        <w:spacing w:after="120"/>
        <w:ind w:left="360"/>
        <w:rPr>
          <w:sz w:val="22"/>
          <w:szCs w:val="22"/>
        </w:rPr>
      </w:pPr>
      <w:r>
        <w:rPr>
          <w:i/>
          <w:sz w:val="22"/>
          <w:szCs w:val="22"/>
          <w:u w:val="single"/>
        </w:rPr>
        <w:t>Section 3.A</w:t>
      </w:r>
      <w:r w:rsidR="005C3481">
        <w:rPr>
          <w:i/>
          <w:sz w:val="22"/>
          <w:szCs w:val="22"/>
          <w:u w:val="single"/>
        </w:rPr>
        <w:t>.</w:t>
      </w:r>
      <w:r>
        <w:rPr>
          <w:i/>
          <w:sz w:val="22"/>
          <w:szCs w:val="22"/>
          <w:u w:val="single"/>
        </w:rPr>
        <w:t xml:space="preserve">, Specific Condition </w:t>
      </w:r>
      <w:r w:rsidR="00B212AF">
        <w:rPr>
          <w:i/>
          <w:sz w:val="22"/>
          <w:szCs w:val="22"/>
          <w:u w:val="single"/>
        </w:rPr>
        <w:t>2</w:t>
      </w:r>
      <w:r w:rsidRPr="002F62B7">
        <w:rPr>
          <w:i/>
          <w:sz w:val="22"/>
          <w:szCs w:val="22"/>
        </w:rPr>
        <w:t xml:space="preserve">:  </w:t>
      </w:r>
      <w:r w:rsidR="00B212AF" w:rsidRPr="00B212AF">
        <w:rPr>
          <w:i/>
          <w:sz w:val="22"/>
          <w:szCs w:val="22"/>
        </w:rPr>
        <w:t>PEF would like to specifically call out</w:t>
      </w:r>
      <w:r w:rsidR="00B212AF">
        <w:rPr>
          <w:i/>
          <w:sz w:val="22"/>
          <w:szCs w:val="22"/>
        </w:rPr>
        <w:t xml:space="preserve"> the </w:t>
      </w:r>
      <w:r w:rsidR="00B212AF" w:rsidRPr="00B212AF">
        <w:rPr>
          <w:i/>
          <w:sz w:val="22"/>
          <w:szCs w:val="22"/>
          <w:u w:val="single"/>
        </w:rPr>
        <w:t>known</w:t>
      </w:r>
      <w:r w:rsidR="00B212AF">
        <w:rPr>
          <w:i/>
          <w:sz w:val="22"/>
          <w:szCs w:val="22"/>
        </w:rPr>
        <w:t xml:space="preserve"> work items presently consolidated as Specific Condition 2.f</w:t>
      </w:r>
      <w:r w:rsidR="00B212AF" w:rsidRPr="00B212AF">
        <w:rPr>
          <w:i/>
          <w:sz w:val="22"/>
          <w:szCs w:val="22"/>
        </w:rPr>
        <w:t>.</w:t>
      </w:r>
      <w:r w:rsidR="00B212AF">
        <w:rPr>
          <w:i/>
          <w:sz w:val="22"/>
          <w:szCs w:val="22"/>
        </w:rPr>
        <w:t xml:space="preserve"> “</w:t>
      </w:r>
      <w:r w:rsidR="00B212AF" w:rsidRPr="00B212AF">
        <w:rPr>
          <w:i/>
          <w:sz w:val="22"/>
          <w:szCs w:val="22"/>
        </w:rPr>
        <w:t>Other modifications to maintain the gross generating capacity or improve the net generating capacity of the units</w:t>
      </w:r>
      <w:r w:rsidR="00B212AF">
        <w:rPr>
          <w:i/>
          <w:sz w:val="22"/>
          <w:szCs w:val="22"/>
        </w:rPr>
        <w:t>”</w:t>
      </w:r>
      <w:r w:rsidR="00B212AF" w:rsidRPr="00B212AF">
        <w:rPr>
          <w:i/>
          <w:sz w:val="22"/>
          <w:szCs w:val="22"/>
        </w:rPr>
        <w:t>.</w:t>
      </w:r>
      <w:r w:rsidR="00B212AF">
        <w:rPr>
          <w:i/>
          <w:sz w:val="22"/>
          <w:szCs w:val="22"/>
        </w:rPr>
        <w:t xml:space="preserve">  Revise Specific Condition 2 as follows:</w:t>
      </w:r>
    </w:p>
    <w:p w:rsidR="00B212AF" w:rsidRPr="00B212AF" w:rsidRDefault="00B212AF" w:rsidP="00B212AF">
      <w:pPr>
        <w:pStyle w:val="Default"/>
        <w:spacing w:after="120"/>
        <w:ind w:left="360"/>
        <w:rPr>
          <w:i/>
          <w:sz w:val="22"/>
          <w:szCs w:val="22"/>
        </w:rPr>
      </w:pPr>
      <w:r w:rsidRPr="00B212AF">
        <w:rPr>
          <w:i/>
          <w:sz w:val="22"/>
          <w:szCs w:val="22"/>
          <w:u w:val="single"/>
        </w:rPr>
        <w:t>Natural Gas Conversion Project</w:t>
      </w:r>
      <w:r w:rsidRPr="00B212AF">
        <w:rPr>
          <w:rFonts w:ascii="ZWAdobeF" w:hAnsi="ZWAdobeF" w:cs="ZWAdobeF"/>
          <w:i/>
          <w:sz w:val="2"/>
          <w:szCs w:val="2"/>
        </w:rPr>
        <w:t>UU</w:t>
      </w:r>
      <w:r w:rsidRPr="00B212AF">
        <w:rPr>
          <w:i/>
          <w:sz w:val="22"/>
          <w:szCs w:val="22"/>
        </w:rPr>
        <w:t xml:space="preserve">:  For Units 1 and 2, the permittee is authorized to perform the following work to </w:t>
      </w:r>
      <w:r w:rsidRPr="00B212AF">
        <w:rPr>
          <w:bCs/>
          <w:i/>
          <w:sz w:val="22"/>
          <w:szCs w:val="22"/>
        </w:rPr>
        <w:t>convert Units 1 and 2 and associated equipment from present use of heavy fuel oil and natural gas to exclusive use of natural gas.</w:t>
      </w:r>
    </w:p>
    <w:p w:rsidR="00B212AF" w:rsidRPr="00B212AF" w:rsidRDefault="00B212AF" w:rsidP="00B212AF">
      <w:pPr>
        <w:numPr>
          <w:ilvl w:val="1"/>
          <w:numId w:val="14"/>
        </w:numPr>
        <w:tabs>
          <w:tab w:val="clear" w:pos="2020"/>
        </w:tabs>
        <w:spacing w:after="60"/>
        <w:ind w:left="720" w:hanging="360"/>
        <w:rPr>
          <w:i/>
          <w:sz w:val="22"/>
          <w:szCs w:val="22"/>
        </w:rPr>
      </w:pPr>
      <w:r w:rsidRPr="00B212AF">
        <w:rPr>
          <w:i/>
          <w:sz w:val="22"/>
          <w:szCs w:val="22"/>
        </w:rPr>
        <w:t>Three additional levels of natural gas burners per furnace;</w:t>
      </w:r>
    </w:p>
    <w:p w:rsidR="00B212AF" w:rsidRPr="00B212AF" w:rsidRDefault="00B212AF" w:rsidP="00B212AF">
      <w:pPr>
        <w:numPr>
          <w:ilvl w:val="1"/>
          <w:numId w:val="14"/>
        </w:numPr>
        <w:tabs>
          <w:tab w:val="clear" w:pos="2020"/>
        </w:tabs>
        <w:spacing w:after="60"/>
        <w:ind w:left="720" w:hanging="360"/>
        <w:rPr>
          <w:i/>
          <w:sz w:val="22"/>
          <w:szCs w:val="22"/>
        </w:rPr>
      </w:pPr>
      <w:r w:rsidRPr="00B212AF">
        <w:rPr>
          <w:i/>
          <w:sz w:val="22"/>
          <w:szCs w:val="22"/>
        </w:rPr>
        <w:t>Superheater surface area reductions;</w:t>
      </w:r>
    </w:p>
    <w:p w:rsidR="00B212AF" w:rsidRPr="00B212AF" w:rsidRDefault="00B212AF" w:rsidP="00B212AF">
      <w:pPr>
        <w:numPr>
          <w:ilvl w:val="1"/>
          <w:numId w:val="14"/>
        </w:numPr>
        <w:tabs>
          <w:tab w:val="clear" w:pos="2020"/>
        </w:tabs>
        <w:spacing w:after="60"/>
        <w:ind w:left="720" w:hanging="360"/>
        <w:rPr>
          <w:i/>
          <w:sz w:val="22"/>
          <w:szCs w:val="22"/>
        </w:rPr>
      </w:pPr>
      <w:r w:rsidRPr="00B212AF">
        <w:rPr>
          <w:i/>
          <w:sz w:val="22"/>
          <w:szCs w:val="22"/>
        </w:rPr>
        <w:t>Disabling of residual fuel oil firing capability;</w:t>
      </w:r>
    </w:p>
    <w:p w:rsidR="00B212AF" w:rsidRPr="00B212AF" w:rsidRDefault="00B212AF" w:rsidP="00B212AF">
      <w:pPr>
        <w:numPr>
          <w:ilvl w:val="1"/>
          <w:numId w:val="14"/>
        </w:numPr>
        <w:tabs>
          <w:tab w:val="clear" w:pos="2020"/>
        </w:tabs>
        <w:spacing w:after="60"/>
        <w:ind w:left="720" w:hanging="360"/>
        <w:rPr>
          <w:i/>
          <w:sz w:val="22"/>
          <w:szCs w:val="22"/>
        </w:rPr>
      </w:pPr>
      <w:r w:rsidRPr="00B212AF">
        <w:rPr>
          <w:i/>
          <w:sz w:val="22"/>
          <w:szCs w:val="22"/>
        </w:rPr>
        <w:t xml:space="preserve">Upgrade of superheater metallurgy; </w:t>
      </w:r>
    </w:p>
    <w:p w:rsidR="00B212AF" w:rsidRDefault="00B212AF" w:rsidP="00B212AF">
      <w:pPr>
        <w:numPr>
          <w:ilvl w:val="1"/>
          <w:numId w:val="14"/>
        </w:numPr>
        <w:tabs>
          <w:tab w:val="clear" w:pos="2020"/>
          <w:tab w:val="num" w:pos="720"/>
        </w:tabs>
        <w:spacing w:after="60"/>
        <w:ind w:left="720" w:hanging="360"/>
        <w:rPr>
          <w:i/>
          <w:sz w:val="22"/>
          <w:szCs w:val="22"/>
        </w:rPr>
      </w:pPr>
      <w:r w:rsidRPr="00B212AF">
        <w:rPr>
          <w:i/>
          <w:sz w:val="22"/>
          <w:szCs w:val="22"/>
        </w:rPr>
        <w:t>Upgrade of the burner control and management system;</w:t>
      </w:r>
    </w:p>
    <w:p w:rsidR="00B212AF" w:rsidRPr="00B212AF" w:rsidRDefault="00B212AF" w:rsidP="001C288C">
      <w:pPr>
        <w:numPr>
          <w:ilvl w:val="0"/>
          <w:numId w:val="16"/>
        </w:numPr>
        <w:tabs>
          <w:tab w:val="clear" w:pos="2020"/>
          <w:tab w:val="num" w:pos="720"/>
        </w:tabs>
        <w:spacing w:after="60"/>
        <w:ind w:hanging="1660"/>
        <w:rPr>
          <w:i/>
          <w:sz w:val="22"/>
          <w:szCs w:val="22"/>
          <w:u w:val="double"/>
        </w:rPr>
      </w:pPr>
      <w:r w:rsidRPr="00B212AF">
        <w:rPr>
          <w:i/>
          <w:iCs/>
          <w:sz w:val="22"/>
          <w:szCs w:val="22"/>
          <w:u w:val="double"/>
        </w:rPr>
        <w:t>Replacement/upgrade of the forced draft (FD) fan in each unit;</w:t>
      </w:r>
    </w:p>
    <w:p w:rsidR="00B212AF" w:rsidRDefault="001C288C" w:rsidP="001C288C">
      <w:pPr>
        <w:numPr>
          <w:ilvl w:val="0"/>
          <w:numId w:val="16"/>
        </w:numPr>
        <w:tabs>
          <w:tab w:val="clear" w:pos="2020"/>
          <w:tab w:val="num" w:pos="720"/>
        </w:tabs>
        <w:spacing w:after="60"/>
        <w:ind w:hanging="1660"/>
        <w:rPr>
          <w:i/>
          <w:iCs/>
          <w:sz w:val="22"/>
          <w:szCs w:val="22"/>
          <w:u w:val="double"/>
        </w:rPr>
      </w:pPr>
      <w:r w:rsidRPr="001C288C">
        <w:rPr>
          <w:i/>
          <w:iCs/>
          <w:sz w:val="22"/>
          <w:szCs w:val="22"/>
          <w:u w:val="double"/>
        </w:rPr>
        <w:t>Addition of two (2) fuel gas heaters;</w:t>
      </w:r>
    </w:p>
    <w:p w:rsidR="001C288C" w:rsidRDefault="001C288C" w:rsidP="001C288C">
      <w:pPr>
        <w:numPr>
          <w:ilvl w:val="0"/>
          <w:numId w:val="16"/>
        </w:numPr>
        <w:tabs>
          <w:tab w:val="clear" w:pos="2020"/>
          <w:tab w:val="num" w:pos="720"/>
        </w:tabs>
        <w:spacing w:after="60"/>
        <w:ind w:hanging="1660"/>
        <w:rPr>
          <w:i/>
          <w:iCs/>
          <w:sz w:val="22"/>
          <w:szCs w:val="22"/>
          <w:u w:val="double"/>
        </w:rPr>
      </w:pPr>
      <w:r w:rsidRPr="001C288C">
        <w:rPr>
          <w:i/>
          <w:iCs/>
          <w:sz w:val="22"/>
          <w:szCs w:val="22"/>
          <w:u w:val="double"/>
        </w:rPr>
        <w:t>Modifications to the natural gas delivery systems;</w:t>
      </w:r>
    </w:p>
    <w:p w:rsidR="001C288C" w:rsidRDefault="001C288C" w:rsidP="001C288C">
      <w:pPr>
        <w:numPr>
          <w:ilvl w:val="0"/>
          <w:numId w:val="16"/>
        </w:numPr>
        <w:tabs>
          <w:tab w:val="clear" w:pos="2020"/>
          <w:tab w:val="num" w:pos="720"/>
        </w:tabs>
        <w:spacing w:after="60"/>
        <w:ind w:hanging="1660"/>
        <w:rPr>
          <w:i/>
          <w:iCs/>
          <w:sz w:val="22"/>
          <w:szCs w:val="22"/>
          <w:u w:val="double"/>
        </w:rPr>
      </w:pPr>
      <w:r w:rsidRPr="001C288C">
        <w:rPr>
          <w:i/>
          <w:iCs/>
          <w:sz w:val="22"/>
          <w:szCs w:val="22"/>
          <w:u w:val="double"/>
        </w:rPr>
        <w:t>Replacement of the existing natural gas metering and regulating (M&amp;R) station;</w:t>
      </w:r>
    </w:p>
    <w:p w:rsidR="00B212AF" w:rsidRPr="001C288C" w:rsidRDefault="00AE599C" w:rsidP="00AE599C">
      <w:pPr>
        <w:numPr>
          <w:ilvl w:val="0"/>
          <w:numId w:val="16"/>
        </w:numPr>
        <w:tabs>
          <w:tab w:val="clear" w:pos="2020"/>
          <w:tab w:val="num" w:pos="540"/>
          <w:tab w:val="left" w:pos="720"/>
        </w:tabs>
        <w:spacing w:after="60"/>
        <w:ind w:left="720" w:hanging="360"/>
        <w:rPr>
          <w:i/>
          <w:iCs/>
          <w:sz w:val="22"/>
          <w:szCs w:val="22"/>
          <w:u w:val="double"/>
        </w:rPr>
      </w:pPr>
      <w:r>
        <w:rPr>
          <w:i/>
          <w:strike/>
          <w:sz w:val="22"/>
          <w:szCs w:val="22"/>
        </w:rPr>
        <w:t>f</w:t>
      </w:r>
      <w:r w:rsidRPr="00AE599C">
        <w:rPr>
          <w:i/>
          <w:sz w:val="22"/>
          <w:szCs w:val="22"/>
        </w:rPr>
        <w:tab/>
      </w:r>
      <w:r w:rsidR="00B212AF" w:rsidRPr="00B212AF">
        <w:rPr>
          <w:i/>
          <w:sz w:val="22"/>
          <w:szCs w:val="22"/>
        </w:rPr>
        <w:t>Other modifications to maintain the gross generating capacity or improve the net generating capacity of the units.</w:t>
      </w:r>
    </w:p>
    <w:p w:rsidR="009D67C3" w:rsidRPr="00E254EE" w:rsidRDefault="00AE599C" w:rsidP="00E254EE">
      <w:pPr>
        <w:pStyle w:val="Default"/>
        <w:numPr>
          <w:ilvl w:val="0"/>
          <w:numId w:val="9"/>
        </w:numPr>
        <w:spacing w:after="120"/>
        <w:ind w:left="360"/>
        <w:rPr>
          <w:sz w:val="22"/>
          <w:szCs w:val="22"/>
        </w:rPr>
      </w:pPr>
      <w:r w:rsidRPr="009D67C3">
        <w:rPr>
          <w:i/>
          <w:color w:val="000000" w:themeColor="text1"/>
          <w:sz w:val="22"/>
          <w:szCs w:val="22"/>
          <w:u w:val="single"/>
        </w:rPr>
        <w:t>Section 3.A</w:t>
      </w:r>
      <w:r w:rsidR="005C3481">
        <w:rPr>
          <w:i/>
          <w:color w:val="000000" w:themeColor="text1"/>
          <w:sz w:val="22"/>
          <w:szCs w:val="22"/>
          <w:u w:val="single"/>
        </w:rPr>
        <w:t>.</w:t>
      </w:r>
      <w:r w:rsidRPr="009D67C3">
        <w:rPr>
          <w:i/>
          <w:color w:val="000000" w:themeColor="text1"/>
          <w:sz w:val="22"/>
          <w:szCs w:val="22"/>
          <w:u w:val="single"/>
        </w:rPr>
        <w:t xml:space="preserve">, Specific Condition </w:t>
      </w:r>
      <w:r w:rsidR="009D67C3">
        <w:rPr>
          <w:i/>
          <w:color w:val="000000" w:themeColor="text1"/>
          <w:sz w:val="22"/>
          <w:szCs w:val="22"/>
          <w:u w:val="single"/>
        </w:rPr>
        <w:t>7.</w:t>
      </w:r>
      <w:r w:rsidRPr="009D67C3">
        <w:rPr>
          <w:i/>
          <w:color w:val="000000" w:themeColor="text1"/>
          <w:sz w:val="22"/>
          <w:szCs w:val="22"/>
          <w:u w:val="single"/>
        </w:rPr>
        <w:t>c</w:t>
      </w:r>
      <w:r w:rsidR="009D67C3">
        <w:rPr>
          <w:i/>
          <w:color w:val="000000" w:themeColor="text1"/>
          <w:sz w:val="22"/>
          <w:szCs w:val="22"/>
          <w:u w:val="single"/>
        </w:rPr>
        <w:t>.</w:t>
      </w:r>
      <w:r w:rsidRPr="009D67C3">
        <w:rPr>
          <w:i/>
          <w:color w:val="000000" w:themeColor="text1"/>
          <w:sz w:val="22"/>
          <w:szCs w:val="22"/>
          <w:u w:val="single"/>
        </w:rPr>
        <w:t xml:space="preserve"> – Visible Emissions</w:t>
      </w:r>
      <w:r w:rsidR="004E611C" w:rsidRPr="009D67C3">
        <w:rPr>
          <w:i/>
          <w:color w:val="000000" w:themeColor="text1"/>
          <w:sz w:val="22"/>
          <w:szCs w:val="22"/>
        </w:rPr>
        <w:t xml:space="preserve">:  </w:t>
      </w:r>
      <w:r w:rsidR="009D67C3" w:rsidRPr="009D67C3">
        <w:rPr>
          <w:i/>
          <w:color w:val="000000" w:themeColor="text1"/>
          <w:sz w:val="22"/>
          <w:szCs w:val="22"/>
        </w:rPr>
        <w:t>Because this conversion includes the retrofit of existing boilers with new burners and the inclusion of C</w:t>
      </w:r>
      <w:r w:rsidR="009D67C3">
        <w:rPr>
          <w:i/>
          <w:color w:val="000000" w:themeColor="text1"/>
          <w:sz w:val="22"/>
          <w:szCs w:val="22"/>
        </w:rPr>
        <w:t>lose Coupled Overfire Air (C</w:t>
      </w:r>
      <w:r w:rsidR="009D67C3" w:rsidRPr="009D67C3">
        <w:rPr>
          <w:i/>
          <w:color w:val="000000" w:themeColor="text1"/>
          <w:sz w:val="22"/>
          <w:szCs w:val="22"/>
        </w:rPr>
        <w:t>COFA</w:t>
      </w:r>
      <w:r w:rsidR="009D67C3">
        <w:rPr>
          <w:i/>
          <w:color w:val="000000" w:themeColor="text1"/>
          <w:sz w:val="22"/>
          <w:szCs w:val="22"/>
        </w:rPr>
        <w:t>)</w:t>
      </w:r>
      <w:r w:rsidR="009D67C3" w:rsidRPr="009D67C3">
        <w:rPr>
          <w:i/>
          <w:color w:val="000000" w:themeColor="text1"/>
          <w:sz w:val="22"/>
          <w:szCs w:val="22"/>
        </w:rPr>
        <w:t xml:space="preserve"> for NO</w:t>
      </w:r>
      <w:r w:rsidR="009D67C3" w:rsidRPr="009D67C3">
        <w:rPr>
          <w:i/>
          <w:color w:val="000000" w:themeColor="text1"/>
          <w:sz w:val="22"/>
          <w:szCs w:val="22"/>
          <w:vertAlign w:val="subscript"/>
        </w:rPr>
        <w:t>X</w:t>
      </w:r>
      <w:r w:rsidR="009D67C3" w:rsidRPr="009D67C3">
        <w:rPr>
          <w:i/>
          <w:color w:val="000000" w:themeColor="text1"/>
          <w:sz w:val="22"/>
          <w:szCs w:val="22"/>
        </w:rPr>
        <w:t xml:space="preserve"> control, the magnitude of opacity determined via C</w:t>
      </w:r>
      <w:r w:rsidR="009D67C3">
        <w:rPr>
          <w:i/>
          <w:color w:val="000000" w:themeColor="text1"/>
          <w:sz w:val="22"/>
          <w:szCs w:val="22"/>
        </w:rPr>
        <w:t>ontinuous Opacity Monitoring Systems (C</w:t>
      </w:r>
      <w:r w:rsidR="009D67C3" w:rsidRPr="009D67C3">
        <w:rPr>
          <w:i/>
          <w:color w:val="000000" w:themeColor="text1"/>
          <w:sz w:val="22"/>
          <w:szCs w:val="22"/>
        </w:rPr>
        <w:t>OMS</w:t>
      </w:r>
      <w:r w:rsidR="009D67C3">
        <w:rPr>
          <w:i/>
          <w:color w:val="000000" w:themeColor="text1"/>
          <w:sz w:val="22"/>
          <w:szCs w:val="22"/>
        </w:rPr>
        <w:t>)</w:t>
      </w:r>
      <w:r w:rsidR="009D67C3" w:rsidRPr="009D67C3">
        <w:rPr>
          <w:i/>
          <w:color w:val="000000" w:themeColor="text1"/>
          <w:sz w:val="22"/>
          <w:szCs w:val="22"/>
        </w:rPr>
        <w:t xml:space="preserve"> during specific periods of operation is unknown at this time. Therefore, in an effort to accommodate possible elevated opacity levels during these periods, PEF requests the following change:</w:t>
      </w:r>
    </w:p>
    <w:p w:rsidR="009D67C3" w:rsidRPr="003A5DA0" w:rsidRDefault="009D67C3" w:rsidP="003A5DA0">
      <w:pPr>
        <w:tabs>
          <w:tab w:val="left" w:pos="630"/>
        </w:tabs>
        <w:autoSpaceDE w:val="0"/>
        <w:autoSpaceDN w:val="0"/>
        <w:adjustRightInd w:val="0"/>
        <w:spacing w:after="120"/>
        <w:ind w:left="634" w:hanging="274"/>
        <w:rPr>
          <w:i/>
          <w:iCs/>
          <w:color w:val="000000" w:themeColor="text1"/>
          <w:sz w:val="22"/>
          <w:szCs w:val="22"/>
        </w:rPr>
      </w:pPr>
      <w:r w:rsidRPr="009D67C3">
        <w:rPr>
          <w:i/>
          <w:iCs/>
          <w:color w:val="000000"/>
          <w:sz w:val="22"/>
          <w:szCs w:val="22"/>
        </w:rPr>
        <w:t>c.</w:t>
      </w:r>
      <w:r>
        <w:rPr>
          <w:i/>
          <w:iCs/>
          <w:color w:val="000000"/>
          <w:sz w:val="22"/>
          <w:szCs w:val="22"/>
        </w:rPr>
        <w:tab/>
      </w:r>
      <w:r w:rsidRPr="009D67C3">
        <w:rPr>
          <w:i/>
          <w:iCs/>
          <w:color w:val="000000"/>
          <w:sz w:val="22"/>
          <w:szCs w:val="22"/>
        </w:rPr>
        <w:t xml:space="preserve">Visible Emissions:  As determined by COMS data or EPA Method 9, after December 31, 2013 and after June 30, 2014 visible emissions from Unit 1 and Unit 2, respectively, </w:t>
      </w:r>
      <w:r w:rsidRPr="009D67C3">
        <w:rPr>
          <w:i/>
          <w:iCs/>
          <w:color w:val="000000" w:themeColor="text1"/>
          <w:sz w:val="22"/>
          <w:szCs w:val="22"/>
          <w:u w:val="double"/>
        </w:rPr>
        <w:t>with the exception of Condition 7.c.1 and 7.c.</w:t>
      </w:r>
      <w:r w:rsidR="003A5DA0">
        <w:rPr>
          <w:i/>
          <w:iCs/>
          <w:color w:val="000000" w:themeColor="text1"/>
          <w:sz w:val="22"/>
          <w:szCs w:val="22"/>
          <w:u w:val="double"/>
        </w:rPr>
        <w:t>(</w:t>
      </w:r>
      <w:r w:rsidRPr="009D67C3">
        <w:rPr>
          <w:i/>
          <w:iCs/>
          <w:color w:val="000000" w:themeColor="text1"/>
          <w:sz w:val="22"/>
          <w:szCs w:val="22"/>
          <w:u w:val="double"/>
        </w:rPr>
        <w:t>2</w:t>
      </w:r>
      <w:r w:rsidR="003A5DA0">
        <w:rPr>
          <w:i/>
          <w:iCs/>
          <w:color w:val="000000" w:themeColor="text1"/>
          <w:sz w:val="22"/>
          <w:szCs w:val="22"/>
          <w:u w:val="double"/>
        </w:rPr>
        <w:t>)</w:t>
      </w:r>
      <w:r w:rsidRPr="009D67C3">
        <w:rPr>
          <w:i/>
          <w:iCs/>
          <w:color w:val="000000" w:themeColor="text1"/>
          <w:sz w:val="22"/>
          <w:szCs w:val="22"/>
          <w:u w:val="double"/>
        </w:rPr>
        <w:t xml:space="preserve"> below, </w:t>
      </w:r>
      <w:r w:rsidRPr="009D67C3">
        <w:rPr>
          <w:i/>
          <w:iCs/>
          <w:color w:val="000000"/>
          <w:sz w:val="22"/>
          <w:szCs w:val="22"/>
        </w:rPr>
        <w:t>shall not exceed 15 percent (%) opacity based on a 6-minute block average, except for one 6-minute</w:t>
      </w:r>
      <w:r w:rsidRPr="003A5DA0">
        <w:rPr>
          <w:i/>
          <w:iCs/>
          <w:color w:val="000000" w:themeColor="text1"/>
          <w:sz w:val="22"/>
          <w:szCs w:val="22"/>
        </w:rPr>
        <w:t xml:space="preserve"> period p</w:t>
      </w:r>
      <w:r w:rsidRPr="009D67C3">
        <w:rPr>
          <w:i/>
          <w:iCs/>
          <w:color w:val="000000"/>
          <w:sz w:val="22"/>
          <w:szCs w:val="22"/>
        </w:rPr>
        <w:t xml:space="preserve">er hour of not more than 20%. </w:t>
      </w:r>
      <w:r>
        <w:rPr>
          <w:i/>
          <w:iCs/>
          <w:color w:val="000000"/>
          <w:sz w:val="22"/>
          <w:szCs w:val="22"/>
        </w:rPr>
        <w:t xml:space="preserve"> </w:t>
      </w:r>
      <w:r w:rsidRPr="003A5DA0">
        <w:rPr>
          <w:i/>
          <w:iCs/>
          <w:strike/>
          <w:color w:val="000000" w:themeColor="text1"/>
          <w:sz w:val="22"/>
          <w:szCs w:val="22"/>
        </w:rPr>
        <w:t>For periods of startup, shutdown and malfunction, visible emissions shall not exceed 20% opacity except for one 6-minute period per hour of not more than 27% as determined by COMS data or EPA Method 9.</w:t>
      </w:r>
    </w:p>
    <w:p w:rsidR="009D67C3" w:rsidRPr="003A5DA0" w:rsidRDefault="009D67C3" w:rsidP="003A5DA0">
      <w:pPr>
        <w:pStyle w:val="ListParagraph"/>
        <w:numPr>
          <w:ilvl w:val="1"/>
          <w:numId w:val="17"/>
        </w:numPr>
        <w:tabs>
          <w:tab w:val="left" w:pos="1080"/>
        </w:tabs>
        <w:autoSpaceDE w:val="0"/>
        <w:autoSpaceDN w:val="0"/>
        <w:adjustRightInd w:val="0"/>
        <w:spacing w:after="120"/>
        <w:ind w:left="1080" w:hanging="450"/>
        <w:contextualSpacing w:val="0"/>
        <w:rPr>
          <w:i/>
          <w:iCs/>
          <w:color w:val="000000" w:themeColor="text1"/>
          <w:sz w:val="22"/>
          <w:szCs w:val="22"/>
          <w:u w:val="double"/>
        </w:rPr>
      </w:pPr>
      <w:r w:rsidRPr="003A5DA0">
        <w:rPr>
          <w:i/>
          <w:iCs/>
          <w:color w:val="000000" w:themeColor="text1"/>
          <w:sz w:val="22"/>
          <w:szCs w:val="22"/>
          <w:u w:val="double"/>
        </w:rPr>
        <w:t xml:space="preserve">Excess Emissions - Startup </w:t>
      </w:r>
      <w:r w:rsidR="00EE4BA2" w:rsidRPr="003A5DA0">
        <w:rPr>
          <w:i/>
          <w:iCs/>
          <w:color w:val="000000" w:themeColor="text1"/>
          <w:sz w:val="22"/>
          <w:szCs w:val="22"/>
          <w:u w:val="double"/>
        </w:rPr>
        <w:t>and</w:t>
      </w:r>
      <w:r w:rsidRPr="003A5DA0">
        <w:rPr>
          <w:i/>
          <w:iCs/>
          <w:color w:val="000000" w:themeColor="text1"/>
          <w:sz w:val="22"/>
          <w:szCs w:val="22"/>
          <w:u w:val="double"/>
        </w:rPr>
        <w:t xml:space="preserve"> Shutdown. Excess emissions resulting from startup or shutdown shall be permitted provided that best operational practices to minimize emissions are adhered to and the duration of excess emissions shall be minimized.  [Rule 62-210.700(2), F.A.C.]</w:t>
      </w:r>
    </w:p>
    <w:p w:rsidR="009D67C3" w:rsidRPr="003A5DA0" w:rsidRDefault="009D67C3" w:rsidP="003A5DA0">
      <w:pPr>
        <w:pStyle w:val="ListParagraph"/>
        <w:numPr>
          <w:ilvl w:val="1"/>
          <w:numId w:val="17"/>
        </w:numPr>
        <w:tabs>
          <w:tab w:val="left" w:pos="1080"/>
        </w:tabs>
        <w:autoSpaceDE w:val="0"/>
        <w:autoSpaceDN w:val="0"/>
        <w:adjustRightInd w:val="0"/>
        <w:spacing w:after="120"/>
        <w:ind w:left="1080" w:hanging="450"/>
        <w:contextualSpacing w:val="0"/>
        <w:rPr>
          <w:color w:val="000000" w:themeColor="text1"/>
          <w:sz w:val="22"/>
          <w:szCs w:val="22"/>
          <w:u w:val="double"/>
        </w:rPr>
      </w:pPr>
      <w:r w:rsidRPr="003A5DA0">
        <w:rPr>
          <w:i/>
          <w:iCs/>
          <w:color w:val="000000" w:themeColor="text1"/>
          <w:sz w:val="22"/>
          <w:szCs w:val="22"/>
          <w:u w:val="double"/>
        </w:rPr>
        <w:t>Excess Emissions - Malfunctions. Excess emissions resulting from malfunction shall be permitted providing (1) best operational practices to minimize emissions are adhered to and (2) the duration of excess emissions shall be minimized but in no case exceed two hours in any 24 hour period unless specifically authorized by the Department for longer duration. [Rule 62-210.700(1), F.A.C.]</w:t>
      </w:r>
    </w:p>
    <w:p w:rsidR="003A5DA0" w:rsidRDefault="003A5DA0" w:rsidP="003A5DA0">
      <w:pPr>
        <w:pStyle w:val="Default"/>
        <w:spacing w:after="120"/>
        <w:ind w:left="360"/>
        <w:rPr>
          <w:sz w:val="22"/>
          <w:szCs w:val="22"/>
        </w:rPr>
      </w:pPr>
      <w:r w:rsidRPr="008403AF">
        <w:rPr>
          <w:sz w:val="22"/>
          <w:szCs w:val="22"/>
          <w:u w:val="single"/>
        </w:rPr>
        <w:t>Department Response</w:t>
      </w:r>
      <w:r w:rsidRPr="008403AF">
        <w:rPr>
          <w:sz w:val="22"/>
          <w:szCs w:val="22"/>
        </w:rPr>
        <w:t xml:space="preserve">:  The </w:t>
      </w:r>
      <w:r w:rsidR="00852FD6">
        <w:rPr>
          <w:sz w:val="22"/>
          <w:szCs w:val="22"/>
        </w:rPr>
        <w:t>visible emissions limits including those during startup, shutdown and malfunction constitute BACT and should be numerically limited during those events.  Natural gas firing should cause minimal emissions.  There could be some color to the plume due to allowable NO</w:t>
      </w:r>
      <w:r w:rsidR="00852FD6" w:rsidRPr="00852FD6">
        <w:rPr>
          <w:sz w:val="22"/>
          <w:szCs w:val="22"/>
          <w:vertAlign w:val="subscript"/>
        </w:rPr>
        <w:t>X</w:t>
      </w:r>
      <w:r w:rsidR="00852FD6">
        <w:rPr>
          <w:sz w:val="22"/>
          <w:szCs w:val="22"/>
        </w:rPr>
        <w:t xml:space="preserve"> emissions which is the reason that the limit was set at 15% during normal operations instead of 10%.  Following termination of residual fuel oil use, the natural gas exhaust will for a few months scour surfaces of solid materials and condensed sulfuric acid mist to cause some excess visible emissions likely less than the limits specified by the Department.  The </w:t>
      </w:r>
      <w:r w:rsidRPr="008403AF">
        <w:rPr>
          <w:sz w:val="22"/>
          <w:szCs w:val="22"/>
        </w:rPr>
        <w:t xml:space="preserve">Department </w:t>
      </w:r>
      <w:r>
        <w:rPr>
          <w:sz w:val="22"/>
          <w:szCs w:val="22"/>
        </w:rPr>
        <w:t xml:space="preserve">will </w:t>
      </w:r>
      <w:r w:rsidR="00852FD6">
        <w:rPr>
          <w:sz w:val="22"/>
          <w:szCs w:val="22"/>
        </w:rPr>
        <w:t>finalize the visible emission (opacity) limits as proposed.</w:t>
      </w:r>
    </w:p>
    <w:p w:rsidR="009D67C3" w:rsidRPr="009D67C3" w:rsidRDefault="00E254EE" w:rsidP="00E254EE">
      <w:pPr>
        <w:pStyle w:val="Default"/>
        <w:spacing w:after="120"/>
        <w:ind w:left="360"/>
        <w:rPr>
          <w:sz w:val="22"/>
          <w:szCs w:val="22"/>
        </w:rPr>
      </w:pPr>
      <w:r w:rsidRPr="009D67C3">
        <w:rPr>
          <w:i/>
          <w:color w:val="000000" w:themeColor="text1"/>
          <w:sz w:val="22"/>
          <w:szCs w:val="22"/>
          <w:u w:val="single"/>
        </w:rPr>
        <w:lastRenderedPageBreak/>
        <w:t>Section 3.A</w:t>
      </w:r>
      <w:r w:rsidR="005C3481">
        <w:rPr>
          <w:i/>
          <w:color w:val="000000" w:themeColor="text1"/>
          <w:sz w:val="22"/>
          <w:szCs w:val="22"/>
          <w:u w:val="single"/>
        </w:rPr>
        <w:t>.</w:t>
      </w:r>
      <w:r w:rsidRPr="009D67C3">
        <w:rPr>
          <w:i/>
          <w:color w:val="000000" w:themeColor="text1"/>
          <w:sz w:val="22"/>
          <w:szCs w:val="22"/>
          <w:u w:val="single"/>
        </w:rPr>
        <w:t xml:space="preserve">, Specific Condition </w:t>
      </w:r>
      <w:r>
        <w:rPr>
          <w:i/>
          <w:color w:val="000000" w:themeColor="text1"/>
          <w:sz w:val="22"/>
          <w:szCs w:val="22"/>
          <w:u w:val="single"/>
        </w:rPr>
        <w:t>13.</w:t>
      </w:r>
      <w:r w:rsidRPr="009D67C3">
        <w:rPr>
          <w:i/>
          <w:color w:val="000000" w:themeColor="text1"/>
          <w:sz w:val="22"/>
          <w:szCs w:val="22"/>
          <w:u w:val="single"/>
        </w:rPr>
        <w:t xml:space="preserve"> – </w:t>
      </w:r>
      <w:r>
        <w:rPr>
          <w:i/>
          <w:color w:val="000000" w:themeColor="text1"/>
          <w:sz w:val="22"/>
          <w:szCs w:val="22"/>
          <w:u w:val="single"/>
        </w:rPr>
        <w:t>Compliance by COMS and CEMS</w:t>
      </w:r>
      <w:r w:rsidRPr="009D67C3">
        <w:rPr>
          <w:i/>
          <w:color w:val="000000" w:themeColor="text1"/>
          <w:sz w:val="22"/>
          <w:szCs w:val="22"/>
        </w:rPr>
        <w:t xml:space="preserve">:  </w:t>
      </w:r>
      <w:r w:rsidRPr="00E254EE">
        <w:rPr>
          <w:i/>
          <w:color w:val="000000" w:themeColor="text1"/>
          <w:sz w:val="22"/>
          <w:szCs w:val="22"/>
        </w:rPr>
        <w:t>Because COMS data is the manner in which the units demonstrate compliance with the opacity</w:t>
      </w:r>
      <w:r>
        <w:rPr>
          <w:i/>
          <w:color w:val="000000" w:themeColor="text1"/>
          <w:sz w:val="22"/>
          <w:szCs w:val="22"/>
        </w:rPr>
        <w:t xml:space="preserve"> </w:t>
      </w:r>
      <w:r w:rsidRPr="00E254EE">
        <w:rPr>
          <w:i/>
          <w:color w:val="000000" w:themeColor="text1"/>
          <w:sz w:val="22"/>
          <w:szCs w:val="22"/>
        </w:rPr>
        <w:t>standard please clarify if annual visible emissions (VE) test via EPA Method 9 is required on an</w:t>
      </w:r>
      <w:r>
        <w:rPr>
          <w:i/>
          <w:color w:val="000000" w:themeColor="text1"/>
          <w:sz w:val="22"/>
          <w:szCs w:val="22"/>
        </w:rPr>
        <w:t xml:space="preserve"> </w:t>
      </w:r>
      <w:r w:rsidRPr="00E254EE">
        <w:rPr>
          <w:i/>
          <w:color w:val="000000" w:themeColor="text1"/>
          <w:sz w:val="22"/>
          <w:szCs w:val="22"/>
        </w:rPr>
        <w:t>annual basis. In addition, the term “reestablishing commercial operation” is confusing and PEF</w:t>
      </w:r>
      <w:r>
        <w:rPr>
          <w:i/>
          <w:color w:val="000000" w:themeColor="text1"/>
          <w:sz w:val="22"/>
          <w:szCs w:val="22"/>
        </w:rPr>
        <w:t xml:space="preserve"> </w:t>
      </w:r>
      <w:r w:rsidRPr="00E254EE">
        <w:rPr>
          <w:i/>
          <w:color w:val="000000" w:themeColor="text1"/>
          <w:sz w:val="22"/>
          <w:szCs w:val="22"/>
        </w:rPr>
        <w:t>request the following change in condition language:</w:t>
      </w:r>
    </w:p>
    <w:p w:rsidR="009D67C3" w:rsidRPr="0033748C" w:rsidRDefault="00E254EE" w:rsidP="0033748C">
      <w:pPr>
        <w:autoSpaceDE w:val="0"/>
        <w:autoSpaceDN w:val="0"/>
        <w:adjustRightInd w:val="0"/>
        <w:spacing w:after="120"/>
        <w:ind w:left="360"/>
        <w:rPr>
          <w:i/>
          <w:color w:val="000000" w:themeColor="text1"/>
          <w:sz w:val="22"/>
          <w:szCs w:val="22"/>
        </w:rPr>
      </w:pPr>
      <w:r w:rsidRPr="0033748C">
        <w:rPr>
          <w:i/>
          <w:iCs/>
          <w:color w:val="000000" w:themeColor="text1"/>
          <w:sz w:val="22"/>
          <w:szCs w:val="22"/>
          <w:u w:val="single"/>
        </w:rPr>
        <w:t>Compliance by COMS and CEMS</w:t>
      </w:r>
      <w:r w:rsidRPr="0033748C">
        <w:rPr>
          <w:i/>
          <w:iCs/>
          <w:color w:val="000000" w:themeColor="text1"/>
          <w:sz w:val="22"/>
          <w:szCs w:val="22"/>
        </w:rPr>
        <w:t>: Compliance with the standards for opacity and</w:t>
      </w:r>
      <w:r w:rsidR="0033748C" w:rsidRPr="0033748C">
        <w:rPr>
          <w:i/>
          <w:iCs/>
          <w:color w:val="000000" w:themeColor="text1"/>
          <w:sz w:val="22"/>
          <w:szCs w:val="22"/>
        </w:rPr>
        <w:t xml:space="preserve"> </w:t>
      </w:r>
      <w:r w:rsidRPr="0033748C">
        <w:rPr>
          <w:i/>
          <w:iCs/>
          <w:color w:val="000000" w:themeColor="text1"/>
          <w:sz w:val="22"/>
          <w:szCs w:val="22"/>
        </w:rPr>
        <w:t>emissions of CO and NO</w:t>
      </w:r>
      <w:r w:rsidRPr="0033748C">
        <w:rPr>
          <w:i/>
          <w:iCs/>
          <w:color w:val="000000" w:themeColor="text1"/>
          <w:sz w:val="22"/>
          <w:szCs w:val="22"/>
          <w:vertAlign w:val="subscript"/>
        </w:rPr>
        <w:t>X</w:t>
      </w:r>
      <w:r w:rsidRPr="0033748C">
        <w:rPr>
          <w:i/>
          <w:iCs/>
          <w:color w:val="000000" w:themeColor="text1"/>
          <w:sz w:val="22"/>
          <w:szCs w:val="22"/>
        </w:rPr>
        <w:t xml:space="preserve"> shall be demonstrated with data collected from the</w:t>
      </w:r>
      <w:r w:rsidR="0033748C" w:rsidRPr="0033748C">
        <w:rPr>
          <w:i/>
          <w:iCs/>
          <w:color w:val="000000" w:themeColor="text1"/>
          <w:sz w:val="22"/>
          <w:szCs w:val="22"/>
        </w:rPr>
        <w:t xml:space="preserve"> </w:t>
      </w:r>
      <w:r w:rsidRPr="0033748C">
        <w:rPr>
          <w:i/>
          <w:iCs/>
          <w:color w:val="000000" w:themeColor="text1"/>
          <w:sz w:val="22"/>
          <w:szCs w:val="22"/>
        </w:rPr>
        <w:t xml:space="preserve">required continuous monitoring systems. </w:t>
      </w:r>
      <w:r w:rsidR="0033748C" w:rsidRPr="0033748C">
        <w:rPr>
          <w:i/>
          <w:iCs/>
          <w:color w:val="000000" w:themeColor="text1"/>
          <w:sz w:val="22"/>
          <w:szCs w:val="22"/>
        </w:rPr>
        <w:t xml:space="preserve"> </w:t>
      </w:r>
      <w:r w:rsidRPr="0033748C">
        <w:rPr>
          <w:i/>
          <w:iCs/>
          <w:color w:val="000000" w:themeColor="text1"/>
          <w:sz w:val="22"/>
          <w:szCs w:val="22"/>
        </w:rPr>
        <w:t xml:space="preserve">Within 90 days of </w:t>
      </w:r>
      <w:r w:rsidRPr="0033748C">
        <w:rPr>
          <w:i/>
          <w:iCs/>
          <w:color w:val="000000" w:themeColor="text1"/>
          <w:sz w:val="22"/>
          <w:szCs w:val="22"/>
          <w:u w:val="double"/>
        </w:rPr>
        <w:t>reaching 90% of the</w:t>
      </w:r>
      <w:r w:rsidR="0033748C" w:rsidRPr="0033748C">
        <w:rPr>
          <w:i/>
          <w:iCs/>
          <w:color w:val="000000" w:themeColor="text1"/>
          <w:sz w:val="22"/>
          <w:szCs w:val="22"/>
          <w:u w:val="double"/>
        </w:rPr>
        <w:t xml:space="preserve"> </w:t>
      </w:r>
      <w:r w:rsidRPr="0033748C">
        <w:rPr>
          <w:i/>
          <w:iCs/>
          <w:color w:val="000000" w:themeColor="text1"/>
          <w:sz w:val="22"/>
          <w:szCs w:val="22"/>
          <w:u w:val="double"/>
        </w:rPr>
        <w:t xml:space="preserve">design heat input of 5,500 </w:t>
      </w:r>
      <w:r w:rsidR="0033748C" w:rsidRPr="0033748C">
        <w:rPr>
          <w:i/>
          <w:iCs/>
          <w:color w:val="000000" w:themeColor="text1"/>
          <w:sz w:val="22"/>
          <w:szCs w:val="22"/>
          <w:u w:val="double"/>
        </w:rPr>
        <w:t>M</w:t>
      </w:r>
      <w:r w:rsidRPr="0033748C">
        <w:rPr>
          <w:i/>
          <w:iCs/>
          <w:color w:val="000000" w:themeColor="text1"/>
          <w:sz w:val="22"/>
          <w:szCs w:val="22"/>
          <w:u w:val="double"/>
        </w:rPr>
        <w:t>MB</w:t>
      </w:r>
      <w:r w:rsidR="0033748C" w:rsidRPr="0033748C">
        <w:rPr>
          <w:i/>
          <w:iCs/>
          <w:color w:val="000000" w:themeColor="text1"/>
          <w:sz w:val="22"/>
          <w:szCs w:val="22"/>
          <w:u w:val="double"/>
        </w:rPr>
        <w:t>tu</w:t>
      </w:r>
      <w:r w:rsidRPr="0033748C">
        <w:rPr>
          <w:i/>
          <w:iCs/>
          <w:color w:val="000000" w:themeColor="text1"/>
          <w:sz w:val="22"/>
          <w:szCs w:val="22"/>
          <w:u w:val="double"/>
        </w:rPr>
        <w:t xml:space="preserve">/hr/unit </w:t>
      </w:r>
      <w:r w:rsidR="009234D8">
        <w:rPr>
          <w:i/>
          <w:iCs/>
          <w:color w:val="000000" w:themeColor="text1"/>
          <w:sz w:val="22"/>
          <w:szCs w:val="22"/>
          <w:u w:val="double"/>
        </w:rPr>
        <w:t xml:space="preserve">[while] </w:t>
      </w:r>
      <w:r w:rsidRPr="0033748C">
        <w:rPr>
          <w:i/>
          <w:iCs/>
          <w:color w:val="000000" w:themeColor="text1"/>
          <w:sz w:val="22"/>
          <w:szCs w:val="22"/>
          <w:u w:val="double"/>
        </w:rPr>
        <w:t xml:space="preserve">firing the new gas burners in </w:t>
      </w:r>
      <w:r w:rsidRPr="0033748C">
        <w:rPr>
          <w:i/>
          <w:iCs/>
          <w:strike/>
          <w:color w:val="000000" w:themeColor="text1"/>
          <w:sz w:val="22"/>
          <w:szCs w:val="22"/>
        </w:rPr>
        <w:t>reestablishing</w:t>
      </w:r>
      <w:r w:rsidR="0033748C" w:rsidRPr="0033748C">
        <w:rPr>
          <w:i/>
          <w:iCs/>
          <w:strike/>
          <w:color w:val="000000" w:themeColor="text1"/>
          <w:sz w:val="22"/>
          <w:szCs w:val="22"/>
        </w:rPr>
        <w:t xml:space="preserve"> </w:t>
      </w:r>
      <w:r w:rsidRPr="0033748C">
        <w:rPr>
          <w:i/>
          <w:iCs/>
          <w:strike/>
          <w:color w:val="000000" w:themeColor="text1"/>
          <w:sz w:val="22"/>
          <w:szCs w:val="22"/>
        </w:rPr>
        <w:t xml:space="preserve">commercial operation of </w:t>
      </w:r>
      <w:r w:rsidRPr="0033748C">
        <w:rPr>
          <w:i/>
          <w:iCs/>
          <w:color w:val="000000" w:themeColor="text1"/>
          <w:sz w:val="22"/>
          <w:szCs w:val="22"/>
        </w:rPr>
        <w:t xml:space="preserve">each unit, </w:t>
      </w:r>
      <w:r w:rsidRPr="0033748C">
        <w:rPr>
          <w:i/>
          <w:color w:val="000000" w:themeColor="text1"/>
          <w:sz w:val="22"/>
          <w:szCs w:val="22"/>
          <w:u w:val="double"/>
        </w:rPr>
        <w:t>but not later than 180 days after firing the new gas</w:t>
      </w:r>
      <w:r w:rsidR="0033748C" w:rsidRPr="0033748C">
        <w:rPr>
          <w:i/>
          <w:color w:val="000000" w:themeColor="text1"/>
          <w:sz w:val="22"/>
          <w:szCs w:val="22"/>
          <w:u w:val="double"/>
        </w:rPr>
        <w:t xml:space="preserve"> </w:t>
      </w:r>
      <w:r w:rsidRPr="0033748C">
        <w:rPr>
          <w:i/>
          <w:color w:val="000000" w:themeColor="text1"/>
          <w:sz w:val="22"/>
          <w:szCs w:val="22"/>
          <w:u w:val="double"/>
        </w:rPr>
        <w:t xml:space="preserve">burners, </w:t>
      </w:r>
      <w:r w:rsidRPr="0033748C">
        <w:rPr>
          <w:i/>
          <w:iCs/>
          <w:color w:val="000000" w:themeColor="text1"/>
          <w:sz w:val="22"/>
          <w:szCs w:val="22"/>
        </w:rPr>
        <w:t>the permittee shall certify proper operation of each required monitor.</w:t>
      </w:r>
    </w:p>
    <w:p w:rsidR="0033748C" w:rsidRDefault="0033748C" w:rsidP="0033748C">
      <w:pPr>
        <w:pStyle w:val="Default"/>
        <w:spacing w:after="120"/>
        <w:ind w:left="360"/>
        <w:rPr>
          <w:sz w:val="22"/>
          <w:szCs w:val="22"/>
        </w:rPr>
      </w:pPr>
      <w:r w:rsidRPr="008403AF">
        <w:rPr>
          <w:sz w:val="22"/>
          <w:szCs w:val="22"/>
          <w:u w:val="single"/>
        </w:rPr>
        <w:t>Department Response</w:t>
      </w:r>
      <w:r w:rsidRPr="008403AF">
        <w:rPr>
          <w:sz w:val="22"/>
          <w:szCs w:val="22"/>
        </w:rPr>
        <w:t xml:space="preserve">:  The Department </w:t>
      </w:r>
      <w:r w:rsidR="009234D8">
        <w:rPr>
          <w:sz w:val="22"/>
          <w:szCs w:val="22"/>
        </w:rPr>
        <w:t>will make the requested change based on reaching 4,950 MMBtu/hr/unit</w:t>
      </w:r>
      <w:r w:rsidR="001D6374">
        <w:rPr>
          <w:sz w:val="22"/>
          <w:szCs w:val="22"/>
        </w:rPr>
        <w:t xml:space="preserve">, which equals </w:t>
      </w:r>
      <w:r w:rsidR="009234D8">
        <w:rPr>
          <w:sz w:val="22"/>
          <w:szCs w:val="22"/>
        </w:rPr>
        <w:t>90% of 5,500 MMBtu/hour/unit</w:t>
      </w:r>
      <w:r>
        <w:rPr>
          <w:sz w:val="22"/>
          <w:szCs w:val="22"/>
        </w:rPr>
        <w:t>.</w:t>
      </w:r>
      <w:r w:rsidR="009234D8">
        <w:rPr>
          <w:sz w:val="22"/>
          <w:szCs w:val="22"/>
        </w:rPr>
        <w:t xml:space="preserve">  </w:t>
      </w:r>
    </w:p>
    <w:p w:rsidR="005C3481" w:rsidRPr="005C3481" w:rsidRDefault="005C3481" w:rsidP="004E611C">
      <w:pPr>
        <w:pStyle w:val="Default"/>
        <w:numPr>
          <w:ilvl w:val="0"/>
          <w:numId w:val="9"/>
        </w:numPr>
        <w:spacing w:after="120"/>
        <w:ind w:left="360"/>
        <w:rPr>
          <w:sz w:val="22"/>
          <w:szCs w:val="22"/>
        </w:rPr>
      </w:pPr>
      <w:r w:rsidRPr="009D67C3">
        <w:rPr>
          <w:i/>
          <w:color w:val="000000" w:themeColor="text1"/>
          <w:sz w:val="22"/>
          <w:szCs w:val="22"/>
          <w:u w:val="single"/>
        </w:rPr>
        <w:t>Section 3.</w:t>
      </w:r>
      <w:r>
        <w:rPr>
          <w:i/>
          <w:color w:val="000000" w:themeColor="text1"/>
          <w:sz w:val="22"/>
          <w:szCs w:val="22"/>
          <w:u w:val="single"/>
        </w:rPr>
        <w:t>C.</w:t>
      </w:r>
      <w:r w:rsidRPr="009D67C3">
        <w:rPr>
          <w:i/>
          <w:color w:val="000000" w:themeColor="text1"/>
          <w:sz w:val="22"/>
          <w:szCs w:val="22"/>
          <w:u w:val="single"/>
        </w:rPr>
        <w:t xml:space="preserve">, Specific Condition </w:t>
      </w:r>
      <w:r>
        <w:rPr>
          <w:i/>
          <w:color w:val="000000" w:themeColor="text1"/>
          <w:sz w:val="22"/>
          <w:szCs w:val="22"/>
          <w:u w:val="single"/>
        </w:rPr>
        <w:t>1.</w:t>
      </w:r>
      <w:r w:rsidRPr="009D67C3">
        <w:rPr>
          <w:i/>
          <w:color w:val="000000" w:themeColor="text1"/>
          <w:sz w:val="22"/>
          <w:szCs w:val="22"/>
          <w:u w:val="single"/>
        </w:rPr>
        <w:t xml:space="preserve"> –</w:t>
      </w:r>
      <w:r w:rsidRPr="005C3481">
        <w:rPr>
          <w:i/>
          <w:color w:val="000000" w:themeColor="text1"/>
          <w:sz w:val="22"/>
          <w:szCs w:val="22"/>
          <w:u w:val="single"/>
        </w:rPr>
        <w:t xml:space="preserve"> </w:t>
      </w:r>
      <w:r w:rsidRPr="005C3481">
        <w:rPr>
          <w:i/>
          <w:sz w:val="22"/>
          <w:szCs w:val="22"/>
          <w:u w:val="single"/>
        </w:rPr>
        <w:t>NESHAP Subpart DDDDD Applicability</w:t>
      </w:r>
      <w:r w:rsidRPr="009D67C3">
        <w:rPr>
          <w:i/>
          <w:color w:val="000000" w:themeColor="text1"/>
          <w:sz w:val="22"/>
          <w:szCs w:val="22"/>
        </w:rPr>
        <w:t xml:space="preserve">:  </w:t>
      </w:r>
      <w:r>
        <w:rPr>
          <w:i/>
          <w:color w:val="000000" w:themeColor="text1"/>
          <w:sz w:val="22"/>
          <w:szCs w:val="22"/>
        </w:rPr>
        <w:t>After the conversion to natural gas, the facility will not be a major source of hazardous air pollutants (HAP).  NESHAP Subpart DDDD</w:t>
      </w:r>
      <w:r w:rsidR="00CA0E83">
        <w:rPr>
          <w:i/>
          <w:color w:val="000000" w:themeColor="text1"/>
          <w:sz w:val="22"/>
          <w:szCs w:val="22"/>
        </w:rPr>
        <w:t>D</w:t>
      </w:r>
      <w:r>
        <w:rPr>
          <w:i/>
          <w:color w:val="000000" w:themeColor="text1"/>
          <w:sz w:val="22"/>
          <w:szCs w:val="22"/>
        </w:rPr>
        <w:t xml:space="preserve"> does not apply and the condition should be deleted.</w:t>
      </w:r>
    </w:p>
    <w:p w:rsidR="006401DC" w:rsidRDefault="005C3481" w:rsidP="005C3481">
      <w:pPr>
        <w:pStyle w:val="Default"/>
        <w:spacing w:after="120"/>
        <w:ind w:left="360"/>
        <w:rPr>
          <w:sz w:val="22"/>
          <w:szCs w:val="22"/>
        </w:rPr>
      </w:pPr>
      <w:r w:rsidRPr="008403AF">
        <w:rPr>
          <w:sz w:val="22"/>
          <w:szCs w:val="22"/>
          <w:u w:val="single"/>
        </w:rPr>
        <w:t>Department Response</w:t>
      </w:r>
      <w:r w:rsidRPr="008403AF">
        <w:rPr>
          <w:sz w:val="22"/>
          <w:szCs w:val="22"/>
        </w:rPr>
        <w:t xml:space="preserve">:  The Department </w:t>
      </w:r>
      <w:r>
        <w:rPr>
          <w:sz w:val="22"/>
          <w:szCs w:val="22"/>
        </w:rPr>
        <w:t xml:space="preserve">consulted with EPA and received </w:t>
      </w:r>
      <w:r w:rsidR="006401DC">
        <w:rPr>
          <w:sz w:val="22"/>
          <w:szCs w:val="22"/>
        </w:rPr>
        <w:t>the following input that supports the applicant’s position.</w:t>
      </w:r>
    </w:p>
    <w:p w:rsidR="006401DC" w:rsidRDefault="006401DC" w:rsidP="006401DC">
      <w:pPr>
        <w:pStyle w:val="Default"/>
        <w:numPr>
          <w:ilvl w:val="0"/>
          <w:numId w:val="18"/>
        </w:numPr>
        <w:spacing w:after="120"/>
        <w:ind w:left="720"/>
        <w:rPr>
          <w:sz w:val="22"/>
          <w:szCs w:val="22"/>
        </w:rPr>
      </w:pPr>
      <w:r w:rsidRPr="006401DC">
        <w:rPr>
          <w:sz w:val="22"/>
          <w:szCs w:val="22"/>
        </w:rPr>
        <w:t>If the facility converts to exclusive use of natural gas before the first substantive compliance date</w:t>
      </w:r>
      <w:r>
        <w:rPr>
          <w:sz w:val="22"/>
          <w:szCs w:val="22"/>
        </w:rPr>
        <w:t xml:space="preserve"> (</w:t>
      </w:r>
      <w:r w:rsidRPr="006401DC">
        <w:rPr>
          <w:sz w:val="22"/>
          <w:szCs w:val="22"/>
        </w:rPr>
        <w:t>which April 16, 2015 for existing sources</w:t>
      </w:r>
      <w:r>
        <w:rPr>
          <w:sz w:val="22"/>
          <w:szCs w:val="22"/>
        </w:rPr>
        <w:t>)</w:t>
      </w:r>
      <w:r w:rsidRPr="006401DC">
        <w:rPr>
          <w:sz w:val="22"/>
          <w:szCs w:val="22"/>
        </w:rPr>
        <w:t xml:space="preserve">, then they would avoid applicability of the </w:t>
      </w:r>
      <w:r>
        <w:rPr>
          <w:sz w:val="22"/>
          <w:szCs w:val="22"/>
        </w:rPr>
        <w:t>Mercury Air Toxics Standard (</w:t>
      </w:r>
      <w:r w:rsidRPr="006401DC">
        <w:rPr>
          <w:sz w:val="22"/>
          <w:szCs w:val="22"/>
        </w:rPr>
        <w:t>MATS</w:t>
      </w:r>
      <w:r>
        <w:rPr>
          <w:sz w:val="22"/>
          <w:szCs w:val="22"/>
        </w:rPr>
        <w:t xml:space="preserve"> – also known as NESHAP Subpart UUUUU)</w:t>
      </w:r>
      <w:r w:rsidRPr="006401DC">
        <w:rPr>
          <w:sz w:val="22"/>
          <w:szCs w:val="22"/>
        </w:rPr>
        <w:t>.</w:t>
      </w:r>
    </w:p>
    <w:p w:rsidR="006401DC" w:rsidRDefault="006401DC" w:rsidP="006401DC">
      <w:pPr>
        <w:pStyle w:val="Default"/>
        <w:numPr>
          <w:ilvl w:val="0"/>
          <w:numId w:val="18"/>
        </w:numPr>
        <w:spacing w:after="120"/>
        <w:ind w:left="720"/>
        <w:rPr>
          <w:sz w:val="22"/>
          <w:szCs w:val="22"/>
        </w:rPr>
      </w:pPr>
      <w:r w:rsidRPr="006401DC">
        <w:rPr>
          <w:sz w:val="22"/>
          <w:szCs w:val="22"/>
        </w:rPr>
        <w:t xml:space="preserve">MATS regulates all coal and oil fired </w:t>
      </w:r>
      <w:r>
        <w:rPr>
          <w:sz w:val="22"/>
          <w:szCs w:val="22"/>
        </w:rPr>
        <w:t xml:space="preserve">electric generating units </w:t>
      </w:r>
      <w:r w:rsidRPr="006401DC">
        <w:rPr>
          <w:sz w:val="22"/>
          <w:szCs w:val="22"/>
        </w:rPr>
        <w:t xml:space="preserve">with a capacity of 25 </w:t>
      </w:r>
      <w:r>
        <w:rPr>
          <w:sz w:val="22"/>
          <w:szCs w:val="22"/>
        </w:rPr>
        <w:t xml:space="preserve">MW </w:t>
      </w:r>
      <w:r w:rsidRPr="006401DC">
        <w:rPr>
          <w:sz w:val="22"/>
          <w:szCs w:val="22"/>
        </w:rPr>
        <w:t>or greater - the rule does not distinguish between major and area sources</w:t>
      </w:r>
      <w:r>
        <w:rPr>
          <w:sz w:val="22"/>
          <w:szCs w:val="22"/>
        </w:rPr>
        <w:t>.</w:t>
      </w:r>
      <w:r w:rsidRPr="006401DC">
        <w:rPr>
          <w:sz w:val="22"/>
          <w:szCs w:val="22"/>
        </w:rPr>
        <w:t xml:space="preserve"> </w:t>
      </w:r>
    </w:p>
    <w:p w:rsidR="006401DC" w:rsidRDefault="006401DC" w:rsidP="006401DC">
      <w:pPr>
        <w:pStyle w:val="Default"/>
        <w:numPr>
          <w:ilvl w:val="0"/>
          <w:numId w:val="18"/>
        </w:numPr>
        <w:spacing w:after="120"/>
        <w:ind w:left="720"/>
        <w:rPr>
          <w:sz w:val="22"/>
          <w:szCs w:val="22"/>
        </w:rPr>
      </w:pPr>
      <w:r w:rsidRPr="006401DC">
        <w:rPr>
          <w:sz w:val="22"/>
          <w:szCs w:val="22"/>
        </w:rPr>
        <w:t>The area source boiler rule (</w:t>
      </w:r>
      <w:r>
        <w:rPr>
          <w:sz w:val="22"/>
          <w:szCs w:val="22"/>
        </w:rPr>
        <w:t>NESHAP Subpart JJJJJJ</w:t>
      </w:r>
      <w:r w:rsidRPr="006401DC">
        <w:rPr>
          <w:sz w:val="22"/>
          <w:szCs w:val="22"/>
        </w:rPr>
        <w:t>) does not regulate natural gas boilers.</w:t>
      </w:r>
      <w:r>
        <w:rPr>
          <w:sz w:val="22"/>
          <w:szCs w:val="22"/>
        </w:rPr>
        <w:t xml:space="preserve">  </w:t>
      </w:r>
      <w:r w:rsidRPr="006401DC">
        <w:rPr>
          <w:sz w:val="22"/>
          <w:szCs w:val="22"/>
        </w:rPr>
        <w:t xml:space="preserve">Per 63.7491(a), </w:t>
      </w:r>
      <w:r w:rsidR="00EE4BA2" w:rsidRPr="006401DC">
        <w:rPr>
          <w:sz w:val="22"/>
          <w:szCs w:val="22"/>
        </w:rPr>
        <w:t>the</w:t>
      </w:r>
      <w:r w:rsidRPr="006401DC">
        <w:rPr>
          <w:sz w:val="22"/>
          <w:szCs w:val="22"/>
        </w:rPr>
        <w:t xml:space="preserve"> major source boiler rule (5D) does not regulate</w:t>
      </w:r>
      <w:r>
        <w:rPr>
          <w:sz w:val="22"/>
          <w:szCs w:val="22"/>
        </w:rPr>
        <w:t xml:space="preserve"> “</w:t>
      </w:r>
      <w:r w:rsidRPr="006401DC">
        <w:rPr>
          <w:sz w:val="22"/>
          <w:szCs w:val="22"/>
        </w:rPr>
        <w:t>Electric Utility Steam Generating Units</w:t>
      </w:r>
      <w:r>
        <w:rPr>
          <w:sz w:val="22"/>
          <w:szCs w:val="22"/>
        </w:rPr>
        <w:t>”</w:t>
      </w:r>
      <w:r w:rsidRPr="006401DC">
        <w:rPr>
          <w:sz w:val="22"/>
          <w:szCs w:val="22"/>
        </w:rPr>
        <w:t xml:space="preserve"> as defined in 63.7575.</w:t>
      </w:r>
      <w:r>
        <w:rPr>
          <w:sz w:val="22"/>
          <w:szCs w:val="22"/>
        </w:rPr>
        <w:t xml:space="preserve">  </w:t>
      </w:r>
    </w:p>
    <w:p w:rsidR="007E42EE" w:rsidRDefault="006401DC" w:rsidP="006401DC">
      <w:pPr>
        <w:pStyle w:val="Default"/>
        <w:spacing w:after="120"/>
        <w:ind w:left="360"/>
        <w:rPr>
          <w:sz w:val="22"/>
          <w:szCs w:val="22"/>
        </w:rPr>
      </w:pPr>
      <w:r>
        <w:rPr>
          <w:sz w:val="22"/>
          <w:szCs w:val="22"/>
        </w:rPr>
        <w:t xml:space="preserve">The Department </w:t>
      </w:r>
      <w:r w:rsidR="007E42EE">
        <w:rPr>
          <w:sz w:val="22"/>
          <w:szCs w:val="22"/>
        </w:rPr>
        <w:t>will strike the condition and renumber the rest of the conditions in the mentioned section.</w:t>
      </w:r>
    </w:p>
    <w:p w:rsidR="009D67C3" w:rsidRPr="007E42EE" w:rsidRDefault="007E42EE" w:rsidP="007E42EE">
      <w:pPr>
        <w:pStyle w:val="Default"/>
        <w:numPr>
          <w:ilvl w:val="0"/>
          <w:numId w:val="9"/>
        </w:numPr>
        <w:spacing w:after="120"/>
        <w:ind w:left="360"/>
        <w:rPr>
          <w:i/>
          <w:sz w:val="22"/>
          <w:szCs w:val="22"/>
        </w:rPr>
      </w:pPr>
      <w:r w:rsidRPr="007E42EE">
        <w:rPr>
          <w:i/>
          <w:color w:val="000000" w:themeColor="text1"/>
          <w:sz w:val="22"/>
          <w:szCs w:val="22"/>
          <w:u w:val="single"/>
        </w:rPr>
        <w:t xml:space="preserve">Section 3.C., Specific Condition 3. – </w:t>
      </w:r>
      <w:r w:rsidRPr="007E42EE">
        <w:rPr>
          <w:i/>
          <w:sz w:val="22"/>
          <w:szCs w:val="22"/>
          <w:u w:val="single"/>
        </w:rPr>
        <w:t>Natural Gas Fired Process Heaters BACT Emissions Limits</w:t>
      </w:r>
      <w:r w:rsidRPr="007E42EE">
        <w:rPr>
          <w:i/>
          <w:color w:val="000000" w:themeColor="text1"/>
          <w:sz w:val="22"/>
          <w:szCs w:val="22"/>
        </w:rPr>
        <w:t>:  T</w:t>
      </w:r>
      <w:r w:rsidRPr="007E42EE">
        <w:rPr>
          <w:i/>
          <w:sz w:val="22"/>
          <w:szCs w:val="22"/>
        </w:rPr>
        <w:t xml:space="preserve">he facility was required to only assess BACT for CO.  Therefore, please delete all pollutants other than CO </w:t>
      </w:r>
      <w:r w:rsidR="00CA0E83">
        <w:rPr>
          <w:i/>
          <w:sz w:val="22"/>
          <w:szCs w:val="22"/>
        </w:rPr>
        <w:t xml:space="preserve">in </w:t>
      </w:r>
      <w:r w:rsidRPr="007E42EE">
        <w:rPr>
          <w:i/>
          <w:sz w:val="22"/>
          <w:szCs w:val="22"/>
        </w:rPr>
        <w:t>this specific condition</w:t>
      </w:r>
      <w:r>
        <w:rPr>
          <w:i/>
          <w:sz w:val="22"/>
          <w:szCs w:val="22"/>
        </w:rPr>
        <w:t>.</w:t>
      </w:r>
    </w:p>
    <w:p w:rsidR="007E42EE" w:rsidRDefault="007E42EE" w:rsidP="007E42EE">
      <w:pPr>
        <w:pStyle w:val="Default"/>
        <w:spacing w:after="120"/>
        <w:ind w:left="360"/>
        <w:rPr>
          <w:sz w:val="22"/>
          <w:szCs w:val="22"/>
        </w:rPr>
      </w:pPr>
      <w:r w:rsidRPr="008403AF">
        <w:rPr>
          <w:sz w:val="22"/>
          <w:szCs w:val="22"/>
          <w:u w:val="single"/>
        </w:rPr>
        <w:t>Department Response</w:t>
      </w:r>
      <w:r w:rsidRPr="008403AF">
        <w:rPr>
          <w:sz w:val="22"/>
          <w:szCs w:val="22"/>
        </w:rPr>
        <w:t xml:space="preserve">:  The Department </w:t>
      </w:r>
      <w:r>
        <w:rPr>
          <w:sz w:val="22"/>
          <w:szCs w:val="22"/>
        </w:rPr>
        <w:t xml:space="preserve">agrees and will remove references to BACT determinations for all pollutants other than CO.  The potential emissions </w:t>
      </w:r>
      <w:r w:rsidR="00A0169E">
        <w:rPr>
          <w:sz w:val="22"/>
          <w:szCs w:val="22"/>
        </w:rPr>
        <w:t xml:space="preserve">of all pollutants </w:t>
      </w:r>
      <w:r>
        <w:rPr>
          <w:sz w:val="22"/>
          <w:szCs w:val="22"/>
        </w:rPr>
        <w:t xml:space="preserve">from these small (16.5 MMBtu/hour) </w:t>
      </w:r>
      <w:r w:rsidR="00A0169E">
        <w:rPr>
          <w:sz w:val="22"/>
          <w:szCs w:val="22"/>
        </w:rPr>
        <w:t>are minimal and do not affect PSD applicability</w:t>
      </w:r>
    </w:p>
    <w:p w:rsidR="007E42EE" w:rsidRDefault="00A0169E" w:rsidP="00A0169E">
      <w:pPr>
        <w:pStyle w:val="Default"/>
        <w:numPr>
          <w:ilvl w:val="0"/>
          <w:numId w:val="9"/>
        </w:numPr>
        <w:spacing w:after="120"/>
        <w:ind w:left="360"/>
        <w:rPr>
          <w:sz w:val="22"/>
          <w:szCs w:val="22"/>
        </w:rPr>
      </w:pPr>
      <w:r>
        <w:rPr>
          <w:i/>
          <w:color w:val="000000" w:themeColor="text1"/>
          <w:sz w:val="22"/>
          <w:szCs w:val="22"/>
          <w:u w:val="single"/>
        </w:rPr>
        <w:t>Comments Regarding the Technical Evaluation and Preliminary Determination (TEPD)</w:t>
      </w:r>
      <w:r w:rsidRPr="00A0169E">
        <w:rPr>
          <w:i/>
          <w:color w:val="000000" w:themeColor="text1"/>
          <w:sz w:val="22"/>
          <w:szCs w:val="22"/>
        </w:rPr>
        <w:t>:  The applicant</w:t>
      </w:r>
      <w:r>
        <w:rPr>
          <w:i/>
          <w:color w:val="000000" w:themeColor="text1"/>
          <w:sz w:val="22"/>
          <w:szCs w:val="22"/>
        </w:rPr>
        <w:t xml:space="preserve"> suggested a number of corrections and clarifications regarding the TEPD document distributed with the Department’s </w:t>
      </w:r>
      <w:r w:rsidR="00106B44">
        <w:rPr>
          <w:i/>
          <w:color w:val="000000" w:themeColor="text1"/>
          <w:sz w:val="22"/>
          <w:szCs w:val="22"/>
        </w:rPr>
        <w:t xml:space="preserve">draft PSD permit package.  </w:t>
      </w:r>
    </w:p>
    <w:p w:rsidR="00106B44" w:rsidRDefault="00106B44" w:rsidP="00106B44">
      <w:pPr>
        <w:pStyle w:val="Default"/>
        <w:spacing w:after="120"/>
        <w:ind w:left="360"/>
        <w:rPr>
          <w:sz w:val="22"/>
          <w:szCs w:val="22"/>
        </w:rPr>
      </w:pPr>
      <w:r w:rsidRPr="008403AF">
        <w:rPr>
          <w:sz w:val="22"/>
          <w:szCs w:val="22"/>
          <w:u w:val="single"/>
        </w:rPr>
        <w:t>Department Response</w:t>
      </w:r>
      <w:r w:rsidRPr="008403AF">
        <w:rPr>
          <w:sz w:val="22"/>
          <w:szCs w:val="22"/>
        </w:rPr>
        <w:t xml:space="preserve">:  The </w:t>
      </w:r>
      <w:r>
        <w:rPr>
          <w:sz w:val="22"/>
          <w:szCs w:val="22"/>
        </w:rPr>
        <w:t>applicant’s comments regarding the TEPD document are available at the link provided above</w:t>
      </w:r>
      <w:r w:rsidRPr="00106B44">
        <w:rPr>
          <w:sz w:val="22"/>
          <w:szCs w:val="22"/>
        </w:rPr>
        <w:t xml:space="preserve">.  </w:t>
      </w:r>
      <w:r w:rsidRPr="00106B44">
        <w:rPr>
          <w:color w:val="000000" w:themeColor="text1"/>
          <w:sz w:val="22"/>
          <w:szCs w:val="22"/>
        </w:rPr>
        <w:t xml:space="preserve">Some of the </w:t>
      </w:r>
      <w:r>
        <w:rPr>
          <w:color w:val="000000" w:themeColor="text1"/>
          <w:sz w:val="22"/>
          <w:szCs w:val="22"/>
        </w:rPr>
        <w:t xml:space="preserve">corrections </w:t>
      </w:r>
      <w:r w:rsidRPr="00106B44">
        <w:rPr>
          <w:color w:val="000000" w:themeColor="text1"/>
          <w:sz w:val="22"/>
          <w:szCs w:val="22"/>
        </w:rPr>
        <w:t>and clarifications are the same as indicated above regarding the draft permit and have been resolved through the changes made in the final permit.  Others involve differences of opinions</w:t>
      </w:r>
      <w:r>
        <w:rPr>
          <w:color w:val="000000" w:themeColor="text1"/>
          <w:sz w:val="22"/>
          <w:szCs w:val="22"/>
        </w:rPr>
        <w:t xml:space="preserve">, including the rationale </w:t>
      </w:r>
      <w:r w:rsidR="00EF0D34">
        <w:rPr>
          <w:color w:val="000000" w:themeColor="text1"/>
          <w:sz w:val="22"/>
          <w:szCs w:val="22"/>
        </w:rPr>
        <w:t xml:space="preserve">provided by the applicant when </w:t>
      </w:r>
      <w:r w:rsidR="00302553">
        <w:rPr>
          <w:color w:val="000000" w:themeColor="text1"/>
          <w:sz w:val="22"/>
          <w:szCs w:val="22"/>
        </w:rPr>
        <w:t xml:space="preserve">rejecting </w:t>
      </w:r>
      <w:r w:rsidR="00EF0D34">
        <w:rPr>
          <w:color w:val="000000" w:themeColor="text1"/>
          <w:sz w:val="22"/>
          <w:szCs w:val="22"/>
        </w:rPr>
        <w:t>oxidation catalyst to achieve BACT for CO</w:t>
      </w:r>
      <w:r w:rsidRPr="00106B44">
        <w:rPr>
          <w:color w:val="000000" w:themeColor="text1"/>
          <w:sz w:val="22"/>
          <w:szCs w:val="22"/>
        </w:rPr>
        <w:t>.</w:t>
      </w:r>
      <w:r>
        <w:rPr>
          <w:color w:val="000000" w:themeColor="text1"/>
          <w:sz w:val="22"/>
          <w:szCs w:val="22"/>
        </w:rPr>
        <w:t xml:space="preserve">  </w:t>
      </w:r>
      <w:r w:rsidR="00302553">
        <w:rPr>
          <w:color w:val="000000" w:themeColor="text1"/>
          <w:sz w:val="22"/>
          <w:szCs w:val="22"/>
        </w:rPr>
        <w:t xml:space="preserve">(Neither the Department nor the applicant believe oxidation catalyst is actually required).  The </w:t>
      </w:r>
      <w:r w:rsidR="00EF0D34">
        <w:rPr>
          <w:color w:val="000000" w:themeColor="text1"/>
          <w:sz w:val="22"/>
          <w:szCs w:val="22"/>
        </w:rPr>
        <w:t xml:space="preserve">EPA also commented </w:t>
      </w:r>
      <w:r w:rsidR="00CD3EC2">
        <w:rPr>
          <w:color w:val="000000" w:themeColor="text1"/>
          <w:sz w:val="22"/>
          <w:szCs w:val="22"/>
        </w:rPr>
        <w:t xml:space="preserve">on this </w:t>
      </w:r>
      <w:r w:rsidR="00EF0D34">
        <w:rPr>
          <w:color w:val="000000" w:themeColor="text1"/>
          <w:sz w:val="22"/>
          <w:szCs w:val="22"/>
        </w:rPr>
        <w:t xml:space="preserve">matter as discussed </w:t>
      </w:r>
      <w:r w:rsidR="00CD3EC2">
        <w:rPr>
          <w:color w:val="000000" w:themeColor="text1"/>
          <w:sz w:val="22"/>
          <w:szCs w:val="22"/>
        </w:rPr>
        <w:t xml:space="preserve">in detail further </w:t>
      </w:r>
      <w:r w:rsidR="00EF0D34">
        <w:rPr>
          <w:color w:val="000000" w:themeColor="text1"/>
          <w:sz w:val="22"/>
          <w:szCs w:val="22"/>
        </w:rPr>
        <w:t xml:space="preserve">below.  </w:t>
      </w:r>
      <w:r w:rsidRPr="00106B44">
        <w:rPr>
          <w:sz w:val="22"/>
          <w:szCs w:val="22"/>
        </w:rPr>
        <w:t>The</w:t>
      </w:r>
      <w:r w:rsidR="00EF0D34">
        <w:rPr>
          <w:sz w:val="22"/>
          <w:szCs w:val="22"/>
        </w:rPr>
        <w:t xml:space="preserve"> applicant’s </w:t>
      </w:r>
      <w:r w:rsidRPr="00106B44">
        <w:rPr>
          <w:sz w:val="22"/>
          <w:szCs w:val="22"/>
        </w:rPr>
        <w:t xml:space="preserve">comments are acknowledged in this Final Determination. </w:t>
      </w:r>
      <w:r>
        <w:rPr>
          <w:sz w:val="22"/>
          <w:szCs w:val="22"/>
        </w:rPr>
        <w:t xml:space="preserve"> Issuance of a corrected or modified TEPD document is not required.  </w:t>
      </w:r>
    </w:p>
    <w:p w:rsidR="00852FD6" w:rsidRDefault="00852FD6">
      <w:pPr>
        <w:rPr>
          <w:sz w:val="22"/>
          <w:szCs w:val="22"/>
        </w:rPr>
      </w:pPr>
      <w:r>
        <w:rPr>
          <w:szCs w:val="22"/>
        </w:rPr>
        <w:br w:type="page"/>
      </w:r>
    </w:p>
    <w:p w:rsidR="00900669" w:rsidRDefault="00900669" w:rsidP="00900669">
      <w:pPr>
        <w:pStyle w:val="BodyText3"/>
        <w:numPr>
          <w:ilvl w:val="0"/>
          <w:numId w:val="13"/>
        </w:numPr>
        <w:ind w:left="360" w:hanging="360"/>
        <w:jc w:val="left"/>
        <w:rPr>
          <w:szCs w:val="22"/>
        </w:rPr>
      </w:pPr>
      <w:r>
        <w:rPr>
          <w:szCs w:val="22"/>
        </w:rPr>
        <w:lastRenderedPageBreak/>
        <w:t>REVIEW OF COMMENTS FROM EPA REGION 4</w:t>
      </w:r>
    </w:p>
    <w:p w:rsidR="0022686A" w:rsidRDefault="001220BF" w:rsidP="00022918">
      <w:pPr>
        <w:pStyle w:val="Default"/>
        <w:spacing w:after="120"/>
        <w:rPr>
          <w:sz w:val="22"/>
          <w:szCs w:val="22"/>
        </w:rPr>
      </w:pPr>
      <w:r>
        <w:rPr>
          <w:sz w:val="22"/>
          <w:szCs w:val="22"/>
        </w:rPr>
        <w:t xml:space="preserve">The Department received written comments from EPA Region 4 </w:t>
      </w:r>
      <w:r w:rsidR="00B552FD">
        <w:rPr>
          <w:sz w:val="22"/>
          <w:szCs w:val="22"/>
        </w:rPr>
        <w:t>on September 4, 2012; 31 days after publication of the Public Notice.</w:t>
      </w:r>
      <w:r w:rsidR="009535A6">
        <w:rPr>
          <w:sz w:val="22"/>
          <w:szCs w:val="22"/>
        </w:rPr>
        <w:t xml:space="preserve">  </w:t>
      </w:r>
      <w:hyperlink r:id="rId9" w:history="1">
        <w:r w:rsidR="009535A6">
          <w:rPr>
            <w:rStyle w:val="Hyperlink"/>
            <w:sz w:val="22"/>
            <w:szCs w:val="22"/>
          </w:rPr>
          <w:t>Link to EPA Comments</w:t>
        </w:r>
      </w:hyperlink>
      <w:r w:rsidR="009535A6">
        <w:rPr>
          <w:sz w:val="22"/>
          <w:szCs w:val="22"/>
        </w:rPr>
        <w:t xml:space="preserve"> .</w:t>
      </w:r>
      <w:r w:rsidR="00B552FD">
        <w:rPr>
          <w:sz w:val="22"/>
          <w:szCs w:val="22"/>
        </w:rPr>
        <w:t xml:space="preserve"> </w:t>
      </w:r>
      <w:r w:rsidR="00B552FD" w:rsidRPr="00900669">
        <w:rPr>
          <w:sz w:val="22"/>
          <w:szCs w:val="22"/>
        </w:rPr>
        <w:t xml:space="preserve"> </w:t>
      </w:r>
      <w:r w:rsidR="00900669">
        <w:rPr>
          <w:sz w:val="22"/>
          <w:szCs w:val="22"/>
        </w:rPr>
        <w:t xml:space="preserve">These </w:t>
      </w:r>
      <w:r w:rsidR="0022686A">
        <w:rPr>
          <w:sz w:val="22"/>
          <w:szCs w:val="22"/>
        </w:rPr>
        <w:t xml:space="preserve">written comments </w:t>
      </w:r>
      <w:r w:rsidR="00900669">
        <w:rPr>
          <w:sz w:val="22"/>
          <w:szCs w:val="22"/>
        </w:rPr>
        <w:t xml:space="preserve">will nevertheless be considered because the </w:t>
      </w:r>
      <w:r>
        <w:rPr>
          <w:sz w:val="22"/>
          <w:szCs w:val="22"/>
        </w:rPr>
        <w:t xml:space="preserve">public comment period ended on a </w:t>
      </w:r>
      <w:r w:rsidR="00900669">
        <w:rPr>
          <w:sz w:val="22"/>
          <w:szCs w:val="22"/>
        </w:rPr>
        <w:t xml:space="preserve">recognized National holiday (Labor </w:t>
      </w:r>
      <w:r w:rsidR="0022686A">
        <w:rPr>
          <w:sz w:val="22"/>
          <w:szCs w:val="22"/>
        </w:rPr>
        <w:t>D</w:t>
      </w:r>
      <w:r w:rsidR="00900669">
        <w:rPr>
          <w:sz w:val="22"/>
          <w:szCs w:val="22"/>
        </w:rPr>
        <w:t xml:space="preserve">ay).  </w:t>
      </w:r>
    </w:p>
    <w:p w:rsidR="00900669" w:rsidRDefault="00900669" w:rsidP="00022918">
      <w:pPr>
        <w:pStyle w:val="Default"/>
        <w:spacing w:after="120"/>
        <w:rPr>
          <w:sz w:val="22"/>
          <w:szCs w:val="22"/>
        </w:rPr>
      </w:pPr>
      <w:r w:rsidRPr="00900669">
        <w:rPr>
          <w:sz w:val="22"/>
          <w:szCs w:val="22"/>
        </w:rPr>
        <w:t xml:space="preserve">The key comments contained in the </w:t>
      </w:r>
      <w:r>
        <w:rPr>
          <w:sz w:val="22"/>
          <w:szCs w:val="22"/>
        </w:rPr>
        <w:t>EPA Region 4 document</w:t>
      </w:r>
      <w:r w:rsidRPr="00900669">
        <w:rPr>
          <w:sz w:val="22"/>
          <w:szCs w:val="22"/>
        </w:rPr>
        <w:t xml:space="preserve"> are repeated or paraphrased </w:t>
      </w:r>
      <w:r w:rsidRPr="00900669">
        <w:rPr>
          <w:i/>
          <w:sz w:val="22"/>
          <w:szCs w:val="22"/>
        </w:rPr>
        <w:t>(in italics)</w:t>
      </w:r>
      <w:r w:rsidRPr="00900669">
        <w:rPr>
          <w:sz w:val="22"/>
          <w:szCs w:val="22"/>
        </w:rPr>
        <w:t xml:space="preserve"> below and followed by the Department’s response.</w:t>
      </w:r>
    </w:p>
    <w:p w:rsidR="00DA0307" w:rsidRDefault="00890EB6" w:rsidP="00022918">
      <w:pPr>
        <w:pStyle w:val="Default"/>
        <w:numPr>
          <w:ilvl w:val="0"/>
          <w:numId w:val="19"/>
        </w:numPr>
        <w:spacing w:after="120"/>
        <w:ind w:left="360"/>
        <w:rPr>
          <w:sz w:val="22"/>
          <w:szCs w:val="22"/>
        </w:rPr>
      </w:pPr>
      <w:r>
        <w:rPr>
          <w:i/>
          <w:sz w:val="22"/>
          <w:szCs w:val="22"/>
          <w:u w:val="single"/>
        </w:rPr>
        <w:t>General EPA Comment</w:t>
      </w:r>
      <w:r w:rsidRPr="00890EB6">
        <w:rPr>
          <w:i/>
          <w:sz w:val="22"/>
          <w:szCs w:val="22"/>
        </w:rPr>
        <w:t>:  “</w:t>
      </w:r>
      <w:r w:rsidR="00A00B26" w:rsidRPr="00890EB6">
        <w:rPr>
          <w:i/>
          <w:sz w:val="22"/>
          <w:szCs w:val="22"/>
        </w:rPr>
        <w:t>There are a few points of concern in the emissions calculations performed by both the applicant and the FDEP</w:t>
      </w:r>
      <w:r>
        <w:rPr>
          <w:i/>
          <w:sz w:val="22"/>
          <w:szCs w:val="22"/>
        </w:rPr>
        <w:t>” (who</w:t>
      </w:r>
      <w:r w:rsidR="00A00B26">
        <w:rPr>
          <w:i/>
          <w:sz w:val="22"/>
          <w:szCs w:val="22"/>
        </w:rPr>
        <w:t xml:space="preserve"> recalculated the emissions based on a revised heat input capacity).</w:t>
      </w:r>
    </w:p>
    <w:p w:rsidR="00183990" w:rsidRDefault="00183990" w:rsidP="00022918">
      <w:pPr>
        <w:pStyle w:val="Default"/>
        <w:spacing w:after="120"/>
        <w:ind w:left="360"/>
        <w:rPr>
          <w:sz w:val="22"/>
          <w:szCs w:val="22"/>
        </w:rPr>
      </w:pPr>
      <w:r w:rsidRPr="008403AF">
        <w:rPr>
          <w:sz w:val="22"/>
          <w:szCs w:val="22"/>
          <w:u w:val="single"/>
        </w:rPr>
        <w:t>Department Response</w:t>
      </w:r>
      <w:r w:rsidRPr="008403AF">
        <w:rPr>
          <w:sz w:val="22"/>
          <w:szCs w:val="22"/>
        </w:rPr>
        <w:t xml:space="preserve">:  </w:t>
      </w:r>
      <w:r>
        <w:rPr>
          <w:sz w:val="22"/>
          <w:szCs w:val="22"/>
        </w:rPr>
        <w:t xml:space="preserve">To clarify, these pre-NSPS units have never had enforceable heat input capacity limits.  In the Title V permit terms such capacity are indeed used, but conditions are included that explain the meaning of these terms in the relevant context.  Condition A.1 of </w:t>
      </w:r>
      <w:r w:rsidR="002B6663">
        <w:rPr>
          <w:sz w:val="22"/>
          <w:szCs w:val="22"/>
        </w:rPr>
        <w:t xml:space="preserve">the current </w:t>
      </w:r>
      <w:r>
        <w:rPr>
          <w:sz w:val="22"/>
          <w:szCs w:val="22"/>
        </w:rPr>
        <w:t>Title V permit No. 1010017-012 includes the following permitting note:</w:t>
      </w:r>
    </w:p>
    <w:p w:rsidR="00183990" w:rsidRPr="00A00B26" w:rsidRDefault="002B6663" w:rsidP="00022918">
      <w:pPr>
        <w:pStyle w:val="Default"/>
        <w:spacing w:after="120"/>
        <w:ind w:left="720" w:right="360"/>
        <w:jc w:val="both"/>
        <w:rPr>
          <w:i/>
          <w:sz w:val="22"/>
          <w:szCs w:val="22"/>
        </w:rPr>
      </w:pPr>
      <w:r w:rsidRPr="00A00B26">
        <w:rPr>
          <w:i/>
          <w:sz w:val="22"/>
          <w:szCs w:val="22"/>
        </w:rPr>
        <w:t>“</w:t>
      </w:r>
      <w:r w:rsidR="00183990" w:rsidRPr="00A00B26">
        <w:rPr>
          <w:i/>
          <w:sz w:val="22"/>
          <w:szCs w:val="22"/>
        </w:rPr>
        <w:t>The heat input limitations have been placed in each permit to identify the capacity of each unit for the purposes of confirming that emissions testing is conducted within 90 to 100 percent of the unit’s rated capacity (or to limit future operation to 110 percent of the test load), to establish appropriate emission limits and to aid in determining future rule applicability.  Regular record keeping is not required for heat input.</w:t>
      </w:r>
      <w:r w:rsidRPr="00A00B26">
        <w:rPr>
          <w:i/>
          <w:sz w:val="22"/>
          <w:szCs w:val="22"/>
        </w:rPr>
        <w:t>”</w:t>
      </w:r>
    </w:p>
    <w:p w:rsidR="00BB5B78" w:rsidRDefault="002B6663" w:rsidP="00022918">
      <w:pPr>
        <w:pStyle w:val="Default"/>
        <w:spacing w:after="120"/>
        <w:ind w:left="360"/>
        <w:rPr>
          <w:sz w:val="22"/>
          <w:szCs w:val="22"/>
        </w:rPr>
      </w:pPr>
      <w:r>
        <w:rPr>
          <w:sz w:val="22"/>
          <w:szCs w:val="22"/>
        </w:rPr>
        <w:t>Each unit is equipped with steam turbine-electric generator (STG) that has a gross nameplate rating of 556.2 megawatts (MW).  The boilers are sufficiently robust and stout while firing residual fuel oil (as designed) to produce sufficient steam to achieve the full gross nameplate rating</w:t>
      </w:r>
      <w:r w:rsidR="00BB5B78">
        <w:rPr>
          <w:sz w:val="22"/>
          <w:szCs w:val="22"/>
        </w:rPr>
        <w:t xml:space="preserve"> (some of which is consumed by the parasitic loads needed to operate the plant equipment, including fuel oil handling)</w:t>
      </w:r>
      <w:r>
        <w:rPr>
          <w:sz w:val="22"/>
          <w:szCs w:val="22"/>
        </w:rPr>
        <w:t xml:space="preserve">.  </w:t>
      </w:r>
      <w:r w:rsidR="00BB5B78">
        <w:rPr>
          <w:sz w:val="22"/>
          <w:szCs w:val="22"/>
        </w:rPr>
        <w:t>The emission estimates were based on greater heat input to achieve the same gross nameplate rating when using the alternative fuel (natural gas) which is less efficient within a furnace of a given size than the design fuel (residual fuel oil).  At this time, the amount of natural gas that can actually be burned after the project modifications is not known, except that it will likely be less than the value used to estimate emissions.</w:t>
      </w:r>
    </w:p>
    <w:p w:rsidR="00BB5B78" w:rsidRDefault="00BB5B78" w:rsidP="00022918">
      <w:pPr>
        <w:pStyle w:val="Default"/>
        <w:spacing w:after="120"/>
        <w:ind w:left="360"/>
        <w:rPr>
          <w:sz w:val="22"/>
          <w:szCs w:val="22"/>
        </w:rPr>
      </w:pPr>
      <w:r>
        <w:rPr>
          <w:sz w:val="22"/>
          <w:szCs w:val="22"/>
        </w:rPr>
        <w:t xml:space="preserve">The purpose of the project, as understood by the Department, is to allow the units to operate during the remainder of their useful lives </w:t>
      </w:r>
      <w:r w:rsidR="00947C01">
        <w:rPr>
          <w:sz w:val="22"/>
          <w:szCs w:val="22"/>
        </w:rPr>
        <w:t xml:space="preserve">under the constraints of several federally mandated regulations including the Mercury and Air Toxics Standards (MATS), </w:t>
      </w:r>
      <w:r w:rsidR="00A00B26">
        <w:rPr>
          <w:sz w:val="22"/>
          <w:szCs w:val="22"/>
        </w:rPr>
        <w:t xml:space="preserve">the Best Available Retrofit Technology (BART) Rules, </w:t>
      </w:r>
      <w:r w:rsidR="00947C01">
        <w:rPr>
          <w:sz w:val="22"/>
          <w:szCs w:val="22"/>
        </w:rPr>
        <w:t xml:space="preserve">and the alternative to the vacated Cross State Air Pollution Rule (CSAPR) – the Clean Air Interstate Rule (CAIR).  This </w:t>
      </w:r>
      <w:r w:rsidR="00A00B26">
        <w:rPr>
          <w:sz w:val="22"/>
          <w:szCs w:val="22"/>
        </w:rPr>
        <w:t xml:space="preserve">explanation </w:t>
      </w:r>
      <w:r w:rsidR="00947C01">
        <w:rPr>
          <w:sz w:val="22"/>
          <w:szCs w:val="22"/>
        </w:rPr>
        <w:t xml:space="preserve">is to dispel the </w:t>
      </w:r>
      <w:r w:rsidR="00A00B26">
        <w:rPr>
          <w:sz w:val="22"/>
          <w:szCs w:val="22"/>
        </w:rPr>
        <w:t xml:space="preserve">possible </w:t>
      </w:r>
      <w:r w:rsidR="00947C01">
        <w:rPr>
          <w:sz w:val="22"/>
          <w:szCs w:val="22"/>
        </w:rPr>
        <w:t xml:space="preserve">notion that </w:t>
      </w:r>
      <w:r w:rsidR="00A00B26">
        <w:rPr>
          <w:sz w:val="22"/>
          <w:szCs w:val="22"/>
        </w:rPr>
        <w:t>the project is an expansion of capacity.</w:t>
      </w:r>
    </w:p>
    <w:p w:rsidR="003360FE" w:rsidRPr="003360FE" w:rsidRDefault="003360FE" w:rsidP="00022918">
      <w:pPr>
        <w:pStyle w:val="Default"/>
        <w:numPr>
          <w:ilvl w:val="0"/>
          <w:numId w:val="19"/>
        </w:numPr>
        <w:spacing w:after="120"/>
        <w:ind w:left="360"/>
        <w:rPr>
          <w:sz w:val="22"/>
          <w:szCs w:val="22"/>
        </w:rPr>
      </w:pPr>
      <w:r>
        <w:rPr>
          <w:i/>
          <w:sz w:val="22"/>
          <w:szCs w:val="22"/>
          <w:u w:val="single"/>
        </w:rPr>
        <w:t xml:space="preserve">Reference </w:t>
      </w:r>
      <w:r w:rsidR="00890EB6">
        <w:rPr>
          <w:i/>
          <w:sz w:val="22"/>
          <w:szCs w:val="22"/>
          <w:u w:val="single"/>
        </w:rPr>
        <w:t>EPA Comment 1.a.</w:t>
      </w:r>
      <w:r w:rsidR="00E977BA">
        <w:rPr>
          <w:i/>
          <w:sz w:val="22"/>
          <w:szCs w:val="22"/>
          <w:u w:val="single"/>
        </w:rPr>
        <w:t>, 2-Step Applicability Procedure</w:t>
      </w:r>
      <w:r w:rsidR="00890EB6" w:rsidRPr="00890EB6">
        <w:rPr>
          <w:i/>
          <w:sz w:val="22"/>
          <w:szCs w:val="22"/>
        </w:rPr>
        <w:t xml:space="preserve">:  </w:t>
      </w:r>
      <w:r w:rsidR="00A00B26" w:rsidRPr="00890EB6">
        <w:rPr>
          <w:i/>
          <w:sz w:val="22"/>
          <w:szCs w:val="22"/>
        </w:rPr>
        <w:t>“Applicability for a modification involves a two-step process</w:t>
      </w:r>
      <w:r>
        <w:rPr>
          <w:i/>
          <w:sz w:val="22"/>
          <w:szCs w:val="22"/>
        </w:rPr>
        <w:t xml:space="preserve"> which includes eval</w:t>
      </w:r>
      <w:r w:rsidR="003932D3">
        <w:rPr>
          <w:i/>
          <w:sz w:val="22"/>
          <w:szCs w:val="22"/>
        </w:rPr>
        <w:t>uating the emissions increase (S</w:t>
      </w:r>
      <w:r>
        <w:rPr>
          <w:i/>
          <w:sz w:val="22"/>
          <w:szCs w:val="22"/>
        </w:rPr>
        <w:t>tep 1) and then the net e</w:t>
      </w:r>
      <w:r w:rsidR="003932D3">
        <w:rPr>
          <w:i/>
          <w:sz w:val="22"/>
          <w:szCs w:val="22"/>
        </w:rPr>
        <w:t>missions increase (S</w:t>
      </w:r>
      <w:r>
        <w:rPr>
          <w:i/>
          <w:sz w:val="22"/>
          <w:szCs w:val="22"/>
        </w:rPr>
        <w:t>tep 2) of the modification</w:t>
      </w:r>
      <w:r w:rsidR="00A00B26" w:rsidRPr="00890EB6">
        <w:rPr>
          <w:i/>
          <w:sz w:val="22"/>
          <w:szCs w:val="22"/>
        </w:rPr>
        <w:t>”</w:t>
      </w:r>
      <w:r w:rsidR="00890EB6">
        <w:rPr>
          <w:i/>
          <w:sz w:val="22"/>
          <w:szCs w:val="22"/>
        </w:rPr>
        <w:t xml:space="preserve">.  </w:t>
      </w:r>
    </w:p>
    <w:p w:rsidR="00E714F4" w:rsidRDefault="003360FE" w:rsidP="00022918">
      <w:pPr>
        <w:pStyle w:val="Default"/>
        <w:spacing w:after="120"/>
        <w:ind w:left="360"/>
        <w:rPr>
          <w:sz w:val="22"/>
          <w:szCs w:val="22"/>
        </w:rPr>
      </w:pPr>
      <w:r w:rsidRPr="008403AF">
        <w:rPr>
          <w:sz w:val="22"/>
          <w:szCs w:val="22"/>
          <w:u w:val="single"/>
        </w:rPr>
        <w:t>Department Response</w:t>
      </w:r>
      <w:r w:rsidRPr="008403AF">
        <w:rPr>
          <w:sz w:val="22"/>
          <w:szCs w:val="22"/>
        </w:rPr>
        <w:t xml:space="preserve">:  </w:t>
      </w:r>
      <w:r>
        <w:rPr>
          <w:sz w:val="22"/>
          <w:szCs w:val="22"/>
        </w:rPr>
        <w:t xml:space="preserve">The Department’s definition of “major source modification” is contained in </w:t>
      </w:r>
      <w:r>
        <w:rPr>
          <w:sz w:val="22"/>
          <w:szCs w:val="22"/>
        </w:rPr>
        <w:br/>
        <w:t>Rule 62-210.200 Definitions</w:t>
      </w:r>
      <w:r w:rsidR="00E714F4">
        <w:rPr>
          <w:sz w:val="22"/>
          <w:szCs w:val="22"/>
        </w:rPr>
        <w:t>, F.A.C.  It states:</w:t>
      </w:r>
      <w:r w:rsidR="00E714F4" w:rsidRPr="00E714F4">
        <w:rPr>
          <w:sz w:val="22"/>
          <w:szCs w:val="22"/>
        </w:rPr>
        <w:t xml:space="preserve">  </w:t>
      </w:r>
    </w:p>
    <w:p w:rsidR="003360FE" w:rsidRPr="00E714F4" w:rsidRDefault="003360FE" w:rsidP="00022918">
      <w:pPr>
        <w:pStyle w:val="Default"/>
        <w:spacing w:after="120"/>
        <w:ind w:left="720" w:right="360"/>
        <w:jc w:val="both"/>
        <w:rPr>
          <w:i/>
          <w:sz w:val="22"/>
          <w:szCs w:val="22"/>
        </w:rPr>
      </w:pPr>
      <w:r w:rsidRPr="00E714F4">
        <w:rPr>
          <w:i/>
          <w:sz w:val="22"/>
          <w:szCs w:val="22"/>
        </w:rPr>
        <w:t>(191) “Major Modification” –</w:t>
      </w:r>
      <w:r w:rsidR="00E714F4" w:rsidRPr="00E714F4">
        <w:rPr>
          <w:i/>
          <w:sz w:val="22"/>
          <w:szCs w:val="22"/>
        </w:rPr>
        <w:t xml:space="preserve"> </w:t>
      </w:r>
      <w:r w:rsidRPr="00E714F4">
        <w:rPr>
          <w:i/>
          <w:sz w:val="22"/>
          <w:szCs w:val="22"/>
        </w:rPr>
        <w:t xml:space="preserve">(a) Any physical change in or change in the method of operation of a major stationary source that would result in </w:t>
      </w:r>
      <w:r w:rsidR="001220BF" w:rsidRPr="001220BF">
        <w:rPr>
          <w:b/>
          <w:i/>
          <w:sz w:val="22"/>
          <w:szCs w:val="22"/>
        </w:rPr>
        <w:t xml:space="preserve">(1) </w:t>
      </w:r>
      <w:r w:rsidRPr="001220BF">
        <w:rPr>
          <w:b/>
          <w:i/>
          <w:sz w:val="22"/>
          <w:szCs w:val="22"/>
        </w:rPr>
        <w:t>a</w:t>
      </w:r>
      <w:r w:rsidRPr="00E714F4">
        <w:rPr>
          <w:i/>
          <w:sz w:val="22"/>
          <w:szCs w:val="22"/>
        </w:rPr>
        <w:t xml:space="preserve"> </w:t>
      </w:r>
      <w:r w:rsidRPr="001220BF">
        <w:rPr>
          <w:b/>
          <w:i/>
          <w:sz w:val="22"/>
          <w:szCs w:val="22"/>
        </w:rPr>
        <w:t>significant</w:t>
      </w:r>
      <w:r w:rsidR="00E714F4" w:rsidRPr="001220BF">
        <w:rPr>
          <w:b/>
          <w:i/>
          <w:sz w:val="22"/>
          <w:szCs w:val="22"/>
        </w:rPr>
        <w:t xml:space="preserve"> </w:t>
      </w:r>
      <w:r w:rsidRPr="001220BF">
        <w:rPr>
          <w:b/>
          <w:i/>
          <w:sz w:val="22"/>
          <w:szCs w:val="22"/>
        </w:rPr>
        <w:t>emissions increase</w:t>
      </w:r>
      <w:r w:rsidRPr="00E714F4">
        <w:rPr>
          <w:i/>
          <w:sz w:val="22"/>
          <w:szCs w:val="22"/>
        </w:rPr>
        <w:t xml:space="preserve"> of a PSD pollutant </w:t>
      </w:r>
      <w:r w:rsidRPr="001220BF">
        <w:rPr>
          <w:b/>
          <w:i/>
          <w:sz w:val="22"/>
          <w:szCs w:val="22"/>
          <w:u w:val="single"/>
        </w:rPr>
        <w:t>and</w:t>
      </w:r>
      <w:r w:rsidRPr="001220BF">
        <w:rPr>
          <w:i/>
          <w:sz w:val="22"/>
          <w:szCs w:val="22"/>
        </w:rPr>
        <w:t xml:space="preserve"> </w:t>
      </w:r>
      <w:r w:rsidR="001220BF" w:rsidRPr="001220BF">
        <w:rPr>
          <w:b/>
          <w:i/>
          <w:sz w:val="22"/>
          <w:szCs w:val="22"/>
        </w:rPr>
        <w:t xml:space="preserve">(2) </w:t>
      </w:r>
      <w:r w:rsidRPr="001220BF">
        <w:rPr>
          <w:b/>
          <w:i/>
          <w:sz w:val="22"/>
          <w:szCs w:val="22"/>
        </w:rPr>
        <w:t>a</w:t>
      </w:r>
      <w:r w:rsidRPr="00E714F4">
        <w:rPr>
          <w:i/>
          <w:sz w:val="22"/>
          <w:szCs w:val="22"/>
        </w:rPr>
        <w:t xml:space="preserve"> </w:t>
      </w:r>
      <w:r w:rsidRPr="001220BF">
        <w:rPr>
          <w:b/>
          <w:i/>
          <w:sz w:val="22"/>
          <w:szCs w:val="22"/>
        </w:rPr>
        <w:t>significant net emissions increase</w:t>
      </w:r>
      <w:r w:rsidRPr="00E714F4">
        <w:rPr>
          <w:i/>
          <w:sz w:val="22"/>
          <w:szCs w:val="22"/>
        </w:rPr>
        <w:t xml:space="preserve"> of that pollutant from the major stationary source.</w:t>
      </w:r>
      <w:r w:rsidR="00E714F4">
        <w:rPr>
          <w:i/>
          <w:sz w:val="22"/>
          <w:szCs w:val="22"/>
        </w:rPr>
        <w:t xml:space="preserve">  (</w:t>
      </w:r>
      <w:r w:rsidR="001220BF">
        <w:rPr>
          <w:i/>
          <w:sz w:val="22"/>
          <w:szCs w:val="22"/>
        </w:rPr>
        <w:t>The Department added the numbers 1 and 2 as well as the emphases</w:t>
      </w:r>
      <w:r w:rsidR="00E714F4">
        <w:rPr>
          <w:i/>
          <w:sz w:val="22"/>
          <w:szCs w:val="22"/>
        </w:rPr>
        <w:t>)</w:t>
      </w:r>
    </w:p>
    <w:p w:rsidR="00CD7901" w:rsidRDefault="00E714F4" w:rsidP="00022918">
      <w:pPr>
        <w:pStyle w:val="Default"/>
        <w:spacing w:after="120"/>
        <w:ind w:left="360"/>
        <w:rPr>
          <w:sz w:val="22"/>
          <w:szCs w:val="22"/>
        </w:rPr>
      </w:pPr>
      <w:r>
        <w:rPr>
          <w:sz w:val="22"/>
          <w:szCs w:val="22"/>
        </w:rPr>
        <w:t xml:space="preserve">The </w:t>
      </w:r>
      <w:r w:rsidR="001220BF">
        <w:rPr>
          <w:sz w:val="22"/>
          <w:szCs w:val="22"/>
        </w:rPr>
        <w:t xml:space="preserve">two steps </w:t>
      </w:r>
      <w:r w:rsidR="00F05C8E">
        <w:rPr>
          <w:sz w:val="22"/>
          <w:szCs w:val="22"/>
        </w:rPr>
        <w:t xml:space="preserve">described by EPA are imbedded in the Department’s definition of a major modification.  A demonstration that a significant emission increase does not occur is sufficient to determine that PSD does not apply without necessitating a second demonstration that a significant </w:t>
      </w:r>
      <w:r w:rsidR="00F05C8E" w:rsidRPr="00F05C8E">
        <w:rPr>
          <w:b/>
          <w:sz w:val="22"/>
          <w:szCs w:val="22"/>
          <w:u w:val="single"/>
        </w:rPr>
        <w:t>net</w:t>
      </w:r>
      <w:r w:rsidR="00F05C8E">
        <w:rPr>
          <w:sz w:val="22"/>
          <w:szCs w:val="22"/>
        </w:rPr>
        <w:t xml:space="preserve"> emissions increase does not occur.</w:t>
      </w:r>
      <w:r w:rsidR="00CD7901">
        <w:rPr>
          <w:sz w:val="22"/>
          <w:szCs w:val="22"/>
        </w:rPr>
        <w:t xml:space="preserve">  </w:t>
      </w:r>
    </w:p>
    <w:p w:rsidR="00F05C8E" w:rsidRDefault="00CD7901" w:rsidP="00022918">
      <w:pPr>
        <w:pStyle w:val="Default"/>
        <w:spacing w:after="120"/>
        <w:ind w:left="360"/>
        <w:rPr>
          <w:sz w:val="22"/>
          <w:szCs w:val="22"/>
        </w:rPr>
      </w:pPr>
      <w:r>
        <w:rPr>
          <w:sz w:val="22"/>
          <w:szCs w:val="22"/>
        </w:rPr>
        <w:t xml:space="preserve">Unfortunately, the Department used the term </w:t>
      </w:r>
      <w:r>
        <w:rPr>
          <w:rFonts w:eastAsia="Calibri"/>
          <w:sz w:val="22"/>
          <w:szCs w:val="22"/>
        </w:rPr>
        <w:t>“net e</w:t>
      </w:r>
      <w:r w:rsidRPr="005C0768">
        <w:rPr>
          <w:rFonts w:eastAsia="Calibri"/>
          <w:sz w:val="22"/>
          <w:szCs w:val="22"/>
        </w:rPr>
        <w:t xml:space="preserve">missions </w:t>
      </w:r>
      <w:r>
        <w:rPr>
          <w:rFonts w:eastAsia="Calibri"/>
          <w:sz w:val="22"/>
          <w:szCs w:val="22"/>
        </w:rPr>
        <w:t xml:space="preserve">increase” in a few places in the discussion when the </w:t>
      </w:r>
      <w:r w:rsidR="003932D3">
        <w:rPr>
          <w:rFonts w:eastAsia="Calibri"/>
          <w:sz w:val="22"/>
          <w:szCs w:val="22"/>
        </w:rPr>
        <w:t xml:space="preserve">Department was conducting Step 1 to determine </w:t>
      </w:r>
      <w:r>
        <w:rPr>
          <w:rFonts w:eastAsia="Calibri"/>
          <w:sz w:val="22"/>
          <w:szCs w:val="22"/>
        </w:rPr>
        <w:t>“emissions increases”</w:t>
      </w:r>
      <w:r w:rsidR="00620B6A">
        <w:rPr>
          <w:rFonts w:eastAsia="Calibri"/>
          <w:sz w:val="22"/>
          <w:szCs w:val="22"/>
        </w:rPr>
        <w:t xml:space="preserve"> (not net emissions increases)</w:t>
      </w:r>
      <w:r>
        <w:rPr>
          <w:rFonts w:eastAsia="Calibri"/>
          <w:sz w:val="22"/>
          <w:szCs w:val="22"/>
        </w:rPr>
        <w:t>, which equal the projected actual emissions minus the baseline actual emissions</w:t>
      </w:r>
      <w:r w:rsidR="003932D3">
        <w:rPr>
          <w:rFonts w:eastAsia="Calibri"/>
          <w:sz w:val="22"/>
          <w:szCs w:val="22"/>
        </w:rPr>
        <w:t xml:space="preserve"> as shown in the diagram below</w:t>
      </w:r>
      <w:r>
        <w:rPr>
          <w:rFonts w:eastAsia="Calibri"/>
          <w:sz w:val="22"/>
          <w:szCs w:val="22"/>
        </w:rPr>
        <w:t xml:space="preserve">.  </w:t>
      </w:r>
    </w:p>
    <w:p w:rsidR="00F05C8E" w:rsidRDefault="00CD7901" w:rsidP="00022918">
      <w:pPr>
        <w:pStyle w:val="Default"/>
        <w:ind w:left="360"/>
        <w:rPr>
          <w:sz w:val="22"/>
          <w:szCs w:val="22"/>
        </w:rPr>
      </w:pPr>
      <w:r>
        <w:rPr>
          <w:noProof/>
          <w:sz w:val="22"/>
          <w:szCs w:val="22"/>
        </w:rPr>
        <w:lastRenderedPageBreak/>
        <w:drawing>
          <wp:inline distT="0" distB="0" distL="0" distR="0">
            <wp:extent cx="5986937" cy="3488709"/>
            <wp:effectExtent l="152400" t="114300" r="356713" b="302241"/>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989594" cy="3490257"/>
                    </a:xfrm>
                    <a:prstGeom prst="rect">
                      <a:avLst/>
                    </a:prstGeom>
                    <a:ln>
                      <a:noFill/>
                    </a:ln>
                    <a:effectLst>
                      <a:outerShdw blurRad="292100" dist="139700" dir="2700000" algn="tl" rotWithShape="0">
                        <a:srgbClr val="333333">
                          <a:alpha val="65000"/>
                        </a:srgbClr>
                      </a:outerShdw>
                    </a:effectLst>
                  </pic:spPr>
                </pic:pic>
              </a:graphicData>
            </a:graphic>
          </wp:inline>
        </w:drawing>
      </w:r>
    </w:p>
    <w:p w:rsidR="0000528C" w:rsidRPr="006E78E2" w:rsidRDefault="006E78E2" w:rsidP="006E78E2">
      <w:pPr>
        <w:pStyle w:val="Default"/>
        <w:spacing w:after="120"/>
        <w:ind w:left="720"/>
        <w:jc w:val="center"/>
        <w:rPr>
          <w:rFonts w:eastAsia="Calibri"/>
          <w:b/>
          <w:sz w:val="28"/>
          <w:szCs w:val="28"/>
        </w:rPr>
      </w:pPr>
      <w:r>
        <w:rPr>
          <w:rFonts w:eastAsia="Calibri"/>
          <w:b/>
          <w:sz w:val="28"/>
          <w:szCs w:val="28"/>
        </w:rPr>
        <w:t xml:space="preserve">Figure 1.  Step </w:t>
      </w:r>
      <w:r w:rsidRPr="006E78E2">
        <w:rPr>
          <w:rFonts w:eastAsia="Calibri"/>
          <w:b/>
          <w:sz w:val="28"/>
          <w:szCs w:val="28"/>
        </w:rPr>
        <w:t>1 of a Two-Step Determination of Major Modification</w:t>
      </w:r>
    </w:p>
    <w:p w:rsidR="00E977BA" w:rsidRDefault="00E977BA" w:rsidP="00022918">
      <w:pPr>
        <w:pStyle w:val="Default"/>
        <w:spacing w:after="120"/>
        <w:ind w:left="360"/>
        <w:rPr>
          <w:sz w:val="22"/>
          <w:szCs w:val="22"/>
        </w:rPr>
      </w:pPr>
      <w:r>
        <w:rPr>
          <w:rFonts w:eastAsia="Calibri"/>
          <w:sz w:val="22"/>
          <w:szCs w:val="22"/>
        </w:rPr>
        <w:t xml:space="preserve">In determining PSD applicability, it was enough to show that there were not significant emissions increases thus obviating the need to go to Step 2.  </w:t>
      </w:r>
      <w:r w:rsidR="003932D3">
        <w:rPr>
          <w:sz w:val="22"/>
          <w:szCs w:val="22"/>
        </w:rPr>
        <w:t xml:space="preserve">The result is that </w:t>
      </w:r>
      <w:r>
        <w:rPr>
          <w:sz w:val="22"/>
          <w:szCs w:val="22"/>
        </w:rPr>
        <w:t xml:space="preserve">for </w:t>
      </w:r>
      <w:r w:rsidR="003932D3">
        <w:rPr>
          <w:sz w:val="22"/>
          <w:szCs w:val="22"/>
        </w:rPr>
        <w:t xml:space="preserve">all pollutants, except CO, there are not significant emissions increases.  </w:t>
      </w:r>
    </w:p>
    <w:p w:rsidR="00620B6A" w:rsidRDefault="00E977BA" w:rsidP="00022918">
      <w:pPr>
        <w:pStyle w:val="Default"/>
        <w:numPr>
          <w:ilvl w:val="0"/>
          <w:numId w:val="19"/>
        </w:numPr>
        <w:spacing w:after="120"/>
        <w:ind w:left="360"/>
        <w:rPr>
          <w:i/>
          <w:sz w:val="22"/>
          <w:szCs w:val="22"/>
        </w:rPr>
      </w:pPr>
      <w:r>
        <w:rPr>
          <w:i/>
          <w:sz w:val="22"/>
          <w:szCs w:val="22"/>
          <w:u w:val="single"/>
        </w:rPr>
        <w:t>Reference EPA Comment 1.a.</w:t>
      </w:r>
      <w:r w:rsidR="006E78E2">
        <w:rPr>
          <w:i/>
          <w:sz w:val="22"/>
          <w:szCs w:val="22"/>
          <w:u w:val="single"/>
        </w:rPr>
        <w:t xml:space="preserve">, Step </w:t>
      </w:r>
      <w:r w:rsidR="00620B6A">
        <w:rPr>
          <w:i/>
          <w:sz w:val="22"/>
          <w:szCs w:val="22"/>
          <w:u w:val="single"/>
        </w:rPr>
        <w:t>2 Netting Required</w:t>
      </w:r>
      <w:r w:rsidRPr="00890EB6">
        <w:rPr>
          <w:i/>
          <w:sz w:val="22"/>
          <w:szCs w:val="22"/>
        </w:rPr>
        <w:t>:  “</w:t>
      </w:r>
      <w:r>
        <w:rPr>
          <w:i/>
          <w:sz w:val="22"/>
          <w:szCs w:val="22"/>
        </w:rPr>
        <w:t>If the project shows a significant increase in emissions,</w:t>
      </w:r>
      <w:r w:rsidR="00620B6A">
        <w:rPr>
          <w:i/>
          <w:sz w:val="22"/>
          <w:szCs w:val="22"/>
        </w:rPr>
        <w:t xml:space="preserve"> netting analysis is required”.</w:t>
      </w:r>
    </w:p>
    <w:p w:rsidR="00620B6A" w:rsidRDefault="00620B6A" w:rsidP="00022918">
      <w:pPr>
        <w:pStyle w:val="Default"/>
        <w:spacing w:after="120"/>
        <w:ind w:left="360"/>
        <w:rPr>
          <w:i/>
          <w:sz w:val="22"/>
          <w:szCs w:val="22"/>
        </w:rPr>
      </w:pPr>
      <w:r w:rsidRPr="008403AF">
        <w:rPr>
          <w:sz w:val="22"/>
          <w:szCs w:val="22"/>
          <w:u w:val="single"/>
        </w:rPr>
        <w:t>Department Response</w:t>
      </w:r>
      <w:r w:rsidRPr="008403AF">
        <w:rPr>
          <w:sz w:val="22"/>
          <w:szCs w:val="22"/>
        </w:rPr>
        <w:t xml:space="preserve">:  </w:t>
      </w:r>
      <w:r>
        <w:rPr>
          <w:sz w:val="22"/>
          <w:szCs w:val="22"/>
        </w:rPr>
        <w:t xml:space="preserve">The Department believes netting is allowed (if performed correctly) but not required.  </w:t>
      </w:r>
    </w:p>
    <w:p w:rsidR="002D79FA" w:rsidRDefault="00620B6A" w:rsidP="00022918">
      <w:pPr>
        <w:pStyle w:val="Default"/>
        <w:numPr>
          <w:ilvl w:val="0"/>
          <w:numId w:val="19"/>
        </w:numPr>
        <w:spacing w:after="120"/>
        <w:ind w:left="360"/>
        <w:rPr>
          <w:i/>
          <w:sz w:val="22"/>
          <w:szCs w:val="22"/>
        </w:rPr>
      </w:pPr>
      <w:r>
        <w:rPr>
          <w:i/>
          <w:sz w:val="22"/>
          <w:szCs w:val="22"/>
          <w:u w:val="single"/>
        </w:rPr>
        <w:t>Re</w:t>
      </w:r>
      <w:r w:rsidR="006E78E2">
        <w:rPr>
          <w:i/>
          <w:sz w:val="22"/>
          <w:szCs w:val="22"/>
          <w:u w:val="single"/>
        </w:rPr>
        <w:t xml:space="preserve">ference EPA Comment 1.a., Step </w:t>
      </w:r>
      <w:r>
        <w:rPr>
          <w:i/>
          <w:sz w:val="22"/>
          <w:szCs w:val="22"/>
          <w:u w:val="single"/>
        </w:rPr>
        <w:t>2 Creditable Emissions increases and Decreases</w:t>
      </w:r>
      <w:r w:rsidRPr="00620B6A">
        <w:rPr>
          <w:i/>
          <w:sz w:val="22"/>
          <w:szCs w:val="22"/>
        </w:rPr>
        <w:t xml:space="preserve">:  </w:t>
      </w:r>
      <w:r w:rsidR="002D79FA">
        <w:rPr>
          <w:i/>
          <w:sz w:val="22"/>
          <w:szCs w:val="22"/>
        </w:rPr>
        <w:t xml:space="preserve">“The netting analysis should include both increases and decreases over the contemporaneous period.  </w:t>
      </w:r>
    </w:p>
    <w:p w:rsidR="002D79FA" w:rsidRDefault="002D79FA" w:rsidP="00022918">
      <w:pPr>
        <w:pStyle w:val="Default"/>
        <w:spacing w:after="120"/>
        <w:ind w:left="360"/>
        <w:rPr>
          <w:sz w:val="22"/>
          <w:szCs w:val="22"/>
        </w:rPr>
      </w:pPr>
      <w:r w:rsidRPr="008403AF">
        <w:rPr>
          <w:sz w:val="22"/>
          <w:szCs w:val="22"/>
          <w:u w:val="single"/>
        </w:rPr>
        <w:t>Department Response</w:t>
      </w:r>
      <w:r w:rsidRPr="008403AF">
        <w:rPr>
          <w:sz w:val="22"/>
          <w:szCs w:val="22"/>
        </w:rPr>
        <w:t xml:space="preserve">:  </w:t>
      </w:r>
      <w:r>
        <w:rPr>
          <w:sz w:val="22"/>
          <w:szCs w:val="22"/>
        </w:rPr>
        <w:t xml:space="preserve">The two residual oil and natural gas fueled units are overwhelmingly the only sources of any consequence on site.  They have not been modified for many years.  A PSD permit was issued for the two “helper cooling towers” that are the source of </w:t>
      </w:r>
      <w:r w:rsidR="0091563B">
        <w:rPr>
          <w:sz w:val="22"/>
          <w:szCs w:val="22"/>
        </w:rPr>
        <w:t>particulate matter (</w:t>
      </w:r>
      <w:r>
        <w:rPr>
          <w:sz w:val="22"/>
          <w:szCs w:val="22"/>
        </w:rPr>
        <w:t>PM</w:t>
      </w:r>
      <w:r w:rsidR="0091563B">
        <w:rPr>
          <w:sz w:val="22"/>
          <w:szCs w:val="22"/>
        </w:rPr>
        <w:t>)</w:t>
      </w:r>
      <w:r>
        <w:rPr>
          <w:sz w:val="22"/>
          <w:szCs w:val="22"/>
        </w:rPr>
        <w:t xml:space="preserve"> emissions.  These are not being modified as part of the project, although a clarification is included regarding their use for 9,000 aggregated hours/year for the two towers instead of 4,500 hours/year for each tower (which also equals 9,000 hours for the two when combined).</w:t>
      </w:r>
    </w:p>
    <w:p w:rsidR="00022918" w:rsidRDefault="002D79FA" w:rsidP="00022918">
      <w:pPr>
        <w:pStyle w:val="Default"/>
        <w:spacing w:after="120"/>
        <w:ind w:left="360"/>
        <w:rPr>
          <w:sz w:val="22"/>
          <w:szCs w:val="22"/>
        </w:rPr>
      </w:pPr>
      <w:r w:rsidRPr="002D79FA">
        <w:rPr>
          <w:sz w:val="22"/>
          <w:szCs w:val="22"/>
        </w:rPr>
        <w:t xml:space="preserve">The natural gas </w:t>
      </w:r>
      <w:r>
        <w:rPr>
          <w:sz w:val="22"/>
          <w:szCs w:val="22"/>
        </w:rPr>
        <w:t xml:space="preserve">heaters were included in the analysis conducted by the applicant, but were overlooked by the Department when conducting its own calculations.  </w:t>
      </w:r>
      <w:r w:rsidR="00AD35B1">
        <w:rPr>
          <w:sz w:val="22"/>
          <w:szCs w:val="22"/>
        </w:rPr>
        <w:t>However, BACT emission limits were specified for these sources as part of the entire project.</w:t>
      </w:r>
    </w:p>
    <w:p w:rsidR="00AD35B1" w:rsidRPr="00AD35B1" w:rsidRDefault="00AD35B1" w:rsidP="00022918">
      <w:pPr>
        <w:pStyle w:val="Default"/>
        <w:numPr>
          <w:ilvl w:val="0"/>
          <w:numId w:val="19"/>
        </w:numPr>
        <w:spacing w:after="120"/>
        <w:ind w:left="360"/>
        <w:rPr>
          <w:sz w:val="22"/>
          <w:szCs w:val="22"/>
        </w:rPr>
      </w:pPr>
      <w:r>
        <w:rPr>
          <w:i/>
          <w:sz w:val="22"/>
          <w:szCs w:val="22"/>
          <w:u w:val="single"/>
        </w:rPr>
        <w:t>Reference EPA Comment 1.b.</w:t>
      </w:r>
      <w:r w:rsidR="008C15D3">
        <w:rPr>
          <w:i/>
          <w:sz w:val="22"/>
          <w:szCs w:val="22"/>
          <w:u w:val="single"/>
        </w:rPr>
        <w:t>, Startup</w:t>
      </w:r>
      <w:r>
        <w:rPr>
          <w:i/>
          <w:sz w:val="22"/>
          <w:szCs w:val="22"/>
          <w:u w:val="single"/>
        </w:rPr>
        <w:t>, Shutdown, and Fugitive Emissions not Indicated</w:t>
      </w:r>
      <w:r w:rsidRPr="00620B6A">
        <w:rPr>
          <w:i/>
          <w:sz w:val="22"/>
          <w:szCs w:val="22"/>
        </w:rPr>
        <w:t xml:space="preserve">:  </w:t>
      </w:r>
      <w:r>
        <w:rPr>
          <w:i/>
          <w:sz w:val="22"/>
          <w:szCs w:val="22"/>
        </w:rPr>
        <w:t>“The application and the preliminary determination do not indicate if startup, shutdown, and fugitive emissions were included in the emission calculations”.</w:t>
      </w:r>
    </w:p>
    <w:p w:rsidR="00022918" w:rsidRDefault="00022918">
      <w:pPr>
        <w:rPr>
          <w:color w:val="000000"/>
          <w:sz w:val="22"/>
          <w:szCs w:val="22"/>
          <w:u w:val="single"/>
        </w:rPr>
      </w:pPr>
      <w:r>
        <w:rPr>
          <w:sz w:val="22"/>
          <w:szCs w:val="22"/>
          <w:u w:val="single"/>
        </w:rPr>
        <w:br w:type="page"/>
      </w:r>
    </w:p>
    <w:p w:rsidR="00AD35B1" w:rsidRDefault="00AD35B1" w:rsidP="00022918">
      <w:pPr>
        <w:pStyle w:val="Default"/>
        <w:spacing w:after="120"/>
        <w:ind w:left="360"/>
        <w:rPr>
          <w:sz w:val="22"/>
          <w:szCs w:val="22"/>
        </w:rPr>
      </w:pPr>
      <w:r w:rsidRPr="008403AF">
        <w:rPr>
          <w:sz w:val="22"/>
          <w:szCs w:val="22"/>
          <w:u w:val="single"/>
        </w:rPr>
        <w:lastRenderedPageBreak/>
        <w:t>Department Response</w:t>
      </w:r>
      <w:r w:rsidRPr="008403AF">
        <w:rPr>
          <w:sz w:val="22"/>
          <w:szCs w:val="22"/>
        </w:rPr>
        <w:t xml:space="preserve">:  </w:t>
      </w:r>
      <w:r>
        <w:rPr>
          <w:sz w:val="22"/>
          <w:szCs w:val="22"/>
        </w:rPr>
        <w:t>The startup and shutdown emission were included, though not delineated, for SO</w:t>
      </w:r>
      <w:r w:rsidRPr="00DE7927">
        <w:rPr>
          <w:sz w:val="22"/>
          <w:szCs w:val="22"/>
          <w:vertAlign w:val="subscript"/>
        </w:rPr>
        <w:t>2</w:t>
      </w:r>
      <w:r>
        <w:rPr>
          <w:sz w:val="22"/>
          <w:szCs w:val="22"/>
        </w:rPr>
        <w:t xml:space="preserve"> and NO</w:t>
      </w:r>
      <w:r w:rsidRPr="00AD35B1">
        <w:rPr>
          <w:sz w:val="22"/>
          <w:szCs w:val="22"/>
          <w:vertAlign w:val="subscript"/>
        </w:rPr>
        <w:t>X</w:t>
      </w:r>
      <w:r>
        <w:rPr>
          <w:sz w:val="22"/>
          <w:szCs w:val="22"/>
        </w:rPr>
        <w:t>.  The baseline emissions for SO</w:t>
      </w:r>
      <w:r w:rsidRPr="00AD35B1">
        <w:rPr>
          <w:sz w:val="22"/>
          <w:szCs w:val="22"/>
          <w:vertAlign w:val="subscript"/>
        </w:rPr>
        <w:t>2</w:t>
      </w:r>
      <w:r>
        <w:rPr>
          <w:sz w:val="22"/>
          <w:szCs w:val="22"/>
        </w:rPr>
        <w:t xml:space="preserve"> and NO</w:t>
      </w:r>
      <w:r w:rsidRPr="00AD35B1">
        <w:rPr>
          <w:sz w:val="22"/>
          <w:szCs w:val="22"/>
          <w:vertAlign w:val="subscript"/>
        </w:rPr>
        <w:t>X</w:t>
      </w:r>
      <w:r>
        <w:rPr>
          <w:sz w:val="22"/>
          <w:szCs w:val="22"/>
        </w:rPr>
        <w:t xml:space="preserve"> were derived from the EPA Air Markets Program Data link which captures all modes of acid rain unit operations.</w:t>
      </w:r>
      <w:r w:rsidR="00DE7927">
        <w:rPr>
          <w:sz w:val="22"/>
          <w:szCs w:val="22"/>
        </w:rPr>
        <w:t xml:space="preserve">  Then startup emissions in the future for SO</w:t>
      </w:r>
      <w:r w:rsidR="00DE7927" w:rsidRPr="00DE7927">
        <w:rPr>
          <w:sz w:val="22"/>
          <w:szCs w:val="22"/>
          <w:vertAlign w:val="subscript"/>
        </w:rPr>
        <w:t>2</w:t>
      </w:r>
      <w:r w:rsidR="00DE7927">
        <w:rPr>
          <w:sz w:val="22"/>
          <w:szCs w:val="22"/>
        </w:rPr>
        <w:t xml:space="preserve"> are imbedded in the projected actual emissions and are a straight function of fuel use.  Note that the potential to emit (PTE) SO</w:t>
      </w:r>
      <w:r w:rsidR="00DE7927" w:rsidRPr="00DE7927">
        <w:rPr>
          <w:sz w:val="22"/>
          <w:szCs w:val="22"/>
          <w:vertAlign w:val="subscript"/>
        </w:rPr>
        <w:t>2</w:t>
      </w:r>
      <w:r w:rsidR="00DE7927">
        <w:rPr>
          <w:sz w:val="22"/>
          <w:szCs w:val="22"/>
        </w:rPr>
        <w:t xml:space="preserve"> is being reduced from approximately 120,000 tons/year to approximately 120 tons/year.</w:t>
      </w:r>
    </w:p>
    <w:p w:rsidR="00AD35B1" w:rsidRDefault="00DE7927" w:rsidP="00022918">
      <w:pPr>
        <w:pStyle w:val="Default"/>
        <w:spacing w:after="120"/>
        <w:ind w:left="360"/>
        <w:rPr>
          <w:sz w:val="22"/>
          <w:szCs w:val="22"/>
        </w:rPr>
      </w:pPr>
      <w:r>
        <w:rPr>
          <w:sz w:val="22"/>
          <w:szCs w:val="22"/>
        </w:rPr>
        <w:t>NO</w:t>
      </w:r>
      <w:r w:rsidRPr="00DE7927">
        <w:rPr>
          <w:sz w:val="22"/>
          <w:szCs w:val="22"/>
          <w:vertAlign w:val="subscript"/>
        </w:rPr>
        <w:t>X</w:t>
      </w:r>
      <w:r>
        <w:rPr>
          <w:sz w:val="22"/>
          <w:szCs w:val="22"/>
        </w:rPr>
        <w:t xml:space="preserve"> emissions are highest at maximum production when the furnace temperature (and NO</w:t>
      </w:r>
      <w:r w:rsidRPr="00DE7927">
        <w:rPr>
          <w:sz w:val="22"/>
          <w:szCs w:val="22"/>
          <w:vertAlign w:val="subscript"/>
        </w:rPr>
        <w:t>X</w:t>
      </w:r>
      <w:r>
        <w:rPr>
          <w:sz w:val="22"/>
          <w:szCs w:val="22"/>
        </w:rPr>
        <w:t xml:space="preserve"> formation potential) is at the maximum level.  Separate delineation of startup and shutdown NO</w:t>
      </w:r>
      <w:r w:rsidRPr="00DE7927">
        <w:rPr>
          <w:sz w:val="22"/>
          <w:szCs w:val="22"/>
          <w:vertAlign w:val="subscript"/>
        </w:rPr>
        <w:t>X</w:t>
      </w:r>
      <w:r>
        <w:rPr>
          <w:sz w:val="22"/>
          <w:szCs w:val="22"/>
        </w:rPr>
        <w:t xml:space="preserve"> emissions would make very little difference in the calculations and none at all regarding PSD applicability.</w:t>
      </w:r>
    </w:p>
    <w:p w:rsidR="00065048" w:rsidRDefault="00DE7927" w:rsidP="00022918">
      <w:pPr>
        <w:pStyle w:val="Default"/>
        <w:spacing w:after="120"/>
        <w:ind w:left="360"/>
        <w:rPr>
          <w:sz w:val="22"/>
          <w:szCs w:val="22"/>
        </w:rPr>
      </w:pPr>
      <w:r>
        <w:rPr>
          <w:sz w:val="22"/>
          <w:szCs w:val="22"/>
        </w:rPr>
        <w:t>In the case of PM/PM</w:t>
      </w:r>
      <w:r w:rsidRPr="00DE7927">
        <w:rPr>
          <w:sz w:val="22"/>
          <w:szCs w:val="22"/>
          <w:vertAlign w:val="subscript"/>
        </w:rPr>
        <w:t>10</w:t>
      </w:r>
      <w:r>
        <w:rPr>
          <w:sz w:val="22"/>
          <w:szCs w:val="22"/>
        </w:rPr>
        <w:t xml:space="preserve">, the startup and shutdown emissions from residual oil firing are much greater than those from firing natural gas.  Such startup and shutdown emissions will be much less in the future than in the past.  </w:t>
      </w:r>
      <w:r w:rsidR="00065048">
        <w:rPr>
          <w:sz w:val="22"/>
          <w:szCs w:val="22"/>
        </w:rPr>
        <w:t xml:space="preserve">At low furnace temperature, residual fuel oil firing results in emissions of char particles (and CO) that do not achieve burnout within the furnace and are thus emitted.  </w:t>
      </w:r>
    </w:p>
    <w:p w:rsidR="00DE7927" w:rsidRDefault="00DE7927" w:rsidP="00022918">
      <w:pPr>
        <w:pStyle w:val="Default"/>
        <w:spacing w:after="120"/>
        <w:ind w:left="360"/>
        <w:rPr>
          <w:sz w:val="22"/>
          <w:szCs w:val="22"/>
        </w:rPr>
      </w:pPr>
      <w:r>
        <w:rPr>
          <w:sz w:val="22"/>
          <w:szCs w:val="22"/>
        </w:rPr>
        <w:t xml:space="preserve">The Department believes that if the applicant had included estimates </w:t>
      </w:r>
      <w:r w:rsidR="00065048">
        <w:rPr>
          <w:sz w:val="22"/>
          <w:szCs w:val="22"/>
        </w:rPr>
        <w:t xml:space="preserve">of CO </w:t>
      </w:r>
      <w:r>
        <w:rPr>
          <w:sz w:val="22"/>
          <w:szCs w:val="22"/>
        </w:rPr>
        <w:t xml:space="preserve">startup and shutdown emissions </w:t>
      </w:r>
      <w:r w:rsidR="00065048">
        <w:rPr>
          <w:sz w:val="22"/>
          <w:szCs w:val="22"/>
        </w:rPr>
        <w:t>as well as low</w:t>
      </w:r>
      <w:r w:rsidR="005B66CB">
        <w:rPr>
          <w:sz w:val="22"/>
          <w:szCs w:val="22"/>
        </w:rPr>
        <w:t>-</w:t>
      </w:r>
      <w:r w:rsidR="00065048">
        <w:rPr>
          <w:sz w:val="22"/>
          <w:szCs w:val="22"/>
        </w:rPr>
        <w:t>to</w:t>
      </w:r>
      <w:r w:rsidR="005B66CB">
        <w:rPr>
          <w:sz w:val="22"/>
          <w:szCs w:val="22"/>
        </w:rPr>
        <w:t>-</w:t>
      </w:r>
      <w:r w:rsidR="00065048">
        <w:rPr>
          <w:sz w:val="22"/>
          <w:szCs w:val="22"/>
        </w:rPr>
        <w:t>medium load emissions when conducting estimates of baseline actual emissions, th</w:t>
      </w:r>
      <w:r w:rsidR="008C15D3">
        <w:rPr>
          <w:sz w:val="22"/>
          <w:szCs w:val="22"/>
        </w:rPr>
        <w:t xml:space="preserve">e most likely outcome is that </w:t>
      </w:r>
      <w:r w:rsidR="00065048">
        <w:rPr>
          <w:sz w:val="22"/>
          <w:szCs w:val="22"/>
        </w:rPr>
        <w:t xml:space="preserve">PSD for CO would </w:t>
      </w:r>
      <w:r w:rsidR="008C15D3">
        <w:rPr>
          <w:sz w:val="22"/>
          <w:szCs w:val="22"/>
        </w:rPr>
        <w:t xml:space="preserve">not </w:t>
      </w:r>
      <w:r w:rsidR="00065048">
        <w:rPr>
          <w:sz w:val="22"/>
          <w:szCs w:val="22"/>
        </w:rPr>
        <w:t>have been triggered</w:t>
      </w:r>
      <w:r w:rsidR="005B66CB">
        <w:rPr>
          <w:sz w:val="22"/>
          <w:szCs w:val="22"/>
        </w:rPr>
        <w:t xml:space="preserve"> for the conversion to natural gas</w:t>
      </w:r>
      <w:r w:rsidR="00065048">
        <w:rPr>
          <w:sz w:val="22"/>
          <w:szCs w:val="22"/>
        </w:rPr>
        <w:t>.  Due to lack of data</w:t>
      </w:r>
      <w:r w:rsidR="005B66CB">
        <w:rPr>
          <w:sz w:val="22"/>
          <w:szCs w:val="22"/>
        </w:rPr>
        <w:t>,</w:t>
      </w:r>
      <w:r w:rsidR="00065048">
        <w:rPr>
          <w:sz w:val="22"/>
          <w:szCs w:val="22"/>
        </w:rPr>
        <w:t xml:space="preserve"> conservatively low estimates were made regarding past emissions and conservatively high estimates were made regarding future emissions of CO and </w:t>
      </w:r>
      <w:r w:rsidR="0091563B">
        <w:rPr>
          <w:sz w:val="22"/>
          <w:szCs w:val="22"/>
        </w:rPr>
        <w:t>volatile organic compounds (</w:t>
      </w:r>
      <w:r w:rsidR="00065048">
        <w:rPr>
          <w:sz w:val="22"/>
          <w:szCs w:val="22"/>
        </w:rPr>
        <w:t>VOC).</w:t>
      </w:r>
    </w:p>
    <w:p w:rsidR="00065048" w:rsidRDefault="00065048" w:rsidP="00022918">
      <w:pPr>
        <w:pStyle w:val="Default"/>
        <w:spacing w:after="120"/>
        <w:ind w:left="360"/>
        <w:rPr>
          <w:sz w:val="22"/>
          <w:szCs w:val="22"/>
        </w:rPr>
      </w:pPr>
      <w:r>
        <w:rPr>
          <w:sz w:val="22"/>
          <w:szCs w:val="22"/>
        </w:rPr>
        <w:t xml:space="preserve">The Department will emphasize to applicants to submit more complete information regarding these issues, but notes the overwhelmingly positive features of this particular project with respect to lower contribution to ozone formation, lower contribution to fine particulate formation, </w:t>
      </w:r>
      <w:r w:rsidR="000216E0">
        <w:rPr>
          <w:sz w:val="22"/>
          <w:szCs w:val="22"/>
        </w:rPr>
        <w:t xml:space="preserve">lower </w:t>
      </w:r>
      <w:r w:rsidR="005B66CB">
        <w:rPr>
          <w:sz w:val="22"/>
          <w:szCs w:val="22"/>
        </w:rPr>
        <w:t>ground level</w:t>
      </w:r>
      <w:r w:rsidR="000216E0">
        <w:rPr>
          <w:sz w:val="22"/>
          <w:szCs w:val="22"/>
        </w:rPr>
        <w:t xml:space="preserve"> SO</w:t>
      </w:r>
      <w:r w:rsidR="000216E0" w:rsidRPr="000216E0">
        <w:rPr>
          <w:sz w:val="22"/>
          <w:szCs w:val="22"/>
          <w:vertAlign w:val="subscript"/>
        </w:rPr>
        <w:t>2</w:t>
      </w:r>
      <w:r w:rsidR="000216E0">
        <w:rPr>
          <w:sz w:val="22"/>
          <w:szCs w:val="22"/>
        </w:rPr>
        <w:t xml:space="preserve"> and NO</w:t>
      </w:r>
      <w:r w:rsidR="000216E0" w:rsidRPr="000216E0">
        <w:rPr>
          <w:sz w:val="22"/>
          <w:szCs w:val="22"/>
          <w:vertAlign w:val="subscript"/>
        </w:rPr>
        <w:t>2</w:t>
      </w:r>
      <w:r w:rsidR="000216E0">
        <w:rPr>
          <w:sz w:val="22"/>
          <w:szCs w:val="22"/>
        </w:rPr>
        <w:t xml:space="preserve"> concentrations, </w:t>
      </w:r>
      <w:r>
        <w:rPr>
          <w:sz w:val="22"/>
          <w:szCs w:val="22"/>
        </w:rPr>
        <w:t>lower contribution to interstate pollutant transport and lower emissions of hazardous air pollutants (HAP).</w:t>
      </w:r>
    </w:p>
    <w:p w:rsidR="000F6507" w:rsidRDefault="00752B7B" w:rsidP="00022918">
      <w:pPr>
        <w:pStyle w:val="Default"/>
        <w:numPr>
          <w:ilvl w:val="0"/>
          <w:numId w:val="19"/>
        </w:numPr>
        <w:spacing w:after="120"/>
        <w:ind w:left="360"/>
        <w:rPr>
          <w:i/>
          <w:sz w:val="22"/>
          <w:szCs w:val="22"/>
        </w:rPr>
      </w:pPr>
      <w:r w:rsidRPr="000F6507">
        <w:rPr>
          <w:i/>
          <w:sz w:val="22"/>
          <w:szCs w:val="22"/>
          <w:u w:val="single"/>
        </w:rPr>
        <w:t xml:space="preserve">EPA Comment 2, </w:t>
      </w:r>
      <w:r w:rsidR="007122C7">
        <w:rPr>
          <w:i/>
          <w:sz w:val="22"/>
          <w:szCs w:val="22"/>
          <w:u w:val="single"/>
        </w:rPr>
        <w:t>1</w:t>
      </w:r>
      <w:r w:rsidR="007122C7" w:rsidRPr="007122C7">
        <w:rPr>
          <w:i/>
          <w:sz w:val="22"/>
          <w:szCs w:val="22"/>
          <w:u w:val="single"/>
          <w:vertAlign w:val="superscript"/>
        </w:rPr>
        <w:t>st</w:t>
      </w:r>
      <w:r w:rsidR="007122C7">
        <w:rPr>
          <w:i/>
          <w:sz w:val="22"/>
          <w:szCs w:val="22"/>
          <w:u w:val="single"/>
        </w:rPr>
        <w:t xml:space="preserve"> Paragraph, </w:t>
      </w:r>
      <w:r w:rsidRPr="000F6507">
        <w:rPr>
          <w:i/>
          <w:sz w:val="22"/>
          <w:szCs w:val="22"/>
          <w:u w:val="single"/>
        </w:rPr>
        <w:t xml:space="preserve">Technical </w:t>
      </w:r>
      <w:r w:rsidR="000F6507">
        <w:rPr>
          <w:i/>
          <w:sz w:val="22"/>
          <w:szCs w:val="22"/>
          <w:u w:val="single"/>
        </w:rPr>
        <w:t>F</w:t>
      </w:r>
      <w:r w:rsidRPr="000F6507">
        <w:rPr>
          <w:i/>
          <w:sz w:val="22"/>
          <w:szCs w:val="22"/>
          <w:u w:val="single"/>
        </w:rPr>
        <w:t>easibility of Oxidation Catalyst (Ox-cat)</w:t>
      </w:r>
      <w:r w:rsidR="000F6507">
        <w:rPr>
          <w:i/>
          <w:sz w:val="22"/>
          <w:szCs w:val="22"/>
        </w:rPr>
        <w:t>:</w:t>
      </w:r>
      <w:r>
        <w:rPr>
          <w:i/>
          <w:sz w:val="22"/>
          <w:szCs w:val="22"/>
        </w:rPr>
        <w:t xml:space="preserve">  “The applicant and the FDEP determined the use of an oxidation catalyst not technically feasible due to lack of demonstration for large fossil fuel-fired boilers.  However given that oxidation </w:t>
      </w:r>
      <w:r w:rsidR="000F6507">
        <w:rPr>
          <w:i/>
          <w:sz w:val="22"/>
          <w:szCs w:val="22"/>
        </w:rPr>
        <w:t>catalysts are available for boilers that are significantly smaller in size than the boilers proposed in this project, (e.g., Port Dolphin LNG issued by the EPA), the FDEP should provide additional technical information why an oxidation catalyst cannot be used on very large boilers.</w:t>
      </w:r>
      <w:r w:rsidR="00AE3661">
        <w:rPr>
          <w:i/>
          <w:sz w:val="22"/>
          <w:szCs w:val="22"/>
        </w:rPr>
        <w:t>”</w:t>
      </w:r>
    </w:p>
    <w:p w:rsidR="0057146F" w:rsidRPr="00C67614" w:rsidRDefault="000F6507" w:rsidP="00022918">
      <w:pPr>
        <w:pStyle w:val="Default"/>
        <w:spacing w:after="120"/>
        <w:ind w:left="360"/>
        <w:rPr>
          <w:sz w:val="22"/>
          <w:szCs w:val="22"/>
        </w:rPr>
      </w:pPr>
      <w:r w:rsidRPr="008403AF">
        <w:rPr>
          <w:sz w:val="22"/>
          <w:szCs w:val="22"/>
          <w:u w:val="single"/>
        </w:rPr>
        <w:t>Department Response</w:t>
      </w:r>
      <w:r w:rsidRPr="008403AF">
        <w:rPr>
          <w:sz w:val="22"/>
          <w:szCs w:val="22"/>
        </w:rPr>
        <w:t xml:space="preserve">:  </w:t>
      </w:r>
      <w:r>
        <w:rPr>
          <w:sz w:val="22"/>
          <w:szCs w:val="22"/>
        </w:rPr>
        <w:t>The Department did not determine that Ox-cat is technically infeasible and rejected the reasons given by the applicant for technical infeasibility</w:t>
      </w:r>
      <w:r w:rsidR="0057146F">
        <w:rPr>
          <w:sz w:val="22"/>
          <w:szCs w:val="22"/>
        </w:rPr>
        <w:t xml:space="preserve">.  </w:t>
      </w:r>
      <w:r w:rsidR="00C67614">
        <w:rPr>
          <w:sz w:val="22"/>
          <w:szCs w:val="22"/>
        </w:rPr>
        <w:t xml:space="preserve">In the </w:t>
      </w:r>
      <w:r w:rsidR="0057146F" w:rsidRPr="00C67614">
        <w:rPr>
          <w:sz w:val="22"/>
          <w:szCs w:val="22"/>
        </w:rPr>
        <w:t>Techn</w:t>
      </w:r>
      <w:r w:rsidR="00C67614">
        <w:rPr>
          <w:sz w:val="22"/>
          <w:szCs w:val="22"/>
        </w:rPr>
        <w:t>i</w:t>
      </w:r>
      <w:r w:rsidR="0057146F" w:rsidRPr="00C67614">
        <w:rPr>
          <w:sz w:val="22"/>
          <w:szCs w:val="22"/>
        </w:rPr>
        <w:t>cal Evaluation and Preliminary Determination (TEPD) document</w:t>
      </w:r>
      <w:r w:rsidR="00C67614">
        <w:rPr>
          <w:sz w:val="22"/>
          <w:szCs w:val="22"/>
        </w:rPr>
        <w:t>, page 17, section titled, “</w:t>
      </w:r>
      <w:r w:rsidR="0057146F" w:rsidRPr="00C67614">
        <w:rPr>
          <w:sz w:val="22"/>
          <w:szCs w:val="22"/>
        </w:rPr>
        <w:t>Department’s Assessment of Applicant’s CO BACT Proposal</w:t>
      </w:r>
      <w:r w:rsidR="00C67614">
        <w:rPr>
          <w:sz w:val="22"/>
          <w:szCs w:val="22"/>
        </w:rPr>
        <w:t>”, the Department states:</w:t>
      </w:r>
    </w:p>
    <w:p w:rsidR="0057146F" w:rsidRDefault="00C67614" w:rsidP="00022918">
      <w:pPr>
        <w:pStyle w:val="Default"/>
        <w:spacing w:after="120"/>
        <w:ind w:left="720" w:right="360"/>
        <w:rPr>
          <w:sz w:val="22"/>
          <w:szCs w:val="22"/>
        </w:rPr>
      </w:pPr>
      <w:r>
        <w:rPr>
          <w:sz w:val="22"/>
          <w:szCs w:val="22"/>
        </w:rPr>
        <w:t>“</w:t>
      </w:r>
      <w:r w:rsidR="0057146F">
        <w:rPr>
          <w:sz w:val="22"/>
          <w:szCs w:val="22"/>
        </w:rPr>
        <w:t>The Department disagrees with the rationale provided in support of the claim that Ox-cat is not technically feasible</w:t>
      </w:r>
      <w:r>
        <w:rPr>
          <w:sz w:val="22"/>
          <w:szCs w:val="22"/>
        </w:rPr>
        <w:t>”</w:t>
      </w:r>
      <w:r w:rsidR="0057146F">
        <w:rPr>
          <w:sz w:val="22"/>
          <w:szCs w:val="22"/>
        </w:rPr>
        <w:t>.</w:t>
      </w:r>
    </w:p>
    <w:p w:rsidR="006840AC" w:rsidRDefault="001958DD" w:rsidP="00022918">
      <w:pPr>
        <w:pStyle w:val="Default"/>
        <w:spacing w:after="120"/>
        <w:ind w:left="360"/>
        <w:rPr>
          <w:sz w:val="22"/>
          <w:szCs w:val="22"/>
        </w:rPr>
      </w:pPr>
      <w:r>
        <w:rPr>
          <w:sz w:val="22"/>
          <w:szCs w:val="22"/>
        </w:rPr>
        <w:t xml:space="preserve">The Department appreciates the determination that Ox-cat was considered as a technically feasible control technology for the </w:t>
      </w:r>
      <w:r w:rsidR="006840AC">
        <w:rPr>
          <w:sz w:val="22"/>
          <w:szCs w:val="22"/>
        </w:rPr>
        <w:t xml:space="preserve">three 278 MMBtu/hour marine </w:t>
      </w:r>
      <w:r>
        <w:rPr>
          <w:sz w:val="22"/>
          <w:szCs w:val="22"/>
        </w:rPr>
        <w:t xml:space="preserve">boilers included in the Port Dolphin </w:t>
      </w:r>
      <w:r w:rsidR="00285C0B">
        <w:rPr>
          <w:sz w:val="22"/>
          <w:szCs w:val="22"/>
        </w:rPr>
        <w:t>Liquefied</w:t>
      </w:r>
      <w:r>
        <w:rPr>
          <w:sz w:val="22"/>
          <w:szCs w:val="22"/>
        </w:rPr>
        <w:t xml:space="preserve"> Natural Gas (LNG) Terminal and Regasification project.  </w:t>
      </w:r>
      <w:r w:rsidR="006840AC">
        <w:rPr>
          <w:sz w:val="22"/>
          <w:szCs w:val="22"/>
        </w:rPr>
        <w:t xml:space="preserve">EPA concluded that further reduction by Ox-cat was cost-prohibitive at </w:t>
      </w:r>
      <w:r w:rsidR="006840AC" w:rsidRPr="006840AC">
        <w:rPr>
          <w:sz w:val="22"/>
          <w:szCs w:val="22"/>
        </w:rPr>
        <w:t>$29,938 cost/ton of CO</w:t>
      </w:r>
      <w:r w:rsidR="006840AC">
        <w:rPr>
          <w:sz w:val="22"/>
          <w:szCs w:val="22"/>
        </w:rPr>
        <w:t xml:space="preserve"> removed.  </w:t>
      </w:r>
      <w:hyperlink r:id="rId11" w:history="1">
        <w:r w:rsidR="008E197B">
          <w:rPr>
            <w:rStyle w:val="Hyperlink"/>
            <w:sz w:val="22"/>
            <w:szCs w:val="22"/>
          </w:rPr>
          <w:t>Link to EPA Port Dolphin Evaluation</w:t>
        </w:r>
      </w:hyperlink>
      <w:r w:rsidR="008E197B">
        <w:rPr>
          <w:sz w:val="22"/>
          <w:szCs w:val="22"/>
        </w:rPr>
        <w:t xml:space="preserve"> .</w:t>
      </w:r>
      <w:r w:rsidR="006840AC">
        <w:rPr>
          <w:sz w:val="22"/>
          <w:szCs w:val="22"/>
        </w:rPr>
        <w:t xml:space="preserve">  The Department notes that only an annual test is required to demonstrate compliance with the low CO emission standard. </w:t>
      </w:r>
      <w:r w:rsidR="008E197B">
        <w:rPr>
          <w:sz w:val="22"/>
          <w:szCs w:val="22"/>
        </w:rPr>
        <w:br/>
      </w:r>
      <w:hyperlink r:id="rId12" w:history="1">
        <w:r w:rsidR="006840AC">
          <w:rPr>
            <w:rStyle w:val="Hyperlink"/>
            <w:sz w:val="22"/>
            <w:szCs w:val="22"/>
          </w:rPr>
          <w:t>Link to Port Dolphin PSD Permit</w:t>
        </w:r>
      </w:hyperlink>
      <w:r w:rsidR="006840AC">
        <w:rPr>
          <w:sz w:val="22"/>
          <w:szCs w:val="22"/>
        </w:rPr>
        <w:t xml:space="preserve"> .</w:t>
      </w:r>
    </w:p>
    <w:p w:rsidR="00C67614" w:rsidRDefault="00C67614" w:rsidP="00022918">
      <w:pPr>
        <w:pStyle w:val="Default"/>
        <w:spacing w:after="120"/>
        <w:ind w:left="360"/>
        <w:rPr>
          <w:sz w:val="22"/>
          <w:szCs w:val="22"/>
        </w:rPr>
      </w:pPr>
      <w:r>
        <w:rPr>
          <w:sz w:val="22"/>
          <w:szCs w:val="22"/>
        </w:rPr>
        <w:t>The Department believes Ox-cat is technically feasible for natural gas-fired boilers and can be used on very large boilers.  However, it is often not cost-effective (e.g. as a retrofit) and seldom required to achieve BACT</w:t>
      </w:r>
      <w:r w:rsidR="006840AC">
        <w:rPr>
          <w:sz w:val="22"/>
          <w:szCs w:val="22"/>
        </w:rPr>
        <w:t xml:space="preserve"> on large natural gas-fueled boilers (or </w:t>
      </w:r>
      <w:r w:rsidR="008E197B">
        <w:rPr>
          <w:sz w:val="22"/>
          <w:szCs w:val="22"/>
        </w:rPr>
        <w:t xml:space="preserve">apparently </w:t>
      </w:r>
      <w:r w:rsidR="006840AC">
        <w:rPr>
          <w:sz w:val="22"/>
          <w:szCs w:val="22"/>
        </w:rPr>
        <w:t>small ones</w:t>
      </w:r>
      <w:r w:rsidR="008E197B">
        <w:rPr>
          <w:sz w:val="22"/>
          <w:szCs w:val="22"/>
        </w:rPr>
        <w:t xml:space="preserve"> per EPA</w:t>
      </w:r>
      <w:r w:rsidR="006840AC">
        <w:rPr>
          <w:sz w:val="22"/>
          <w:szCs w:val="22"/>
        </w:rPr>
        <w:t>)</w:t>
      </w:r>
      <w:r>
        <w:rPr>
          <w:sz w:val="22"/>
          <w:szCs w:val="22"/>
        </w:rPr>
        <w:t>.</w:t>
      </w:r>
    </w:p>
    <w:p w:rsidR="008E197B" w:rsidRDefault="008E197B">
      <w:pPr>
        <w:rPr>
          <w:i/>
          <w:color w:val="000000"/>
          <w:sz w:val="22"/>
          <w:szCs w:val="22"/>
          <w:u w:val="single"/>
        </w:rPr>
      </w:pPr>
      <w:r>
        <w:rPr>
          <w:i/>
          <w:sz w:val="22"/>
          <w:szCs w:val="22"/>
          <w:u w:val="single"/>
        </w:rPr>
        <w:br w:type="page"/>
      </w:r>
    </w:p>
    <w:p w:rsidR="007122C7" w:rsidRDefault="00C67614" w:rsidP="00022918">
      <w:pPr>
        <w:pStyle w:val="Default"/>
        <w:numPr>
          <w:ilvl w:val="0"/>
          <w:numId w:val="19"/>
        </w:numPr>
        <w:spacing w:after="120"/>
        <w:ind w:left="360"/>
        <w:rPr>
          <w:i/>
          <w:sz w:val="22"/>
          <w:szCs w:val="22"/>
        </w:rPr>
      </w:pPr>
      <w:r w:rsidRPr="000F6507">
        <w:rPr>
          <w:i/>
          <w:sz w:val="22"/>
          <w:szCs w:val="22"/>
          <w:u w:val="single"/>
        </w:rPr>
        <w:lastRenderedPageBreak/>
        <w:t xml:space="preserve">EPA Comment </w:t>
      </w:r>
      <w:r w:rsidR="007122C7">
        <w:rPr>
          <w:i/>
          <w:sz w:val="22"/>
          <w:szCs w:val="22"/>
          <w:u w:val="single"/>
        </w:rPr>
        <w:t>2</w:t>
      </w:r>
      <w:r w:rsidRPr="000F6507">
        <w:rPr>
          <w:i/>
          <w:sz w:val="22"/>
          <w:szCs w:val="22"/>
          <w:u w:val="single"/>
        </w:rPr>
        <w:t>,</w:t>
      </w:r>
      <w:r>
        <w:rPr>
          <w:i/>
          <w:sz w:val="22"/>
          <w:szCs w:val="22"/>
          <w:u w:val="single"/>
        </w:rPr>
        <w:t xml:space="preserve"> 2</w:t>
      </w:r>
      <w:r w:rsidRPr="00C67614">
        <w:rPr>
          <w:i/>
          <w:sz w:val="22"/>
          <w:szCs w:val="22"/>
          <w:u w:val="single"/>
          <w:vertAlign w:val="superscript"/>
        </w:rPr>
        <w:t>nd</w:t>
      </w:r>
      <w:r>
        <w:rPr>
          <w:i/>
          <w:sz w:val="22"/>
          <w:szCs w:val="22"/>
          <w:u w:val="single"/>
        </w:rPr>
        <w:t xml:space="preserve"> Paragrap</w:t>
      </w:r>
      <w:r w:rsidR="0051448A">
        <w:rPr>
          <w:i/>
          <w:sz w:val="22"/>
          <w:szCs w:val="22"/>
          <w:u w:val="single"/>
        </w:rPr>
        <w:t xml:space="preserve">h, </w:t>
      </w:r>
      <w:r w:rsidR="007122C7">
        <w:rPr>
          <w:i/>
          <w:sz w:val="22"/>
          <w:szCs w:val="22"/>
          <w:u w:val="single"/>
        </w:rPr>
        <w:t>Ox-cat Cost Analysis</w:t>
      </w:r>
      <w:r>
        <w:rPr>
          <w:i/>
          <w:sz w:val="22"/>
          <w:szCs w:val="22"/>
        </w:rPr>
        <w:t>:</w:t>
      </w:r>
      <w:r w:rsidR="007122C7">
        <w:rPr>
          <w:i/>
          <w:sz w:val="22"/>
          <w:szCs w:val="22"/>
        </w:rPr>
        <w:t xml:space="preserve">  “The BACT analysis for the natural gas-fired boilers in the preliminary determination described a hypothetical cost comparison, page 19.  However the applicant did not provide a cost analysis in their application, and FDEP has not provided a detailed cost analysis in the preliminary determination”.</w:t>
      </w:r>
    </w:p>
    <w:p w:rsidR="007122C7" w:rsidRDefault="007122C7" w:rsidP="00022918">
      <w:pPr>
        <w:pStyle w:val="Default"/>
        <w:spacing w:after="120"/>
        <w:ind w:left="360"/>
        <w:rPr>
          <w:sz w:val="22"/>
          <w:szCs w:val="22"/>
        </w:rPr>
      </w:pPr>
      <w:r w:rsidRPr="008403AF">
        <w:rPr>
          <w:sz w:val="22"/>
          <w:szCs w:val="22"/>
          <w:u w:val="single"/>
        </w:rPr>
        <w:t>Department Response</w:t>
      </w:r>
      <w:r w:rsidRPr="008403AF">
        <w:rPr>
          <w:sz w:val="22"/>
          <w:szCs w:val="22"/>
        </w:rPr>
        <w:t xml:space="preserve">:  </w:t>
      </w:r>
      <w:r>
        <w:rPr>
          <w:sz w:val="22"/>
          <w:szCs w:val="22"/>
        </w:rPr>
        <w:t>The Department concurs with these statements.</w:t>
      </w:r>
    </w:p>
    <w:p w:rsidR="007122C7" w:rsidRDefault="007122C7" w:rsidP="00022918">
      <w:pPr>
        <w:pStyle w:val="Default"/>
        <w:numPr>
          <w:ilvl w:val="0"/>
          <w:numId w:val="19"/>
        </w:numPr>
        <w:spacing w:after="120"/>
        <w:ind w:left="360"/>
        <w:rPr>
          <w:i/>
          <w:sz w:val="22"/>
          <w:szCs w:val="22"/>
        </w:rPr>
      </w:pPr>
      <w:r w:rsidRPr="000F6507">
        <w:rPr>
          <w:i/>
          <w:sz w:val="22"/>
          <w:szCs w:val="22"/>
          <w:u w:val="single"/>
        </w:rPr>
        <w:t xml:space="preserve">EPA Comment </w:t>
      </w:r>
      <w:r>
        <w:rPr>
          <w:i/>
          <w:sz w:val="22"/>
          <w:szCs w:val="22"/>
          <w:u w:val="single"/>
        </w:rPr>
        <w:t>2</w:t>
      </w:r>
      <w:r w:rsidRPr="000F6507">
        <w:rPr>
          <w:i/>
          <w:sz w:val="22"/>
          <w:szCs w:val="22"/>
          <w:u w:val="single"/>
        </w:rPr>
        <w:t>,</w:t>
      </w:r>
      <w:r>
        <w:rPr>
          <w:i/>
          <w:sz w:val="22"/>
          <w:szCs w:val="22"/>
          <w:u w:val="single"/>
        </w:rPr>
        <w:t xml:space="preserve"> 2</w:t>
      </w:r>
      <w:r w:rsidRPr="00C67614">
        <w:rPr>
          <w:i/>
          <w:sz w:val="22"/>
          <w:szCs w:val="22"/>
          <w:u w:val="single"/>
          <w:vertAlign w:val="superscript"/>
        </w:rPr>
        <w:t>nd</w:t>
      </w:r>
      <w:r>
        <w:rPr>
          <w:i/>
          <w:sz w:val="22"/>
          <w:szCs w:val="22"/>
          <w:u w:val="single"/>
        </w:rPr>
        <w:t xml:space="preserve"> Paragraph, Cost Effectiveness</w:t>
      </w:r>
      <w:r>
        <w:rPr>
          <w:i/>
          <w:sz w:val="22"/>
          <w:szCs w:val="22"/>
        </w:rPr>
        <w:t>:  “</w:t>
      </w:r>
      <w:r w:rsidR="00CE495B">
        <w:rPr>
          <w:i/>
          <w:sz w:val="22"/>
          <w:szCs w:val="22"/>
        </w:rPr>
        <w:t xml:space="preserve">Since the preliminary determination </w:t>
      </w:r>
      <w:r w:rsidR="00AE3661">
        <w:rPr>
          <w:i/>
          <w:sz w:val="22"/>
          <w:szCs w:val="22"/>
        </w:rPr>
        <w:t>includes this hypothetical statement and also a statement that an oxidation catalyst may be cost effective, i</w:t>
      </w:r>
      <w:r>
        <w:rPr>
          <w:i/>
          <w:sz w:val="22"/>
          <w:szCs w:val="22"/>
        </w:rPr>
        <w:t>t is unclear whether FDEP has concluded that catalytic oxidation is technically or economically infeasible.  This inconsistency should be clarified, and a full cost analysis should be included unless a demonstration can be made that catalytic oxidation is technically infeasible</w:t>
      </w:r>
      <w:r w:rsidR="00AE3661">
        <w:rPr>
          <w:i/>
          <w:sz w:val="22"/>
          <w:szCs w:val="22"/>
        </w:rPr>
        <w:t>”</w:t>
      </w:r>
      <w:r>
        <w:rPr>
          <w:i/>
          <w:sz w:val="22"/>
          <w:szCs w:val="22"/>
        </w:rPr>
        <w:t>.</w:t>
      </w:r>
    </w:p>
    <w:p w:rsidR="00C25499" w:rsidRDefault="007122C7" w:rsidP="00022918">
      <w:pPr>
        <w:pStyle w:val="Default"/>
        <w:spacing w:after="120"/>
        <w:ind w:left="360"/>
        <w:rPr>
          <w:sz w:val="22"/>
          <w:szCs w:val="22"/>
        </w:rPr>
      </w:pPr>
      <w:r w:rsidRPr="008403AF">
        <w:rPr>
          <w:sz w:val="22"/>
          <w:szCs w:val="22"/>
          <w:u w:val="single"/>
        </w:rPr>
        <w:t>Department Response</w:t>
      </w:r>
      <w:r w:rsidRPr="008403AF">
        <w:rPr>
          <w:sz w:val="22"/>
          <w:szCs w:val="22"/>
        </w:rPr>
        <w:t xml:space="preserve">:  </w:t>
      </w:r>
      <w:r w:rsidR="000D5061">
        <w:rPr>
          <w:sz w:val="22"/>
          <w:szCs w:val="22"/>
        </w:rPr>
        <w:t xml:space="preserve">A demonstration has not and cannot be made that catalytic oxidation is technically infeasible.  </w:t>
      </w:r>
      <w:r w:rsidR="00AE3661">
        <w:rPr>
          <w:sz w:val="22"/>
          <w:szCs w:val="22"/>
        </w:rPr>
        <w:t xml:space="preserve">The Department </w:t>
      </w:r>
      <w:r w:rsidR="00C25499">
        <w:rPr>
          <w:sz w:val="22"/>
          <w:szCs w:val="22"/>
        </w:rPr>
        <w:t>reiterates the following conclusions:</w:t>
      </w:r>
    </w:p>
    <w:p w:rsidR="00C25499" w:rsidRDefault="00AE3661" w:rsidP="00022918">
      <w:pPr>
        <w:pStyle w:val="Default"/>
        <w:numPr>
          <w:ilvl w:val="0"/>
          <w:numId w:val="26"/>
        </w:numPr>
        <w:spacing w:after="120"/>
        <w:ind w:left="720"/>
        <w:rPr>
          <w:sz w:val="22"/>
          <w:szCs w:val="22"/>
        </w:rPr>
      </w:pPr>
      <w:r>
        <w:rPr>
          <w:sz w:val="22"/>
          <w:szCs w:val="22"/>
        </w:rPr>
        <w:t>Ox-cat is technically feasible for natural gas-fired boilers and can be used on very large boilers</w:t>
      </w:r>
      <w:r w:rsidR="00C25499">
        <w:rPr>
          <w:sz w:val="22"/>
          <w:szCs w:val="22"/>
        </w:rPr>
        <w:t>;</w:t>
      </w:r>
    </w:p>
    <w:p w:rsidR="00C25499" w:rsidRDefault="00C25499" w:rsidP="00022918">
      <w:pPr>
        <w:pStyle w:val="Default"/>
        <w:numPr>
          <w:ilvl w:val="0"/>
          <w:numId w:val="26"/>
        </w:numPr>
        <w:spacing w:after="120"/>
        <w:ind w:left="720"/>
        <w:rPr>
          <w:sz w:val="22"/>
          <w:szCs w:val="22"/>
        </w:rPr>
      </w:pPr>
      <w:r>
        <w:rPr>
          <w:sz w:val="22"/>
          <w:szCs w:val="22"/>
        </w:rPr>
        <w:t>Ox-cat is not cost-effective for this project; and</w:t>
      </w:r>
    </w:p>
    <w:p w:rsidR="00C25499" w:rsidRDefault="00C25499" w:rsidP="00022918">
      <w:pPr>
        <w:pStyle w:val="Default"/>
        <w:numPr>
          <w:ilvl w:val="0"/>
          <w:numId w:val="26"/>
        </w:numPr>
        <w:spacing w:after="120"/>
        <w:ind w:left="720"/>
        <w:rPr>
          <w:sz w:val="22"/>
          <w:szCs w:val="22"/>
        </w:rPr>
      </w:pPr>
      <w:r>
        <w:rPr>
          <w:sz w:val="22"/>
          <w:szCs w:val="22"/>
        </w:rPr>
        <w:t>The correct BACT CO emission standard for this specific project is 0.15 pounds per million Btu heat input (lb/MMBtu).</w:t>
      </w:r>
    </w:p>
    <w:p w:rsidR="00DE25CD" w:rsidRDefault="00DE25CD" w:rsidP="00022918">
      <w:pPr>
        <w:pStyle w:val="Default"/>
        <w:spacing w:after="120"/>
        <w:ind w:left="360"/>
        <w:rPr>
          <w:sz w:val="22"/>
          <w:szCs w:val="22"/>
        </w:rPr>
      </w:pPr>
      <w:r>
        <w:rPr>
          <w:sz w:val="22"/>
          <w:szCs w:val="22"/>
        </w:rPr>
        <w:t xml:space="preserve">Ox-cat has never been required for a gas-fired boiler in the size category of Anclote Units 1 and 2 let alone as a retrofit.  Further information is included </w:t>
      </w:r>
      <w:r w:rsidR="00CD3EC2">
        <w:rPr>
          <w:sz w:val="22"/>
          <w:szCs w:val="22"/>
        </w:rPr>
        <w:t xml:space="preserve">in </w:t>
      </w:r>
      <w:r w:rsidR="00467E64">
        <w:rPr>
          <w:sz w:val="22"/>
          <w:szCs w:val="22"/>
        </w:rPr>
        <w:t xml:space="preserve">Section III of </w:t>
      </w:r>
      <w:r>
        <w:rPr>
          <w:sz w:val="22"/>
          <w:szCs w:val="22"/>
        </w:rPr>
        <w:t>this Final Determination.</w:t>
      </w:r>
    </w:p>
    <w:p w:rsidR="00F85E1C" w:rsidRPr="00F85E1C" w:rsidRDefault="008C15D3" w:rsidP="00022918">
      <w:pPr>
        <w:pStyle w:val="Default"/>
        <w:numPr>
          <w:ilvl w:val="0"/>
          <w:numId w:val="19"/>
        </w:numPr>
        <w:spacing w:after="120"/>
        <w:ind w:left="360"/>
        <w:rPr>
          <w:sz w:val="22"/>
          <w:szCs w:val="22"/>
        </w:rPr>
      </w:pPr>
      <w:r w:rsidRPr="000F6507">
        <w:rPr>
          <w:i/>
          <w:sz w:val="22"/>
          <w:szCs w:val="22"/>
          <w:u w:val="single"/>
        </w:rPr>
        <w:t xml:space="preserve">EPA Comment </w:t>
      </w:r>
      <w:r>
        <w:rPr>
          <w:i/>
          <w:sz w:val="22"/>
          <w:szCs w:val="22"/>
          <w:u w:val="single"/>
        </w:rPr>
        <w:t>3.a, Tables should be corrected and other added</w:t>
      </w:r>
      <w:r w:rsidRPr="00C60B6D">
        <w:rPr>
          <w:i/>
          <w:sz w:val="22"/>
          <w:szCs w:val="22"/>
        </w:rPr>
        <w:t>:</w:t>
      </w:r>
      <w:r>
        <w:rPr>
          <w:i/>
          <w:sz w:val="22"/>
          <w:szCs w:val="22"/>
        </w:rPr>
        <w:t xml:space="preserve">  “Table 7 in the preliminary determination provides the emissions for only the two generators and does not contain the natural gas heaters or any other possible facility emissions.  </w:t>
      </w:r>
      <w:r w:rsidR="00C60B6D">
        <w:rPr>
          <w:i/>
          <w:sz w:val="22"/>
          <w:szCs w:val="22"/>
        </w:rPr>
        <w:t>Additional tables should be added to the preliminary determination for each emission unit.  Also a summary table should be added that accounts for the netting analysis</w:t>
      </w:r>
      <w:r w:rsidR="00F85E1C">
        <w:rPr>
          <w:i/>
          <w:sz w:val="22"/>
          <w:szCs w:val="22"/>
        </w:rPr>
        <w:t>”.</w:t>
      </w:r>
    </w:p>
    <w:p w:rsidR="00F85E1C" w:rsidRDefault="00F85E1C" w:rsidP="00022918">
      <w:pPr>
        <w:pStyle w:val="Default"/>
        <w:spacing w:after="120"/>
        <w:ind w:left="360"/>
        <w:rPr>
          <w:sz w:val="22"/>
          <w:szCs w:val="22"/>
        </w:rPr>
      </w:pPr>
      <w:r w:rsidRPr="008403AF">
        <w:rPr>
          <w:sz w:val="22"/>
          <w:szCs w:val="22"/>
          <w:u w:val="single"/>
        </w:rPr>
        <w:t>Department Response</w:t>
      </w:r>
      <w:r w:rsidRPr="008403AF">
        <w:rPr>
          <w:sz w:val="22"/>
          <w:szCs w:val="22"/>
        </w:rPr>
        <w:t xml:space="preserve">:  </w:t>
      </w:r>
      <w:r>
        <w:rPr>
          <w:sz w:val="22"/>
          <w:szCs w:val="22"/>
        </w:rPr>
        <w:t>As stated above, a netting analysis</w:t>
      </w:r>
      <w:r w:rsidR="006E78E2">
        <w:rPr>
          <w:sz w:val="22"/>
          <w:szCs w:val="22"/>
        </w:rPr>
        <w:t xml:space="preserve"> (i.e. Step </w:t>
      </w:r>
      <w:r w:rsidR="0000528C">
        <w:rPr>
          <w:sz w:val="22"/>
          <w:szCs w:val="22"/>
        </w:rPr>
        <w:t>2)</w:t>
      </w:r>
      <w:r>
        <w:rPr>
          <w:sz w:val="22"/>
          <w:szCs w:val="22"/>
        </w:rPr>
        <w:t xml:space="preserve">, though allowed, is </w:t>
      </w:r>
      <w:r w:rsidR="0000528C">
        <w:rPr>
          <w:sz w:val="22"/>
          <w:szCs w:val="22"/>
        </w:rPr>
        <w:t xml:space="preserve">not </w:t>
      </w:r>
      <w:r>
        <w:rPr>
          <w:sz w:val="22"/>
          <w:szCs w:val="22"/>
        </w:rPr>
        <w:t xml:space="preserve">required.  </w:t>
      </w:r>
      <w:r w:rsidR="0000528C">
        <w:rPr>
          <w:sz w:val="22"/>
          <w:szCs w:val="22"/>
        </w:rPr>
        <w:t xml:space="preserve">The following table is a list of the emissions units </w:t>
      </w:r>
      <w:r w:rsidR="001D0772">
        <w:rPr>
          <w:sz w:val="22"/>
          <w:szCs w:val="22"/>
        </w:rPr>
        <w:t xml:space="preserve">(EU) </w:t>
      </w:r>
      <w:r w:rsidR="0000528C">
        <w:rPr>
          <w:sz w:val="22"/>
          <w:szCs w:val="22"/>
        </w:rPr>
        <w:t xml:space="preserve">including the gas heaters added </w:t>
      </w:r>
      <w:r w:rsidR="001D0772">
        <w:rPr>
          <w:sz w:val="22"/>
          <w:szCs w:val="22"/>
        </w:rPr>
        <w:t xml:space="preserve">by </w:t>
      </w:r>
      <w:r w:rsidR="0000528C">
        <w:rPr>
          <w:sz w:val="22"/>
          <w:szCs w:val="22"/>
        </w:rPr>
        <w:t>the project</w:t>
      </w:r>
      <w:r w:rsidR="00022918">
        <w:rPr>
          <w:sz w:val="22"/>
          <w:szCs w:val="22"/>
        </w:rPr>
        <w:t>.</w:t>
      </w:r>
    </w:p>
    <w:p w:rsidR="0000528C" w:rsidRDefault="0000528C" w:rsidP="00022918">
      <w:pPr>
        <w:spacing w:after="60"/>
        <w:ind w:left="360"/>
        <w:outlineLvl w:val="0"/>
        <w:rPr>
          <w:sz w:val="22"/>
          <w:szCs w:val="22"/>
        </w:rPr>
      </w:pPr>
      <w:r>
        <w:rPr>
          <w:b/>
          <w:bCs/>
          <w:sz w:val="22"/>
          <w:szCs w:val="22"/>
        </w:rPr>
        <w:t>Table 1.  List of Emissions Units located at the Anclote Plant</w:t>
      </w:r>
    </w:p>
    <w:tbl>
      <w:tblPr>
        <w:tblW w:w="96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8640"/>
      </w:tblGrid>
      <w:tr w:rsidR="0000528C" w:rsidRPr="00A37B06" w:rsidTr="00022918">
        <w:tc>
          <w:tcPr>
            <w:tcW w:w="990" w:type="dxa"/>
          </w:tcPr>
          <w:p w:rsidR="0000528C" w:rsidRPr="001D0772" w:rsidRDefault="001D0772" w:rsidP="001D0772">
            <w:pPr>
              <w:spacing w:before="40" w:after="40"/>
              <w:jc w:val="center"/>
              <w:rPr>
                <w:b/>
                <w:sz w:val="22"/>
                <w:szCs w:val="22"/>
              </w:rPr>
            </w:pPr>
            <w:r>
              <w:rPr>
                <w:b/>
                <w:sz w:val="22"/>
                <w:szCs w:val="22"/>
              </w:rPr>
              <w:t>E</w:t>
            </w:r>
            <w:r w:rsidR="0000528C" w:rsidRPr="001D0772">
              <w:rPr>
                <w:b/>
                <w:sz w:val="22"/>
                <w:szCs w:val="22"/>
              </w:rPr>
              <w:t>U No.</w:t>
            </w:r>
          </w:p>
        </w:tc>
        <w:tc>
          <w:tcPr>
            <w:tcW w:w="8640" w:type="dxa"/>
          </w:tcPr>
          <w:p w:rsidR="0000528C" w:rsidRPr="001D0772" w:rsidRDefault="0000528C" w:rsidP="001D0772">
            <w:pPr>
              <w:pStyle w:val="Heading2"/>
              <w:spacing w:before="40" w:after="40"/>
              <w:rPr>
                <w:rFonts w:ascii="Times New Roman" w:hAnsi="Times New Roman" w:cs="Times New Roman"/>
                <w:color w:val="auto"/>
                <w:sz w:val="22"/>
                <w:szCs w:val="22"/>
              </w:rPr>
            </w:pPr>
            <w:r w:rsidRPr="001D0772">
              <w:rPr>
                <w:rFonts w:ascii="Times New Roman" w:hAnsi="Times New Roman" w:cs="Times New Roman"/>
                <w:color w:val="auto"/>
                <w:sz w:val="22"/>
                <w:szCs w:val="22"/>
              </w:rPr>
              <w:t>Brief Description</w:t>
            </w:r>
          </w:p>
        </w:tc>
      </w:tr>
      <w:tr w:rsidR="0000528C" w:rsidTr="00022918">
        <w:tc>
          <w:tcPr>
            <w:tcW w:w="9630" w:type="dxa"/>
            <w:gridSpan w:val="2"/>
          </w:tcPr>
          <w:p w:rsidR="0000528C" w:rsidRPr="001D0772" w:rsidRDefault="0000528C" w:rsidP="001D0772">
            <w:pPr>
              <w:spacing w:before="40" w:after="40"/>
              <w:rPr>
                <w:sz w:val="22"/>
                <w:szCs w:val="22"/>
              </w:rPr>
            </w:pPr>
            <w:r w:rsidRPr="001D0772">
              <w:rPr>
                <w:sz w:val="22"/>
                <w:szCs w:val="22"/>
              </w:rPr>
              <w:t>Regulated Emissions Units</w:t>
            </w:r>
          </w:p>
        </w:tc>
      </w:tr>
      <w:tr w:rsidR="0000528C" w:rsidTr="00022918">
        <w:tc>
          <w:tcPr>
            <w:tcW w:w="990" w:type="dxa"/>
          </w:tcPr>
          <w:p w:rsidR="0000528C" w:rsidRPr="001D0772" w:rsidRDefault="0000528C" w:rsidP="001D0772">
            <w:pPr>
              <w:spacing w:before="40" w:after="40"/>
              <w:jc w:val="center"/>
              <w:rPr>
                <w:sz w:val="22"/>
                <w:szCs w:val="22"/>
              </w:rPr>
            </w:pPr>
            <w:r w:rsidRPr="001D0772">
              <w:rPr>
                <w:sz w:val="22"/>
                <w:szCs w:val="22"/>
              </w:rPr>
              <w:t>001</w:t>
            </w:r>
          </w:p>
        </w:tc>
        <w:tc>
          <w:tcPr>
            <w:tcW w:w="8640" w:type="dxa"/>
          </w:tcPr>
          <w:p w:rsidR="0000528C" w:rsidRPr="001D0772" w:rsidRDefault="0000528C" w:rsidP="001D0772">
            <w:pPr>
              <w:spacing w:before="40" w:after="40"/>
              <w:rPr>
                <w:i/>
                <w:sz w:val="22"/>
                <w:szCs w:val="22"/>
              </w:rPr>
            </w:pPr>
            <w:r w:rsidRPr="001D0772">
              <w:rPr>
                <w:sz w:val="22"/>
                <w:szCs w:val="22"/>
              </w:rPr>
              <w:t>Fossil Fuel Fired Steam Generator Unit No. 1 (modified by the project, PSD/BACT for CO)</w:t>
            </w:r>
          </w:p>
        </w:tc>
      </w:tr>
      <w:tr w:rsidR="0000528C" w:rsidTr="00022918">
        <w:tc>
          <w:tcPr>
            <w:tcW w:w="990" w:type="dxa"/>
          </w:tcPr>
          <w:p w:rsidR="0000528C" w:rsidRPr="001D0772" w:rsidRDefault="0000528C" w:rsidP="001D0772">
            <w:pPr>
              <w:spacing w:before="40" w:after="40"/>
              <w:jc w:val="center"/>
              <w:rPr>
                <w:sz w:val="22"/>
                <w:szCs w:val="22"/>
              </w:rPr>
            </w:pPr>
            <w:r w:rsidRPr="001D0772">
              <w:rPr>
                <w:sz w:val="22"/>
                <w:szCs w:val="22"/>
              </w:rPr>
              <w:t>002</w:t>
            </w:r>
          </w:p>
        </w:tc>
        <w:tc>
          <w:tcPr>
            <w:tcW w:w="8640" w:type="dxa"/>
          </w:tcPr>
          <w:p w:rsidR="0000528C" w:rsidRPr="001D0772" w:rsidRDefault="0000528C" w:rsidP="001D0772">
            <w:pPr>
              <w:tabs>
                <w:tab w:val="left" w:pos="360"/>
                <w:tab w:val="left" w:pos="720"/>
                <w:tab w:val="left" w:pos="1080"/>
                <w:tab w:val="left" w:pos="1440"/>
                <w:tab w:val="right" w:pos="10080"/>
              </w:tabs>
              <w:spacing w:before="40" w:after="40"/>
              <w:rPr>
                <w:sz w:val="22"/>
                <w:szCs w:val="22"/>
              </w:rPr>
            </w:pPr>
            <w:r w:rsidRPr="001D0772">
              <w:rPr>
                <w:sz w:val="22"/>
                <w:szCs w:val="22"/>
              </w:rPr>
              <w:t>Fossil Fuel Fired Steam Generator Unit No. 2 (modified by the project, PSD/BACT for CO)</w:t>
            </w:r>
          </w:p>
        </w:tc>
      </w:tr>
      <w:tr w:rsidR="0000528C" w:rsidTr="00022918">
        <w:tc>
          <w:tcPr>
            <w:tcW w:w="990" w:type="dxa"/>
          </w:tcPr>
          <w:p w:rsidR="0000528C" w:rsidRPr="001D0772" w:rsidRDefault="0000528C" w:rsidP="001D0772">
            <w:pPr>
              <w:spacing w:before="40" w:after="40"/>
              <w:jc w:val="center"/>
              <w:rPr>
                <w:sz w:val="22"/>
                <w:szCs w:val="22"/>
                <w:highlight w:val="yellow"/>
              </w:rPr>
            </w:pPr>
            <w:r w:rsidRPr="001D0772">
              <w:rPr>
                <w:sz w:val="22"/>
                <w:szCs w:val="22"/>
              </w:rPr>
              <w:t>007</w:t>
            </w:r>
          </w:p>
        </w:tc>
        <w:tc>
          <w:tcPr>
            <w:tcW w:w="8640" w:type="dxa"/>
          </w:tcPr>
          <w:p w:rsidR="0000528C" w:rsidRPr="001D0772" w:rsidRDefault="0000528C" w:rsidP="001D0772">
            <w:pPr>
              <w:tabs>
                <w:tab w:val="left" w:pos="360"/>
                <w:tab w:val="left" w:pos="720"/>
                <w:tab w:val="left" w:pos="1080"/>
                <w:tab w:val="left" w:pos="1440"/>
                <w:tab w:val="right" w:pos="10080"/>
              </w:tabs>
              <w:spacing w:before="40" w:after="40"/>
              <w:rPr>
                <w:sz w:val="22"/>
                <w:szCs w:val="22"/>
              </w:rPr>
            </w:pPr>
            <w:r w:rsidRPr="001D0772">
              <w:rPr>
                <w:sz w:val="22"/>
                <w:szCs w:val="22"/>
              </w:rPr>
              <w:t>Two, 12-cell Mechanical Draft Helper Cooling Towers (PSD/BACT for PM in 2006)</w:t>
            </w:r>
          </w:p>
        </w:tc>
      </w:tr>
      <w:tr w:rsidR="0000528C" w:rsidTr="00022918">
        <w:tc>
          <w:tcPr>
            <w:tcW w:w="990" w:type="dxa"/>
          </w:tcPr>
          <w:p w:rsidR="0000528C" w:rsidRPr="001D0772" w:rsidRDefault="0000528C" w:rsidP="001D0772">
            <w:pPr>
              <w:spacing w:before="40" w:after="40"/>
              <w:jc w:val="center"/>
              <w:rPr>
                <w:sz w:val="22"/>
                <w:szCs w:val="22"/>
                <w:highlight w:val="yellow"/>
              </w:rPr>
            </w:pPr>
            <w:r w:rsidRPr="001D0772">
              <w:rPr>
                <w:sz w:val="22"/>
                <w:szCs w:val="22"/>
              </w:rPr>
              <w:t>008</w:t>
            </w:r>
          </w:p>
        </w:tc>
        <w:tc>
          <w:tcPr>
            <w:tcW w:w="8640" w:type="dxa"/>
          </w:tcPr>
          <w:p w:rsidR="0000528C" w:rsidRPr="001D0772" w:rsidRDefault="002F3505" w:rsidP="001D0772">
            <w:pPr>
              <w:tabs>
                <w:tab w:val="left" w:pos="360"/>
                <w:tab w:val="left" w:pos="720"/>
                <w:tab w:val="left" w:pos="1080"/>
                <w:tab w:val="left" w:pos="1440"/>
                <w:tab w:val="right" w:pos="10080"/>
              </w:tabs>
              <w:spacing w:before="40" w:after="40"/>
              <w:rPr>
                <w:sz w:val="22"/>
                <w:szCs w:val="22"/>
              </w:rPr>
            </w:pPr>
            <w:r w:rsidRPr="001D0772">
              <w:rPr>
                <w:sz w:val="22"/>
                <w:szCs w:val="22"/>
              </w:rPr>
              <w:t>Three r</w:t>
            </w:r>
            <w:r w:rsidR="0000528C" w:rsidRPr="001D0772">
              <w:rPr>
                <w:sz w:val="22"/>
                <w:szCs w:val="22"/>
              </w:rPr>
              <w:t>elocatable Diesel Fired Engine Driven Generators</w:t>
            </w:r>
            <w:r w:rsidRPr="001D0772">
              <w:rPr>
                <w:sz w:val="22"/>
                <w:szCs w:val="22"/>
              </w:rPr>
              <w:t xml:space="preserve"> (shared among six PEF facilities)</w:t>
            </w:r>
          </w:p>
        </w:tc>
      </w:tr>
      <w:tr w:rsidR="0000528C" w:rsidTr="00022918">
        <w:tc>
          <w:tcPr>
            <w:tcW w:w="990" w:type="dxa"/>
          </w:tcPr>
          <w:p w:rsidR="0000528C" w:rsidRPr="001D0772" w:rsidRDefault="0000528C" w:rsidP="001D0772">
            <w:pPr>
              <w:spacing w:before="40" w:after="40"/>
              <w:jc w:val="center"/>
              <w:rPr>
                <w:sz w:val="22"/>
                <w:szCs w:val="22"/>
              </w:rPr>
            </w:pPr>
            <w:r w:rsidRPr="001D0772">
              <w:rPr>
                <w:sz w:val="22"/>
                <w:szCs w:val="22"/>
              </w:rPr>
              <w:t>009</w:t>
            </w:r>
          </w:p>
        </w:tc>
        <w:tc>
          <w:tcPr>
            <w:tcW w:w="8640" w:type="dxa"/>
          </w:tcPr>
          <w:p w:rsidR="0000528C" w:rsidRPr="001D0772" w:rsidRDefault="0000528C" w:rsidP="001D0772">
            <w:pPr>
              <w:tabs>
                <w:tab w:val="left" w:pos="360"/>
                <w:tab w:val="left" w:pos="720"/>
                <w:tab w:val="left" w:pos="1080"/>
                <w:tab w:val="left" w:pos="1440"/>
                <w:tab w:val="right" w:pos="10080"/>
              </w:tabs>
              <w:spacing w:before="40" w:after="40"/>
              <w:rPr>
                <w:sz w:val="22"/>
                <w:szCs w:val="22"/>
              </w:rPr>
            </w:pPr>
            <w:r w:rsidRPr="001D0772">
              <w:rPr>
                <w:sz w:val="22"/>
                <w:szCs w:val="22"/>
              </w:rPr>
              <w:t xml:space="preserve">Two 16.5 </w:t>
            </w:r>
            <w:r w:rsidR="00C824C7" w:rsidRPr="001D0772">
              <w:rPr>
                <w:sz w:val="22"/>
                <w:szCs w:val="22"/>
              </w:rPr>
              <w:t>MM</w:t>
            </w:r>
            <w:r w:rsidRPr="001D0772">
              <w:rPr>
                <w:sz w:val="22"/>
                <w:szCs w:val="22"/>
              </w:rPr>
              <w:t>Btu/hour Natural Gas Fuel Heaters (</w:t>
            </w:r>
            <w:r w:rsidR="00C824C7" w:rsidRPr="001D0772">
              <w:rPr>
                <w:sz w:val="22"/>
                <w:szCs w:val="22"/>
              </w:rPr>
              <w:t>Added by the project, PSD/BACT for CO</w:t>
            </w:r>
            <w:r w:rsidRPr="001D0772">
              <w:rPr>
                <w:sz w:val="22"/>
                <w:szCs w:val="22"/>
              </w:rPr>
              <w:t>)</w:t>
            </w:r>
          </w:p>
        </w:tc>
      </w:tr>
      <w:tr w:rsidR="0000528C" w:rsidTr="00022918">
        <w:tc>
          <w:tcPr>
            <w:tcW w:w="9630" w:type="dxa"/>
            <w:gridSpan w:val="2"/>
          </w:tcPr>
          <w:p w:rsidR="0000528C" w:rsidRPr="001D0772" w:rsidRDefault="0000528C" w:rsidP="001D0772">
            <w:pPr>
              <w:spacing w:before="40" w:after="40"/>
              <w:rPr>
                <w:sz w:val="22"/>
                <w:szCs w:val="22"/>
              </w:rPr>
            </w:pPr>
            <w:r w:rsidRPr="001D0772">
              <w:rPr>
                <w:sz w:val="22"/>
                <w:szCs w:val="22"/>
              </w:rPr>
              <w:t>Unregulated Emissions Units and/or Activities</w:t>
            </w:r>
          </w:p>
        </w:tc>
      </w:tr>
      <w:tr w:rsidR="0000528C" w:rsidTr="00022918">
        <w:tc>
          <w:tcPr>
            <w:tcW w:w="990" w:type="dxa"/>
          </w:tcPr>
          <w:p w:rsidR="0000528C" w:rsidRPr="001D0772" w:rsidRDefault="0000528C" w:rsidP="001D0772">
            <w:pPr>
              <w:spacing w:before="40" w:after="40"/>
              <w:jc w:val="center"/>
              <w:rPr>
                <w:sz w:val="22"/>
                <w:szCs w:val="22"/>
              </w:rPr>
            </w:pPr>
            <w:r w:rsidRPr="001D0772">
              <w:rPr>
                <w:sz w:val="22"/>
                <w:szCs w:val="22"/>
              </w:rPr>
              <w:t>003</w:t>
            </w:r>
          </w:p>
        </w:tc>
        <w:tc>
          <w:tcPr>
            <w:tcW w:w="8640" w:type="dxa"/>
          </w:tcPr>
          <w:p w:rsidR="0000528C" w:rsidRPr="001D0772" w:rsidRDefault="0000528C" w:rsidP="001D0772">
            <w:pPr>
              <w:spacing w:before="40" w:after="40"/>
              <w:rPr>
                <w:sz w:val="22"/>
                <w:szCs w:val="22"/>
              </w:rPr>
            </w:pPr>
            <w:r w:rsidRPr="001D0772">
              <w:rPr>
                <w:sz w:val="22"/>
                <w:szCs w:val="22"/>
              </w:rPr>
              <w:t>Surface Coating Operations</w:t>
            </w:r>
          </w:p>
        </w:tc>
      </w:tr>
      <w:tr w:rsidR="0000528C" w:rsidTr="00022918">
        <w:tc>
          <w:tcPr>
            <w:tcW w:w="990" w:type="dxa"/>
          </w:tcPr>
          <w:p w:rsidR="0000528C" w:rsidRPr="001D0772" w:rsidRDefault="0000528C" w:rsidP="001D0772">
            <w:pPr>
              <w:spacing w:before="40" w:after="40"/>
              <w:jc w:val="center"/>
              <w:rPr>
                <w:sz w:val="22"/>
                <w:szCs w:val="22"/>
              </w:rPr>
            </w:pPr>
            <w:r w:rsidRPr="001D0772">
              <w:rPr>
                <w:sz w:val="22"/>
                <w:szCs w:val="22"/>
              </w:rPr>
              <w:t>005</w:t>
            </w:r>
          </w:p>
        </w:tc>
        <w:tc>
          <w:tcPr>
            <w:tcW w:w="8640" w:type="dxa"/>
          </w:tcPr>
          <w:p w:rsidR="0000528C" w:rsidRPr="001D0772" w:rsidRDefault="0000528C" w:rsidP="001D0772">
            <w:pPr>
              <w:spacing w:before="40" w:after="40"/>
              <w:rPr>
                <w:sz w:val="22"/>
                <w:szCs w:val="22"/>
              </w:rPr>
            </w:pPr>
            <w:r w:rsidRPr="001D0772">
              <w:rPr>
                <w:sz w:val="22"/>
                <w:szCs w:val="22"/>
              </w:rPr>
              <w:t>Emergency Diesel Generator</w:t>
            </w:r>
          </w:p>
        </w:tc>
      </w:tr>
      <w:tr w:rsidR="0000528C" w:rsidTr="00022918">
        <w:tc>
          <w:tcPr>
            <w:tcW w:w="990" w:type="dxa"/>
          </w:tcPr>
          <w:p w:rsidR="0000528C" w:rsidRPr="001D0772" w:rsidRDefault="0000528C" w:rsidP="001D0772">
            <w:pPr>
              <w:spacing w:before="40" w:after="40"/>
              <w:jc w:val="center"/>
              <w:rPr>
                <w:sz w:val="22"/>
                <w:szCs w:val="22"/>
              </w:rPr>
            </w:pPr>
            <w:r w:rsidRPr="001D0772">
              <w:rPr>
                <w:sz w:val="22"/>
                <w:szCs w:val="22"/>
              </w:rPr>
              <w:t>006</w:t>
            </w:r>
          </w:p>
        </w:tc>
        <w:tc>
          <w:tcPr>
            <w:tcW w:w="8640" w:type="dxa"/>
          </w:tcPr>
          <w:p w:rsidR="0000528C" w:rsidRPr="001D0772" w:rsidRDefault="0000528C" w:rsidP="001D0772">
            <w:pPr>
              <w:tabs>
                <w:tab w:val="left" w:pos="360"/>
                <w:tab w:val="left" w:pos="720"/>
                <w:tab w:val="left" w:pos="1080"/>
                <w:tab w:val="left" w:pos="1440"/>
              </w:tabs>
              <w:autoSpaceDE w:val="0"/>
              <w:autoSpaceDN w:val="0"/>
              <w:adjustRightInd w:val="0"/>
              <w:spacing w:before="40" w:after="40"/>
              <w:rPr>
                <w:sz w:val="22"/>
                <w:szCs w:val="22"/>
              </w:rPr>
            </w:pPr>
            <w:r w:rsidRPr="001D0772">
              <w:rPr>
                <w:sz w:val="22"/>
                <w:szCs w:val="22"/>
              </w:rPr>
              <w:t>Diesel Air Compressor</w:t>
            </w:r>
          </w:p>
        </w:tc>
      </w:tr>
    </w:tbl>
    <w:p w:rsidR="0000528C" w:rsidRPr="00F85E1C" w:rsidRDefault="0000528C" w:rsidP="00022918">
      <w:pPr>
        <w:pStyle w:val="Default"/>
        <w:spacing w:before="120" w:after="120"/>
        <w:ind w:left="360"/>
        <w:rPr>
          <w:sz w:val="22"/>
          <w:szCs w:val="22"/>
        </w:rPr>
      </w:pPr>
      <w:r>
        <w:rPr>
          <w:sz w:val="22"/>
          <w:szCs w:val="22"/>
        </w:rPr>
        <w:t xml:space="preserve">The two fossil-fuel-fired steam generators </w:t>
      </w:r>
      <w:r w:rsidR="006E78E2">
        <w:rPr>
          <w:sz w:val="22"/>
          <w:szCs w:val="22"/>
        </w:rPr>
        <w:t>are almost identical and each will require as much as 5,500 MMBtu/hour of heat input to provide sufficient steam to drive its respective 556.2 MW (gross) steam turbine-electric generator</w:t>
      </w:r>
      <w:r w:rsidR="001D0772">
        <w:rPr>
          <w:sz w:val="22"/>
          <w:szCs w:val="22"/>
        </w:rPr>
        <w:t>.  F</w:t>
      </w:r>
      <w:r>
        <w:rPr>
          <w:sz w:val="22"/>
          <w:szCs w:val="22"/>
        </w:rPr>
        <w:t xml:space="preserve">or all practical purposes the only meaningful emissions units on the site.  </w:t>
      </w:r>
      <w:r w:rsidR="001D0772">
        <w:rPr>
          <w:sz w:val="22"/>
          <w:szCs w:val="22"/>
        </w:rPr>
        <w:t>Units 1 and 2</w:t>
      </w:r>
      <w:r w:rsidR="00C824C7">
        <w:rPr>
          <w:sz w:val="22"/>
          <w:szCs w:val="22"/>
        </w:rPr>
        <w:t xml:space="preserve"> are the overwhelming features in terms of capacity.  All else is ancillary equipment.</w:t>
      </w:r>
    </w:p>
    <w:p w:rsidR="008E197B" w:rsidRDefault="008E197B">
      <w:pPr>
        <w:rPr>
          <w:color w:val="000000"/>
          <w:sz w:val="22"/>
          <w:szCs w:val="22"/>
        </w:rPr>
      </w:pPr>
      <w:r>
        <w:rPr>
          <w:sz w:val="22"/>
          <w:szCs w:val="22"/>
        </w:rPr>
        <w:br w:type="page"/>
      </w:r>
    </w:p>
    <w:p w:rsidR="00C824C7" w:rsidRDefault="00C824C7" w:rsidP="00022918">
      <w:pPr>
        <w:pStyle w:val="Default"/>
        <w:spacing w:after="120"/>
        <w:ind w:left="360"/>
        <w:rPr>
          <w:sz w:val="22"/>
          <w:szCs w:val="22"/>
        </w:rPr>
      </w:pPr>
      <w:r>
        <w:rPr>
          <w:sz w:val="22"/>
          <w:szCs w:val="22"/>
        </w:rPr>
        <w:lastRenderedPageBreak/>
        <w:t xml:space="preserve">As discussed above, there is every reason to believe that startup, shut down and fugitive emissions will be reduced for Units 1 and 2 when switching to natural gas.  </w:t>
      </w:r>
      <w:r w:rsidR="00CD3EC2">
        <w:rPr>
          <w:sz w:val="22"/>
          <w:szCs w:val="22"/>
        </w:rPr>
        <w:t>T</w:t>
      </w:r>
      <w:r>
        <w:rPr>
          <w:sz w:val="22"/>
          <w:szCs w:val="22"/>
        </w:rPr>
        <w:t xml:space="preserve">he initial project that added limited natural gas capability was </w:t>
      </w:r>
      <w:r w:rsidR="00CD3EC2">
        <w:rPr>
          <w:sz w:val="22"/>
          <w:szCs w:val="22"/>
        </w:rPr>
        <w:t xml:space="preserve">approved in 1998 pursuant to the electric generating unit </w:t>
      </w:r>
      <w:r>
        <w:rPr>
          <w:sz w:val="22"/>
          <w:szCs w:val="22"/>
        </w:rPr>
        <w:t>pollution control project (PCP) exemption</w:t>
      </w:r>
      <w:r w:rsidR="00CD3EC2">
        <w:rPr>
          <w:sz w:val="22"/>
          <w:szCs w:val="22"/>
        </w:rPr>
        <w:t xml:space="preserve"> (since vacated)</w:t>
      </w:r>
      <w:r>
        <w:rPr>
          <w:sz w:val="22"/>
          <w:szCs w:val="22"/>
        </w:rPr>
        <w:t xml:space="preserve">, largely to reduce visible emissions and PM/sulfuric acid mist fallout.  Any startup and shutdown PM emissions from the helper cooling </w:t>
      </w:r>
      <w:r w:rsidR="00285C0B">
        <w:rPr>
          <w:sz w:val="22"/>
          <w:szCs w:val="22"/>
        </w:rPr>
        <w:t>towers</w:t>
      </w:r>
      <w:r>
        <w:rPr>
          <w:sz w:val="22"/>
          <w:szCs w:val="22"/>
        </w:rPr>
        <w:t xml:space="preserve"> (that underwent a PSD/BACT determination for PM in 2006) will not change due to the project and any conceivable projected actual emissions and demand increases will be cancelled out by baseline emissions and demand growth exclusion.</w:t>
      </w:r>
    </w:p>
    <w:p w:rsidR="000D5061" w:rsidRDefault="002F3505" w:rsidP="00022918">
      <w:pPr>
        <w:pStyle w:val="Default"/>
        <w:spacing w:after="120"/>
        <w:ind w:left="360"/>
        <w:rPr>
          <w:sz w:val="22"/>
          <w:szCs w:val="22"/>
        </w:rPr>
      </w:pPr>
      <w:r>
        <w:rPr>
          <w:sz w:val="22"/>
          <w:szCs w:val="22"/>
        </w:rPr>
        <w:t>The three r</w:t>
      </w:r>
      <w:r w:rsidR="00C824C7">
        <w:rPr>
          <w:sz w:val="22"/>
          <w:szCs w:val="22"/>
        </w:rPr>
        <w:t xml:space="preserve">elocatable </w:t>
      </w:r>
      <w:r>
        <w:rPr>
          <w:sz w:val="22"/>
          <w:szCs w:val="22"/>
        </w:rPr>
        <w:t xml:space="preserve">diesel engine generators are shared between six facilities located in Pinellas, Pasco, Polk, Sumter and Citrus Counties.  Each has a rating of </w:t>
      </w:r>
      <w:r w:rsidR="00B54F36">
        <w:rPr>
          <w:sz w:val="22"/>
          <w:szCs w:val="22"/>
        </w:rPr>
        <w:t>0.82</w:t>
      </w:r>
      <w:r w:rsidRPr="002F3505">
        <w:rPr>
          <w:sz w:val="22"/>
          <w:szCs w:val="22"/>
        </w:rPr>
        <w:t xml:space="preserve"> </w:t>
      </w:r>
      <w:r w:rsidR="00B54F36">
        <w:rPr>
          <w:sz w:val="22"/>
          <w:szCs w:val="22"/>
        </w:rPr>
        <w:t>M</w:t>
      </w:r>
      <w:r w:rsidRPr="002F3505">
        <w:rPr>
          <w:sz w:val="22"/>
          <w:szCs w:val="22"/>
        </w:rPr>
        <w:t xml:space="preserve">W.  </w:t>
      </w:r>
      <w:r w:rsidR="00B54F36">
        <w:rPr>
          <w:sz w:val="22"/>
          <w:szCs w:val="22"/>
        </w:rPr>
        <w:t>Any startup and shutdown emission changes would be trivial compared with the changes due to Units 1 and 2</w:t>
      </w:r>
      <w:r w:rsidR="005B66CB">
        <w:rPr>
          <w:sz w:val="22"/>
          <w:szCs w:val="22"/>
        </w:rPr>
        <w:t>.</w:t>
      </w:r>
    </w:p>
    <w:p w:rsidR="00B54F36" w:rsidRDefault="00B54F36" w:rsidP="00022918">
      <w:pPr>
        <w:pStyle w:val="Default"/>
        <w:spacing w:after="120"/>
        <w:ind w:left="360"/>
        <w:rPr>
          <w:sz w:val="22"/>
          <w:szCs w:val="22"/>
        </w:rPr>
      </w:pPr>
      <w:r>
        <w:rPr>
          <w:sz w:val="22"/>
          <w:szCs w:val="22"/>
        </w:rPr>
        <w:t>The values given in Table 7 of the preliminary determination would increase as follows by inclusion of the gas heater emissions:  CO = 5.3 tons/year; VOC = 0.35 tons/year; NO</w:t>
      </w:r>
      <w:r w:rsidRPr="00B9323B">
        <w:rPr>
          <w:sz w:val="22"/>
          <w:szCs w:val="22"/>
          <w:vertAlign w:val="subscript"/>
        </w:rPr>
        <w:t>X</w:t>
      </w:r>
      <w:r>
        <w:rPr>
          <w:sz w:val="22"/>
          <w:szCs w:val="22"/>
        </w:rPr>
        <w:t xml:space="preserve"> = 6.3 tons/year; SO</w:t>
      </w:r>
      <w:r w:rsidRPr="00B9323B">
        <w:rPr>
          <w:sz w:val="22"/>
          <w:szCs w:val="22"/>
          <w:vertAlign w:val="subscript"/>
        </w:rPr>
        <w:t>2</w:t>
      </w:r>
      <w:r>
        <w:rPr>
          <w:sz w:val="22"/>
          <w:szCs w:val="22"/>
        </w:rPr>
        <w:t xml:space="preserve"> = 0.18 tons/year; </w:t>
      </w:r>
      <w:r w:rsidR="004B5EEC">
        <w:rPr>
          <w:sz w:val="22"/>
          <w:szCs w:val="22"/>
        </w:rPr>
        <w:t xml:space="preserve">greenhouse gases (GHG) as equivalent carbon dioxide </w:t>
      </w:r>
      <w:r>
        <w:rPr>
          <w:sz w:val="22"/>
          <w:szCs w:val="22"/>
        </w:rPr>
        <w:t>(CO</w:t>
      </w:r>
      <w:r w:rsidRPr="00B9323B">
        <w:rPr>
          <w:sz w:val="22"/>
          <w:szCs w:val="22"/>
          <w:vertAlign w:val="subscript"/>
        </w:rPr>
        <w:t>2</w:t>
      </w:r>
      <w:r>
        <w:rPr>
          <w:sz w:val="22"/>
          <w:szCs w:val="22"/>
        </w:rPr>
        <w:t xml:space="preserve">e) = 3,790 tons/year.  Table 7 from the preliminary determination is reproduced below as Table 2.  It has been updated and corrected to clarify that the estimates and conclusions are those of the Department and not those originally submitted by the applicant.  </w:t>
      </w:r>
      <w:r w:rsidR="00F657CC">
        <w:rPr>
          <w:sz w:val="22"/>
          <w:szCs w:val="22"/>
        </w:rPr>
        <w:t>Addition of the emissions from the gas heaters to the 4</w:t>
      </w:r>
      <w:r w:rsidR="00F657CC" w:rsidRPr="00F657CC">
        <w:rPr>
          <w:sz w:val="22"/>
          <w:szCs w:val="22"/>
          <w:vertAlign w:val="superscript"/>
        </w:rPr>
        <w:t>th</w:t>
      </w:r>
      <w:r w:rsidR="00F657CC">
        <w:rPr>
          <w:sz w:val="22"/>
          <w:szCs w:val="22"/>
        </w:rPr>
        <w:t xml:space="preserve"> and 5</w:t>
      </w:r>
      <w:r w:rsidR="00F657CC" w:rsidRPr="00F657CC">
        <w:rPr>
          <w:sz w:val="22"/>
          <w:szCs w:val="22"/>
          <w:vertAlign w:val="superscript"/>
        </w:rPr>
        <w:t>th</w:t>
      </w:r>
      <w:r w:rsidR="00F657CC">
        <w:rPr>
          <w:sz w:val="22"/>
          <w:szCs w:val="22"/>
        </w:rPr>
        <w:t xml:space="preserve"> columns, while correct, makes no material difference in the conclusions given in the 6</w:t>
      </w:r>
      <w:r w:rsidR="00F657CC" w:rsidRPr="00F657CC">
        <w:rPr>
          <w:sz w:val="22"/>
          <w:szCs w:val="22"/>
          <w:vertAlign w:val="superscript"/>
        </w:rPr>
        <w:t>th</w:t>
      </w:r>
      <w:r w:rsidR="00544E0F">
        <w:rPr>
          <w:sz w:val="22"/>
          <w:szCs w:val="22"/>
        </w:rPr>
        <w:t xml:space="preserve"> column.</w:t>
      </w:r>
    </w:p>
    <w:p w:rsidR="00B54F36" w:rsidRPr="00475C43" w:rsidRDefault="00B54F36" w:rsidP="00544E0F">
      <w:pPr>
        <w:pStyle w:val="BodyText"/>
        <w:spacing w:after="60"/>
        <w:ind w:left="360"/>
        <w:rPr>
          <w:b/>
          <w:color w:val="000000"/>
          <w:szCs w:val="22"/>
        </w:rPr>
      </w:pPr>
      <w:r w:rsidRPr="00475C43">
        <w:rPr>
          <w:b/>
          <w:color w:val="000000"/>
          <w:szCs w:val="22"/>
        </w:rPr>
        <w:t xml:space="preserve">Table </w:t>
      </w:r>
      <w:r w:rsidR="001D0772">
        <w:rPr>
          <w:b/>
          <w:color w:val="000000"/>
          <w:szCs w:val="22"/>
        </w:rPr>
        <w:t>2</w:t>
      </w:r>
      <w:r>
        <w:rPr>
          <w:b/>
          <w:color w:val="000000"/>
          <w:szCs w:val="22"/>
        </w:rPr>
        <w:t xml:space="preserve">.  </w:t>
      </w:r>
      <w:r w:rsidRPr="00B54F36">
        <w:rPr>
          <w:b/>
          <w:color w:val="000000"/>
          <w:szCs w:val="22"/>
        </w:rPr>
        <w:t>Department’s</w:t>
      </w:r>
      <w:r>
        <w:rPr>
          <w:b/>
          <w:color w:val="000000"/>
          <w:szCs w:val="22"/>
        </w:rPr>
        <w:t xml:space="preserve"> Emissions Estimates </w:t>
      </w:r>
      <w:r w:rsidR="001D0772">
        <w:rPr>
          <w:b/>
          <w:color w:val="000000"/>
          <w:szCs w:val="22"/>
        </w:rPr>
        <w:t xml:space="preserve">and PSD Applicability </w:t>
      </w:r>
      <w:r w:rsidR="005B66CB">
        <w:rPr>
          <w:b/>
          <w:color w:val="000000"/>
          <w:szCs w:val="22"/>
        </w:rPr>
        <w:t>for Units 1, 2 and Gas heaters</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620"/>
        <w:gridCol w:w="1710"/>
        <w:gridCol w:w="2070"/>
        <w:gridCol w:w="1530"/>
        <w:gridCol w:w="1530"/>
      </w:tblGrid>
      <w:tr w:rsidR="00B54F36" w:rsidRPr="00475C43" w:rsidTr="00544E0F">
        <w:trPr>
          <w:trHeight w:val="494"/>
        </w:trPr>
        <w:tc>
          <w:tcPr>
            <w:tcW w:w="1260" w:type="dxa"/>
            <w:noWrap/>
            <w:vAlign w:val="center"/>
          </w:tcPr>
          <w:p w:rsidR="00B54F36" w:rsidRPr="002B5FAA" w:rsidRDefault="00B54F36" w:rsidP="001A5A72">
            <w:pPr>
              <w:spacing w:before="60" w:after="60"/>
              <w:ind w:left="-18"/>
              <w:rPr>
                <w:b/>
                <w:color w:val="000000"/>
                <w:sz w:val="18"/>
                <w:szCs w:val="18"/>
              </w:rPr>
            </w:pPr>
            <w:r w:rsidRPr="002B5FAA">
              <w:rPr>
                <w:b/>
                <w:color w:val="000000"/>
                <w:sz w:val="18"/>
                <w:szCs w:val="18"/>
              </w:rPr>
              <w:t>Pollutant</w:t>
            </w:r>
          </w:p>
        </w:tc>
        <w:tc>
          <w:tcPr>
            <w:tcW w:w="1620" w:type="dxa"/>
            <w:vAlign w:val="center"/>
          </w:tcPr>
          <w:p w:rsidR="00B54F36" w:rsidRPr="002B5FAA" w:rsidRDefault="00B54F36" w:rsidP="004B5EEC">
            <w:pPr>
              <w:spacing w:before="60" w:after="60"/>
              <w:jc w:val="center"/>
              <w:rPr>
                <w:b/>
                <w:color w:val="000000"/>
                <w:sz w:val="18"/>
                <w:szCs w:val="18"/>
              </w:rPr>
            </w:pPr>
            <w:r w:rsidRPr="002B5FAA">
              <w:rPr>
                <w:b/>
                <w:color w:val="000000"/>
                <w:sz w:val="18"/>
                <w:szCs w:val="18"/>
              </w:rPr>
              <w:t xml:space="preserve">24-Month </w:t>
            </w:r>
            <w:r>
              <w:rPr>
                <w:b/>
                <w:color w:val="000000"/>
                <w:sz w:val="18"/>
                <w:szCs w:val="18"/>
              </w:rPr>
              <w:br/>
            </w:r>
            <w:r w:rsidRPr="002B5FAA">
              <w:rPr>
                <w:b/>
                <w:color w:val="000000"/>
                <w:sz w:val="18"/>
                <w:szCs w:val="18"/>
              </w:rPr>
              <w:t>Baseline</w:t>
            </w:r>
            <w:r>
              <w:rPr>
                <w:b/>
                <w:color w:val="000000"/>
                <w:sz w:val="18"/>
                <w:szCs w:val="18"/>
              </w:rPr>
              <w:t xml:space="preserve"> </w:t>
            </w:r>
            <w:r w:rsidRPr="002B5FAA">
              <w:rPr>
                <w:b/>
                <w:color w:val="000000"/>
                <w:sz w:val="18"/>
                <w:szCs w:val="18"/>
              </w:rPr>
              <w:t xml:space="preserve">Period </w:t>
            </w:r>
            <w:r w:rsidR="004B5EEC">
              <w:rPr>
                <w:b/>
                <w:color w:val="000000"/>
                <w:sz w:val="18"/>
                <w:szCs w:val="18"/>
              </w:rPr>
              <w:t>(</w:t>
            </w:r>
            <w:r w:rsidRPr="002B5FAA">
              <w:rPr>
                <w:b/>
                <w:color w:val="000000"/>
                <w:sz w:val="18"/>
                <w:szCs w:val="18"/>
              </w:rPr>
              <w:t>Selected</w:t>
            </w:r>
            <w:r>
              <w:rPr>
                <w:b/>
                <w:color w:val="000000"/>
                <w:sz w:val="18"/>
                <w:szCs w:val="18"/>
              </w:rPr>
              <w:t xml:space="preserve"> Y</w:t>
            </w:r>
            <w:r w:rsidRPr="002B5FAA">
              <w:rPr>
                <w:b/>
                <w:color w:val="000000"/>
                <w:sz w:val="18"/>
                <w:szCs w:val="18"/>
              </w:rPr>
              <w:t>ear</w:t>
            </w:r>
            <w:r>
              <w:rPr>
                <w:b/>
                <w:color w:val="000000"/>
                <w:sz w:val="18"/>
                <w:szCs w:val="18"/>
              </w:rPr>
              <w:t>s</w:t>
            </w:r>
            <w:r w:rsidRPr="002B5FAA">
              <w:rPr>
                <w:b/>
                <w:color w:val="000000"/>
                <w:sz w:val="18"/>
                <w:szCs w:val="18"/>
              </w:rPr>
              <w:t>)</w:t>
            </w:r>
          </w:p>
        </w:tc>
        <w:tc>
          <w:tcPr>
            <w:tcW w:w="1710" w:type="dxa"/>
            <w:vAlign w:val="center"/>
          </w:tcPr>
          <w:p w:rsidR="00B54F36" w:rsidRPr="002B5FAA" w:rsidRDefault="00B54F36" w:rsidP="004B5EEC">
            <w:pPr>
              <w:spacing w:before="60" w:after="60"/>
              <w:jc w:val="center"/>
              <w:rPr>
                <w:b/>
                <w:color w:val="000000"/>
                <w:sz w:val="18"/>
                <w:szCs w:val="18"/>
              </w:rPr>
            </w:pPr>
            <w:r>
              <w:rPr>
                <w:b/>
                <w:color w:val="000000"/>
                <w:sz w:val="18"/>
                <w:szCs w:val="18"/>
              </w:rPr>
              <w:t xml:space="preserve">Applicant </w:t>
            </w:r>
            <w:r w:rsidRPr="002B5FAA">
              <w:rPr>
                <w:b/>
                <w:color w:val="000000"/>
                <w:sz w:val="18"/>
                <w:szCs w:val="18"/>
              </w:rPr>
              <w:t>Baseline</w:t>
            </w:r>
            <w:r w:rsidRPr="002B5FAA">
              <w:rPr>
                <w:b/>
                <w:color w:val="000000"/>
                <w:sz w:val="18"/>
                <w:szCs w:val="18"/>
              </w:rPr>
              <w:br/>
              <w:t>Actual Emissions</w:t>
            </w:r>
            <w:r w:rsidRPr="002B5FAA">
              <w:rPr>
                <w:b/>
                <w:color w:val="000000"/>
                <w:sz w:val="18"/>
                <w:szCs w:val="18"/>
              </w:rPr>
              <w:br/>
              <w:t>(tons/year)</w:t>
            </w:r>
          </w:p>
        </w:tc>
        <w:tc>
          <w:tcPr>
            <w:tcW w:w="2070" w:type="dxa"/>
            <w:noWrap/>
            <w:vAlign w:val="center"/>
          </w:tcPr>
          <w:p w:rsidR="00B54F36" w:rsidRPr="002B5FAA" w:rsidRDefault="004B5EEC" w:rsidP="004B5EEC">
            <w:pPr>
              <w:spacing w:before="60" w:after="60"/>
              <w:ind w:left="24"/>
              <w:jc w:val="center"/>
              <w:rPr>
                <w:b/>
                <w:color w:val="000000"/>
                <w:sz w:val="18"/>
                <w:szCs w:val="18"/>
                <w:vertAlign w:val="superscript"/>
              </w:rPr>
            </w:pPr>
            <w:r>
              <w:rPr>
                <w:b/>
                <w:color w:val="000000"/>
                <w:sz w:val="18"/>
                <w:szCs w:val="18"/>
              </w:rPr>
              <w:t>Department</w:t>
            </w:r>
            <w:r w:rsidR="00B54F36">
              <w:rPr>
                <w:b/>
                <w:color w:val="000000"/>
                <w:sz w:val="18"/>
                <w:szCs w:val="18"/>
              </w:rPr>
              <w:t xml:space="preserve"> </w:t>
            </w:r>
            <w:r w:rsidR="00B54F36" w:rsidRPr="002B5FAA">
              <w:rPr>
                <w:b/>
                <w:color w:val="000000"/>
                <w:sz w:val="18"/>
                <w:szCs w:val="18"/>
              </w:rPr>
              <w:t>Projected</w:t>
            </w:r>
            <w:r w:rsidR="00B54F36" w:rsidRPr="002B5FAA">
              <w:rPr>
                <w:b/>
                <w:color w:val="000000"/>
                <w:sz w:val="18"/>
                <w:szCs w:val="18"/>
              </w:rPr>
              <w:br/>
              <w:t>Actual Emissions</w:t>
            </w:r>
            <w:r w:rsidR="00B54F36" w:rsidRPr="002B5FAA">
              <w:rPr>
                <w:b/>
                <w:color w:val="000000"/>
                <w:sz w:val="18"/>
                <w:szCs w:val="18"/>
              </w:rPr>
              <w:br/>
              <w:t>(tons/year)</w:t>
            </w:r>
          </w:p>
        </w:tc>
        <w:tc>
          <w:tcPr>
            <w:tcW w:w="1530" w:type="dxa"/>
            <w:vAlign w:val="center"/>
          </w:tcPr>
          <w:p w:rsidR="00B54F36" w:rsidRPr="002B5FAA" w:rsidRDefault="00B54F36" w:rsidP="00544E0F">
            <w:pPr>
              <w:spacing w:before="60" w:after="60"/>
              <w:ind w:left="24"/>
              <w:jc w:val="center"/>
              <w:rPr>
                <w:b/>
                <w:color w:val="000000"/>
                <w:sz w:val="18"/>
                <w:szCs w:val="18"/>
              </w:rPr>
            </w:pPr>
            <w:r>
              <w:rPr>
                <w:b/>
                <w:color w:val="000000"/>
                <w:sz w:val="18"/>
                <w:szCs w:val="18"/>
              </w:rPr>
              <w:t>Projected</w:t>
            </w:r>
            <w:r>
              <w:rPr>
                <w:b/>
                <w:color w:val="000000"/>
                <w:sz w:val="18"/>
                <w:szCs w:val="18"/>
              </w:rPr>
              <w:br/>
              <w:t>Increase</w:t>
            </w:r>
            <w:r>
              <w:rPr>
                <w:b/>
                <w:color w:val="000000"/>
                <w:sz w:val="18"/>
                <w:szCs w:val="18"/>
              </w:rPr>
              <w:br/>
              <w:t>(tons/year)</w:t>
            </w:r>
          </w:p>
        </w:tc>
        <w:tc>
          <w:tcPr>
            <w:tcW w:w="1530" w:type="dxa"/>
            <w:noWrap/>
            <w:vAlign w:val="center"/>
          </w:tcPr>
          <w:p w:rsidR="00B54F36" w:rsidRPr="00B77F71" w:rsidRDefault="00B54F36" w:rsidP="001A5A72">
            <w:pPr>
              <w:spacing w:before="60" w:after="60"/>
              <w:ind w:left="-18"/>
              <w:jc w:val="center"/>
              <w:rPr>
                <w:b/>
                <w:color w:val="000000"/>
                <w:sz w:val="18"/>
                <w:szCs w:val="18"/>
              </w:rPr>
            </w:pPr>
            <w:r>
              <w:rPr>
                <w:b/>
                <w:color w:val="000000"/>
                <w:sz w:val="18"/>
                <w:szCs w:val="18"/>
                <w:u w:val="single"/>
              </w:rPr>
              <w:t>&gt;</w:t>
            </w:r>
            <w:r w:rsidRPr="00B16469">
              <w:rPr>
                <w:b/>
                <w:color w:val="000000"/>
                <w:sz w:val="18"/>
                <w:szCs w:val="18"/>
              </w:rPr>
              <w:t xml:space="preserve"> </w:t>
            </w:r>
            <w:r w:rsidRPr="00B77F71">
              <w:rPr>
                <w:b/>
                <w:color w:val="000000"/>
                <w:sz w:val="18"/>
                <w:szCs w:val="18"/>
              </w:rPr>
              <w:t>PSD</w:t>
            </w:r>
            <w:r>
              <w:rPr>
                <w:b/>
                <w:color w:val="000000"/>
                <w:sz w:val="18"/>
                <w:szCs w:val="18"/>
              </w:rPr>
              <w:t xml:space="preserve"> </w:t>
            </w:r>
            <w:r w:rsidRPr="00B77F71">
              <w:rPr>
                <w:b/>
                <w:color w:val="000000"/>
                <w:sz w:val="18"/>
                <w:szCs w:val="18"/>
              </w:rPr>
              <w:t>SER</w:t>
            </w:r>
            <w:r>
              <w:rPr>
                <w:b/>
                <w:color w:val="000000"/>
                <w:sz w:val="18"/>
                <w:szCs w:val="18"/>
              </w:rPr>
              <w:t>?</w:t>
            </w:r>
            <w:r w:rsidRPr="00B77F71">
              <w:rPr>
                <w:b/>
                <w:color w:val="000000"/>
                <w:sz w:val="18"/>
                <w:szCs w:val="18"/>
              </w:rPr>
              <w:br/>
              <w:t>(tons/year)</w:t>
            </w:r>
            <w:r>
              <w:rPr>
                <w:b/>
                <w:color w:val="000000"/>
                <w:sz w:val="18"/>
                <w:szCs w:val="18"/>
              </w:rPr>
              <w:br/>
              <w:t>Yes/No</w:t>
            </w:r>
          </w:p>
        </w:tc>
      </w:tr>
      <w:tr w:rsidR="00B54F36" w:rsidRPr="00475C43" w:rsidTr="00544E0F">
        <w:trPr>
          <w:trHeight w:val="255"/>
        </w:trPr>
        <w:tc>
          <w:tcPr>
            <w:tcW w:w="1260" w:type="dxa"/>
            <w:noWrap/>
          </w:tcPr>
          <w:p w:rsidR="00B54F36" w:rsidRPr="002B5FAA" w:rsidRDefault="00B54F36" w:rsidP="001A5A72">
            <w:pPr>
              <w:spacing w:before="60" w:after="60"/>
              <w:ind w:left="-18"/>
              <w:rPr>
                <w:b/>
                <w:color w:val="000000"/>
                <w:sz w:val="18"/>
                <w:szCs w:val="18"/>
              </w:rPr>
            </w:pPr>
            <w:r w:rsidRPr="002B5FAA">
              <w:rPr>
                <w:b/>
                <w:color w:val="000000"/>
                <w:sz w:val="18"/>
                <w:szCs w:val="18"/>
              </w:rPr>
              <w:t>CO</w:t>
            </w:r>
            <w:r w:rsidR="003B7591">
              <w:rPr>
                <w:b/>
                <w:color w:val="000000"/>
                <w:sz w:val="18"/>
                <w:szCs w:val="18"/>
              </w:rPr>
              <w:t xml:space="preserve"> </w:t>
            </w:r>
            <w:r w:rsidR="003B7591" w:rsidRPr="003B7591">
              <w:rPr>
                <w:b/>
                <w:color w:val="000000"/>
                <w:sz w:val="18"/>
                <w:szCs w:val="18"/>
                <w:vertAlign w:val="superscript"/>
              </w:rPr>
              <w:t>1</w:t>
            </w:r>
          </w:p>
        </w:tc>
        <w:tc>
          <w:tcPr>
            <w:tcW w:w="1620" w:type="dxa"/>
          </w:tcPr>
          <w:p w:rsidR="00B54F36" w:rsidRPr="002B5FAA" w:rsidRDefault="00B54F36" w:rsidP="001A5A72">
            <w:pPr>
              <w:spacing w:before="60" w:after="60"/>
              <w:jc w:val="center"/>
              <w:rPr>
                <w:color w:val="000000"/>
                <w:sz w:val="18"/>
                <w:szCs w:val="18"/>
              </w:rPr>
            </w:pPr>
            <w:r w:rsidRPr="002B5FAA">
              <w:rPr>
                <w:color w:val="000000"/>
                <w:sz w:val="18"/>
                <w:szCs w:val="18"/>
              </w:rPr>
              <w:t>200</w:t>
            </w:r>
            <w:r>
              <w:rPr>
                <w:color w:val="000000"/>
                <w:sz w:val="18"/>
                <w:szCs w:val="18"/>
              </w:rPr>
              <w:t>6</w:t>
            </w:r>
            <w:r w:rsidRPr="002B5FAA">
              <w:rPr>
                <w:color w:val="000000"/>
                <w:sz w:val="18"/>
                <w:szCs w:val="18"/>
              </w:rPr>
              <w:t xml:space="preserve"> –</w:t>
            </w:r>
            <w:r>
              <w:rPr>
                <w:color w:val="000000"/>
                <w:sz w:val="18"/>
                <w:szCs w:val="18"/>
              </w:rPr>
              <w:t xml:space="preserve"> </w:t>
            </w:r>
            <w:r w:rsidRPr="002B5FAA">
              <w:rPr>
                <w:color w:val="000000"/>
                <w:sz w:val="18"/>
                <w:szCs w:val="18"/>
              </w:rPr>
              <w:t>200</w:t>
            </w:r>
            <w:r>
              <w:rPr>
                <w:color w:val="000000"/>
                <w:sz w:val="18"/>
                <w:szCs w:val="18"/>
              </w:rPr>
              <w:t>7</w:t>
            </w:r>
          </w:p>
        </w:tc>
        <w:tc>
          <w:tcPr>
            <w:tcW w:w="1710" w:type="dxa"/>
          </w:tcPr>
          <w:p w:rsidR="00B54F36" w:rsidRPr="002B5FAA" w:rsidRDefault="00B54F36" w:rsidP="001A5A72">
            <w:pPr>
              <w:spacing w:before="60" w:after="60"/>
              <w:jc w:val="center"/>
              <w:rPr>
                <w:color w:val="000000"/>
                <w:sz w:val="18"/>
                <w:szCs w:val="18"/>
              </w:rPr>
            </w:pPr>
            <w:r>
              <w:rPr>
                <w:color w:val="000000"/>
                <w:sz w:val="18"/>
                <w:szCs w:val="18"/>
              </w:rPr>
              <w:t>506</w:t>
            </w:r>
          </w:p>
        </w:tc>
        <w:tc>
          <w:tcPr>
            <w:tcW w:w="2070" w:type="dxa"/>
            <w:noWrap/>
          </w:tcPr>
          <w:p w:rsidR="00B54F36" w:rsidRPr="00F657CC" w:rsidRDefault="00B54F36" w:rsidP="0091563B">
            <w:pPr>
              <w:spacing w:before="60" w:after="60"/>
              <w:ind w:left="24"/>
              <w:jc w:val="center"/>
              <w:rPr>
                <w:color w:val="000000"/>
                <w:sz w:val="18"/>
                <w:szCs w:val="18"/>
              </w:rPr>
            </w:pPr>
            <w:r>
              <w:rPr>
                <w:color w:val="000000"/>
                <w:sz w:val="18"/>
                <w:szCs w:val="18"/>
              </w:rPr>
              <w:t>3,025</w:t>
            </w:r>
            <w:r w:rsidR="003B7591">
              <w:rPr>
                <w:color w:val="000000"/>
                <w:sz w:val="18"/>
                <w:szCs w:val="18"/>
              </w:rPr>
              <w:t xml:space="preserve"> </w:t>
            </w:r>
            <w:r w:rsidR="003B7591">
              <w:rPr>
                <w:b/>
                <w:color w:val="000000"/>
                <w:sz w:val="18"/>
                <w:szCs w:val="18"/>
                <w:vertAlign w:val="superscript"/>
              </w:rPr>
              <w:t xml:space="preserve">1 </w:t>
            </w:r>
            <w:r w:rsidR="00F657CC" w:rsidRPr="00F657CC">
              <w:rPr>
                <w:color w:val="000000"/>
                <w:sz w:val="18"/>
                <w:szCs w:val="18"/>
              </w:rPr>
              <w:t xml:space="preserve"> </w:t>
            </w:r>
            <w:r w:rsidR="00F657CC" w:rsidRPr="004B5EEC">
              <w:rPr>
                <w:b/>
                <w:color w:val="000000"/>
                <w:sz w:val="18"/>
                <w:szCs w:val="18"/>
                <w:u w:val="double"/>
              </w:rPr>
              <w:t>+</w:t>
            </w:r>
            <w:r w:rsidR="0091563B" w:rsidRPr="004B5EEC">
              <w:rPr>
                <w:b/>
                <w:color w:val="000000"/>
                <w:sz w:val="18"/>
                <w:szCs w:val="18"/>
                <w:u w:val="double"/>
              </w:rPr>
              <w:t xml:space="preserve"> </w:t>
            </w:r>
            <w:r w:rsidR="00F657CC" w:rsidRPr="004B5EEC">
              <w:rPr>
                <w:b/>
                <w:color w:val="000000"/>
                <w:sz w:val="18"/>
                <w:szCs w:val="18"/>
                <w:u w:val="double"/>
              </w:rPr>
              <w:t>5.3</w:t>
            </w:r>
          </w:p>
        </w:tc>
        <w:tc>
          <w:tcPr>
            <w:tcW w:w="1530" w:type="dxa"/>
          </w:tcPr>
          <w:p w:rsidR="00B54F36" w:rsidRPr="002B5FAA" w:rsidRDefault="00B54F36" w:rsidP="001A5A72">
            <w:pPr>
              <w:spacing w:before="60" w:after="60"/>
              <w:ind w:left="24"/>
              <w:jc w:val="center"/>
              <w:rPr>
                <w:color w:val="000000"/>
                <w:sz w:val="18"/>
                <w:szCs w:val="18"/>
              </w:rPr>
            </w:pPr>
            <w:r>
              <w:rPr>
                <w:color w:val="000000"/>
                <w:sz w:val="18"/>
                <w:szCs w:val="18"/>
              </w:rPr>
              <w:t>2,519</w:t>
            </w:r>
            <w:r w:rsidR="0091563B">
              <w:rPr>
                <w:color w:val="000000"/>
                <w:sz w:val="18"/>
                <w:szCs w:val="18"/>
              </w:rPr>
              <w:t xml:space="preserve"> </w:t>
            </w:r>
            <w:r w:rsidR="0091563B" w:rsidRPr="004B5EEC">
              <w:rPr>
                <w:b/>
                <w:color w:val="000000"/>
                <w:sz w:val="18"/>
                <w:szCs w:val="18"/>
                <w:u w:val="double"/>
              </w:rPr>
              <w:t>+</w:t>
            </w:r>
            <w:r w:rsidR="005B66CB" w:rsidRPr="004B5EEC">
              <w:rPr>
                <w:b/>
                <w:color w:val="000000"/>
                <w:sz w:val="18"/>
                <w:szCs w:val="18"/>
                <w:u w:val="double"/>
              </w:rPr>
              <w:t xml:space="preserve"> </w:t>
            </w:r>
            <w:r w:rsidR="0091563B" w:rsidRPr="004B5EEC">
              <w:rPr>
                <w:b/>
                <w:color w:val="000000"/>
                <w:sz w:val="18"/>
                <w:szCs w:val="18"/>
                <w:u w:val="double"/>
              </w:rPr>
              <w:t>5.3</w:t>
            </w:r>
          </w:p>
        </w:tc>
        <w:tc>
          <w:tcPr>
            <w:tcW w:w="1530" w:type="dxa"/>
            <w:noWrap/>
          </w:tcPr>
          <w:p w:rsidR="00B54F36" w:rsidRPr="002B5FAA" w:rsidRDefault="00B54F36" w:rsidP="001A5A72">
            <w:pPr>
              <w:spacing w:before="60" w:after="60"/>
              <w:ind w:left="-18" w:right="162"/>
              <w:jc w:val="right"/>
              <w:rPr>
                <w:color w:val="000000"/>
                <w:sz w:val="18"/>
                <w:szCs w:val="18"/>
              </w:rPr>
            </w:pPr>
            <w:r w:rsidRPr="006A4F22">
              <w:rPr>
                <w:color w:val="000000"/>
                <w:sz w:val="18"/>
                <w:szCs w:val="18"/>
                <w:u w:val="single"/>
              </w:rPr>
              <w:t>&gt;</w:t>
            </w:r>
            <w:r w:rsidRPr="00B16469">
              <w:rPr>
                <w:b/>
                <w:color w:val="000000"/>
                <w:sz w:val="18"/>
                <w:szCs w:val="18"/>
              </w:rPr>
              <w:t xml:space="preserve"> </w:t>
            </w:r>
            <w:r w:rsidRPr="00B77F71">
              <w:rPr>
                <w:color w:val="000000"/>
                <w:sz w:val="18"/>
                <w:szCs w:val="18"/>
              </w:rPr>
              <w:t>100</w:t>
            </w:r>
            <w:r>
              <w:rPr>
                <w:color w:val="000000"/>
                <w:sz w:val="18"/>
                <w:szCs w:val="18"/>
              </w:rPr>
              <w:t xml:space="preserve">?  </w:t>
            </w:r>
            <w:r w:rsidRPr="00341678">
              <w:rPr>
                <w:b/>
                <w:color w:val="000000"/>
                <w:sz w:val="18"/>
                <w:szCs w:val="18"/>
              </w:rPr>
              <w:t>Yes</w:t>
            </w:r>
          </w:p>
        </w:tc>
      </w:tr>
      <w:tr w:rsidR="00B54F36" w:rsidRPr="00475C43" w:rsidTr="00544E0F">
        <w:trPr>
          <w:trHeight w:val="255"/>
        </w:trPr>
        <w:tc>
          <w:tcPr>
            <w:tcW w:w="1260" w:type="dxa"/>
            <w:noWrap/>
          </w:tcPr>
          <w:p w:rsidR="00B54F36" w:rsidRPr="002B5FAA" w:rsidRDefault="00B54F36" w:rsidP="001A5A72">
            <w:pPr>
              <w:spacing w:before="60" w:after="60"/>
              <w:ind w:left="-18"/>
              <w:rPr>
                <w:b/>
                <w:color w:val="000000"/>
                <w:sz w:val="18"/>
                <w:szCs w:val="18"/>
              </w:rPr>
            </w:pPr>
            <w:r>
              <w:rPr>
                <w:b/>
                <w:color w:val="000000"/>
                <w:sz w:val="18"/>
                <w:szCs w:val="18"/>
              </w:rPr>
              <w:t>VOC</w:t>
            </w:r>
          </w:p>
        </w:tc>
        <w:tc>
          <w:tcPr>
            <w:tcW w:w="1620" w:type="dxa"/>
          </w:tcPr>
          <w:p w:rsidR="00B54F36" w:rsidRPr="000B52F8" w:rsidRDefault="00B54F36" w:rsidP="001A5A72">
            <w:pPr>
              <w:spacing w:before="60" w:after="60"/>
              <w:jc w:val="center"/>
              <w:rPr>
                <w:color w:val="000000"/>
                <w:sz w:val="18"/>
                <w:szCs w:val="18"/>
              </w:rPr>
            </w:pPr>
            <w:r w:rsidRPr="00CA14E3">
              <w:rPr>
                <w:color w:val="000000"/>
                <w:sz w:val="18"/>
                <w:szCs w:val="18"/>
              </w:rPr>
              <w:t>2006 – 2007</w:t>
            </w:r>
          </w:p>
        </w:tc>
        <w:tc>
          <w:tcPr>
            <w:tcW w:w="1710" w:type="dxa"/>
          </w:tcPr>
          <w:p w:rsidR="00B54F36" w:rsidRPr="002B5FAA" w:rsidRDefault="00B54F36" w:rsidP="001A5A72">
            <w:pPr>
              <w:spacing w:before="60" w:after="60"/>
              <w:jc w:val="center"/>
              <w:rPr>
                <w:color w:val="000000"/>
                <w:sz w:val="18"/>
                <w:szCs w:val="18"/>
              </w:rPr>
            </w:pPr>
            <w:r>
              <w:rPr>
                <w:color w:val="000000"/>
                <w:sz w:val="18"/>
                <w:szCs w:val="18"/>
              </w:rPr>
              <w:t>78</w:t>
            </w:r>
          </w:p>
        </w:tc>
        <w:tc>
          <w:tcPr>
            <w:tcW w:w="2070" w:type="dxa"/>
            <w:noWrap/>
          </w:tcPr>
          <w:p w:rsidR="00B54F36" w:rsidRPr="002B5FAA" w:rsidRDefault="00B54F36" w:rsidP="0091563B">
            <w:pPr>
              <w:spacing w:before="60" w:after="60"/>
              <w:ind w:left="24"/>
              <w:jc w:val="center"/>
              <w:rPr>
                <w:color w:val="000000"/>
                <w:sz w:val="18"/>
                <w:szCs w:val="18"/>
              </w:rPr>
            </w:pPr>
            <w:r>
              <w:rPr>
                <w:color w:val="000000"/>
                <w:sz w:val="18"/>
                <w:szCs w:val="18"/>
              </w:rPr>
              <w:t>84</w:t>
            </w:r>
            <w:r w:rsidR="00F657CC">
              <w:rPr>
                <w:color w:val="000000"/>
                <w:sz w:val="18"/>
                <w:szCs w:val="18"/>
              </w:rPr>
              <w:t xml:space="preserve"> </w:t>
            </w:r>
            <w:r w:rsidR="0091563B" w:rsidRPr="004B5EEC">
              <w:rPr>
                <w:b/>
                <w:color w:val="000000"/>
                <w:sz w:val="18"/>
                <w:szCs w:val="18"/>
                <w:u w:val="double"/>
              </w:rPr>
              <w:t>+ 0.35</w:t>
            </w:r>
          </w:p>
        </w:tc>
        <w:tc>
          <w:tcPr>
            <w:tcW w:w="1530" w:type="dxa"/>
          </w:tcPr>
          <w:p w:rsidR="00B54F36" w:rsidRPr="002B5FAA" w:rsidRDefault="00B54F36" w:rsidP="001A5A72">
            <w:pPr>
              <w:spacing w:before="60" w:after="60"/>
              <w:ind w:left="24"/>
              <w:jc w:val="center"/>
              <w:rPr>
                <w:color w:val="000000"/>
                <w:sz w:val="18"/>
                <w:szCs w:val="18"/>
              </w:rPr>
            </w:pPr>
            <w:r>
              <w:rPr>
                <w:color w:val="000000"/>
                <w:sz w:val="18"/>
                <w:szCs w:val="18"/>
              </w:rPr>
              <w:t>6</w:t>
            </w:r>
            <w:r w:rsidR="0091563B">
              <w:rPr>
                <w:color w:val="000000"/>
                <w:sz w:val="18"/>
                <w:szCs w:val="18"/>
              </w:rPr>
              <w:t xml:space="preserve"> </w:t>
            </w:r>
            <w:r w:rsidR="0091563B" w:rsidRPr="004B5EEC">
              <w:rPr>
                <w:b/>
                <w:color w:val="000000"/>
                <w:sz w:val="18"/>
                <w:szCs w:val="18"/>
                <w:u w:val="double"/>
              </w:rPr>
              <w:t>+ 0.35</w:t>
            </w:r>
          </w:p>
        </w:tc>
        <w:tc>
          <w:tcPr>
            <w:tcW w:w="1530" w:type="dxa"/>
            <w:noWrap/>
          </w:tcPr>
          <w:p w:rsidR="00B54F36" w:rsidRPr="002B5FAA" w:rsidRDefault="00B54F36" w:rsidP="001A5A72">
            <w:pPr>
              <w:tabs>
                <w:tab w:val="left" w:pos="733"/>
                <w:tab w:val="center" w:pos="1014"/>
              </w:tabs>
              <w:spacing w:before="60" w:after="60"/>
              <w:ind w:left="-18" w:right="162"/>
              <w:jc w:val="right"/>
              <w:rPr>
                <w:color w:val="000000"/>
                <w:sz w:val="18"/>
                <w:szCs w:val="18"/>
              </w:rPr>
            </w:pPr>
            <w:r w:rsidRPr="006A4F22">
              <w:rPr>
                <w:color w:val="000000"/>
                <w:sz w:val="18"/>
                <w:szCs w:val="18"/>
                <w:u w:val="single"/>
              </w:rPr>
              <w:t>&gt;</w:t>
            </w:r>
            <w:r w:rsidRPr="00B16469">
              <w:rPr>
                <w:b/>
                <w:color w:val="000000"/>
                <w:sz w:val="18"/>
                <w:szCs w:val="18"/>
              </w:rPr>
              <w:t xml:space="preserve"> </w:t>
            </w:r>
            <w:r w:rsidRPr="00B77F71">
              <w:rPr>
                <w:color w:val="000000"/>
                <w:sz w:val="18"/>
                <w:szCs w:val="18"/>
              </w:rPr>
              <w:t>40</w:t>
            </w:r>
            <w:r>
              <w:rPr>
                <w:color w:val="000000"/>
                <w:sz w:val="18"/>
                <w:szCs w:val="18"/>
              </w:rPr>
              <w:t xml:space="preserve">?   </w:t>
            </w:r>
            <w:r w:rsidRPr="00CD68D5">
              <w:rPr>
                <w:color w:val="000000"/>
                <w:sz w:val="18"/>
                <w:szCs w:val="18"/>
              </w:rPr>
              <w:t>No</w:t>
            </w:r>
          </w:p>
        </w:tc>
      </w:tr>
      <w:tr w:rsidR="00B54F36" w:rsidRPr="00475C43" w:rsidTr="00544E0F">
        <w:trPr>
          <w:trHeight w:val="255"/>
        </w:trPr>
        <w:tc>
          <w:tcPr>
            <w:tcW w:w="1260" w:type="dxa"/>
            <w:noWrap/>
          </w:tcPr>
          <w:p w:rsidR="00B54F36" w:rsidRPr="002B5FAA" w:rsidRDefault="00B54F36" w:rsidP="001A5A72">
            <w:pPr>
              <w:spacing w:before="60" w:after="60"/>
              <w:ind w:left="-18"/>
              <w:rPr>
                <w:b/>
                <w:color w:val="000000"/>
                <w:sz w:val="18"/>
                <w:szCs w:val="18"/>
              </w:rPr>
            </w:pPr>
            <w:r w:rsidRPr="002B5FAA">
              <w:rPr>
                <w:b/>
                <w:color w:val="000000"/>
                <w:sz w:val="18"/>
                <w:szCs w:val="18"/>
              </w:rPr>
              <w:t>NO</w:t>
            </w:r>
            <w:r w:rsidRPr="002B5FAA">
              <w:rPr>
                <w:b/>
                <w:color w:val="000000"/>
                <w:sz w:val="18"/>
                <w:szCs w:val="18"/>
                <w:vertAlign w:val="subscript"/>
              </w:rPr>
              <w:t>X</w:t>
            </w:r>
          </w:p>
        </w:tc>
        <w:tc>
          <w:tcPr>
            <w:tcW w:w="1620" w:type="dxa"/>
          </w:tcPr>
          <w:p w:rsidR="00B54F36" w:rsidRPr="000B52F8" w:rsidRDefault="00B54F36" w:rsidP="001A5A72">
            <w:pPr>
              <w:spacing w:before="60" w:after="60"/>
              <w:jc w:val="center"/>
              <w:rPr>
                <w:color w:val="000000"/>
                <w:sz w:val="18"/>
                <w:szCs w:val="18"/>
              </w:rPr>
            </w:pPr>
            <w:r w:rsidRPr="00CA14E3">
              <w:rPr>
                <w:color w:val="000000"/>
                <w:sz w:val="18"/>
                <w:szCs w:val="18"/>
              </w:rPr>
              <w:t>2006 – 2007</w:t>
            </w:r>
          </w:p>
        </w:tc>
        <w:tc>
          <w:tcPr>
            <w:tcW w:w="1710" w:type="dxa"/>
          </w:tcPr>
          <w:p w:rsidR="00B54F36" w:rsidRPr="002B5FAA" w:rsidRDefault="00B54F36" w:rsidP="004B5EEC">
            <w:pPr>
              <w:spacing w:before="60" w:after="60"/>
              <w:jc w:val="center"/>
              <w:rPr>
                <w:color w:val="000000"/>
                <w:sz w:val="18"/>
                <w:szCs w:val="18"/>
              </w:rPr>
            </w:pPr>
            <w:r>
              <w:rPr>
                <w:color w:val="000000"/>
                <w:sz w:val="18"/>
                <w:szCs w:val="18"/>
              </w:rPr>
              <w:t>6,540</w:t>
            </w:r>
          </w:p>
        </w:tc>
        <w:tc>
          <w:tcPr>
            <w:tcW w:w="2070" w:type="dxa"/>
            <w:noWrap/>
          </w:tcPr>
          <w:p w:rsidR="00B54F36" w:rsidRPr="002B5FAA" w:rsidRDefault="00B54F36" w:rsidP="0091563B">
            <w:pPr>
              <w:spacing w:before="60" w:after="60"/>
              <w:ind w:left="24"/>
              <w:jc w:val="center"/>
              <w:rPr>
                <w:color w:val="000000"/>
                <w:sz w:val="18"/>
                <w:szCs w:val="18"/>
              </w:rPr>
            </w:pPr>
            <w:r>
              <w:rPr>
                <w:color w:val="000000"/>
                <w:sz w:val="18"/>
                <w:szCs w:val="18"/>
              </w:rPr>
              <w:t>3,781</w:t>
            </w:r>
            <w:r w:rsidR="0091563B">
              <w:rPr>
                <w:color w:val="000000"/>
                <w:sz w:val="18"/>
                <w:szCs w:val="18"/>
              </w:rPr>
              <w:t xml:space="preserve"> </w:t>
            </w:r>
            <w:r w:rsidR="0091563B" w:rsidRPr="004B5EEC">
              <w:rPr>
                <w:b/>
                <w:color w:val="000000"/>
                <w:sz w:val="18"/>
                <w:szCs w:val="18"/>
                <w:u w:val="double"/>
              </w:rPr>
              <w:t>+ 6.35</w:t>
            </w:r>
          </w:p>
        </w:tc>
        <w:tc>
          <w:tcPr>
            <w:tcW w:w="1530" w:type="dxa"/>
          </w:tcPr>
          <w:p w:rsidR="00B54F36" w:rsidRDefault="00B54F36" w:rsidP="001A5A72">
            <w:pPr>
              <w:spacing w:before="60" w:after="60"/>
              <w:ind w:left="24"/>
              <w:jc w:val="center"/>
              <w:rPr>
                <w:color w:val="000000"/>
                <w:sz w:val="18"/>
                <w:szCs w:val="18"/>
              </w:rPr>
            </w:pPr>
            <w:r>
              <w:rPr>
                <w:color w:val="000000"/>
                <w:sz w:val="18"/>
                <w:szCs w:val="18"/>
              </w:rPr>
              <w:t>-2,759</w:t>
            </w:r>
            <w:r w:rsidR="0091563B">
              <w:rPr>
                <w:color w:val="000000"/>
                <w:sz w:val="18"/>
                <w:szCs w:val="18"/>
              </w:rPr>
              <w:t xml:space="preserve"> </w:t>
            </w:r>
            <w:r w:rsidR="0091563B" w:rsidRPr="004B5EEC">
              <w:rPr>
                <w:b/>
                <w:color w:val="000000"/>
                <w:sz w:val="18"/>
                <w:szCs w:val="18"/>
                <w:u w:val="double"/>
              </w:rPr>
              <w:t>+ 6.35</w:t>
            </w:r>
          </w:p>
        </w:tc>
        <w:tc>
          <w:tcPr>
            <w:tcW w:w="1530" w:type="dxa"/>
            <w:noWrap/>
          </w:tcPr>
          <w:p w:rsidR="00B54F36" w:rsidRPr="002B5FAA" w:rsidRDefault="00B54F36" w:rsidP="001A5A72">
            <w:pPr>
              <w:spacing w:before="60" w:after="60"/>
              <w:ind w:left="-18" w:right="162"/>
              <w:jc w:val="right"/>
              <w:rPr>
                <w:color w:val="000000"/>
                <w:sz w:val="18"/>
                <w:szCs w:val="18"/>
              </w:rPr>
            </w:pPr>
            <w:r w:rsidRPr="006A4F22">
              <w:rPr>
                <w:color w:val="000000"/>
                <w:sz w:val="18"/>
                <w:szCs w:val="18"/>
                <w:u w:val="single"/>
              </w:rPr>
              <w:t>&gt;</w:t>
            </w:r>
            <w:r w:rsidRPr="00B16469">
              <w:rPr>
                <w:b/>
                <w:color w:val="000000"/>
                <w:sz w:val="18"/>
                <w:szCs w:val="18"/>
              </w:rPr>
              <w:t xml:space="preserve"> </w:t>
            </w:r>
            <w:r>
              <w:rPr>
                <w:color w:val="000000"/>
                <w:sz w:val="18"/>
                <w:szCs w:val="18"/>
              </w:rPr>
              <w:t>40?   No</w:t>
            </w:r>
          </w:p>
        </w:tc>
      </w:tr>
      <w:tr w:rsidR="00B54F36" w:rsidRPr="00475C43" w:rsidTr="00544E0F">
        <w:trPr>
          <w:trHeight w:val="255"/>
        </w:trPr>
        <w:tc>
          <w:tcPr>
            <w:tcW w:w="1260" w:type="dxa"/>
            <w:noWrap/>
          </w:tcPr>
          <w:p w:rsidR="00B54F36" w:rsidRPr="002B5FAA" w:rsidRDefault="00B54F36" w:rsidP="001A5A72">
            <w:pPr>
              <w:spacing w:before="60" w:after="60"/>
              <w:ind w:left="-18"/>
              <w:rPr>
                <w:b/>
                <w:color w:val="000000"/>
                <w:sz w:val="18"/>
                <w:szCs w:val="18"/>
              </w:rPr>
            </w:pPr>
            <w:r w:rsidRPr="002B5FAA">
              <w:rPr>
                <w:b/>
                <w:color w:val="000000"/>
                <w:sz w:val="18"/>
                <w:szCs w:val="18"/>
              </w:rPr>
              <w:t>SO</w:t>
            </w:r>
            <w:r w:rsidRPr="002B5FAA">
              <w:rPr>
                <w:b/>
                <w:color w:val="000000"/>
                <w:sz w:val="18"/>
                <w:szCs w:val="18"/>
                <w:vertAlign w:val="subscript"/>
              </w:rPr>
              <w:t>2</w:t>
            </w:r>
          </w:p>
        </w:tc>
        <w:tc>
          <w:tcPr>
            <w:tcW w:w="1620" w:type="dxa"/>
          </w:tcPr>
          <w:p w:rsidR="00B54F36" w:rsidRPr="000B52F8" w:rsidRDefault="00B54F36" w:rsidP="001A5A72">
            <w:pPr>
              <w:spacing w:before="60" w:after="60"/>
              <w:jc w:val="center"/>
              <w:rPr>
                <w:color w:val="000000"/>
                <w:sz w:val="18"/>
                <w:szCs w:val="18"/>
              </w:rPr>
            </w:pPr>
            <w:r w:rsidRPr="00CA14E3">
              <w:rPr>
                <w:color w:val="000000"/>
                <w:sz w:val="18"/>
                <w:szCs w:val="18"/>
              </w:rPr>
              <w:t>2006 – 2007</w:t>
            </w:r>
          </w:p>
        </w:tc>
        <w:tc>
          <w:tcPr>
            <w:tcW w:w="1710" w:type="dxa"/>
          </w:tcPr>
          <w:p w:rsidR="00B54F36" w:rsidRPr="002B5FAA" w:rsidRDefault="00B54F36" w:rsidP="004B5EEC">
            <w:pPr>
              <w:spacing w:before="60" w:after="60"/>
              <w:jc w:val="center"/>
              <w:rPr>
                <w:color w:val="000000"/>
                <w:sz w:val="18"/>
                <w:szCs w:val="18"/>
              </w:rPr>
            </w:pPr>
            <w:r w:rsidRPr="00415500">
              <w:rPr>
                <w:color w:val="000000"/>
                <w:sz w:val="18"/>
                <w:szCs w:val="18"/>
              </w:rPr>
              <w:t>25,27</w:t>
            </w:r>
            <w:r>
              <w:rPr>
                <w:color w:val="000000"/>
                <w:sz w:val="18"/>
                <w:szCs w:val="18"/>
              </w:rPr>
              <w:t>3</w:t>
            </w:r>
          </w:p>
        </w:tc>
        <w:tc>
          <w:tcPr>
            <w:tcW w:w="2070" w:type="dxa"/>
            <w:noWrap/>
          </w:tcPr>
          <w:p w:rsidR="00B54F36" w:rsidRPr="002B5FAA" w:rsidRDefault="00B54F36" w:rsidP="0091563B">
            <w:pPr>
              <w:spacing w:before="60" w:after="60"/>
              <w:ind w:left="24"/>
              <w:jc w:val="center"/>
              <w:rPr>
                <w:color w:val="000000"/>
                <w:sz w:val="18"/>
                <w:szCs w:val="18"/>
              </w:rPr>
            </w:pPr>
            <w:r>
              <w:rPr>
                <w:color w:val="000000"/>
                <w:sz w:val="18"/>
                <w:szCs w:val="18"/>
              </w:rPr>
              <w:t>60</w:t>
            </w:r>
            <w:r w:rsidR="0091563B">
              <w:rPr>
                <w:color w:val="000000"/>
                <w:sz w:val="18"/>
                <w:szCs w:val="18"/>
              </w:rPr>
              <w:t xml:space="preserve"> </w:t>
            </w:r>
            <w:r w:rsidR="0091563B" w:rsidRPr="004B5EEC">
              <w:rPr>
                <w:b/>
                <w:color w:val="000000"/>
                <w:sz w:val="18"/>
                <w:szCs w:val="18"/>
                <w:u w:val="double"/>
              </w:rPr>
              <w:t>+ 0.18</w:t>
            </w:r>
          </w:p>
        </w:tc>
        <w:tc>
          <w:tcPr>
            <w:tcW w:w="1530" w:type="dxa"/>
          </w:tcPr>
          <w:p w:rsidR="00B54F36" w:rsidRDefault="00B54F36" w:rsidP="001A5A72">
            <w:pPr>
              <w:spacing w:before="60" w:after="60"/>
              <w:ind w:left="24"/>
              <w:jc w:val="center"/>
              <w:rPr>
                <w:color w:val="000000"/>
                <w:sz w:val="18"/>
                <w:szCs w:val="18"/>
              </w:rPr>
            </w:pPr>
            <w:r>
              <w:rPr>
                <w:color w:val="000000"/>
                <w:sz w:val="18"/>
                <w:szCs w:val="18"/>
              </w:rPr>
              <w:t>-25,213</w:t>
            </w:r>
            <w:r w:rsidR="0091563B">
              <w:rPr>
                <w:color w:val="000000"/>
                <w:sz w:val="18"/>
                <w:szCs w:val="18"/>
              </w:rPr>
              <w:t xml:space="preserve"> </w:t>
            </w:r>
            <w:r w:rsidR="0091563B" w:rsidRPr="005B66CB">
              <w:rPr>
                <w:color w:val="000000"/>
                <w:sz w:val="18"/>
                <w:szCs w:val="18"/>
                <w:u w:val="double"/>
              </w:rPr>
              <w:t>+ 0.18</w:t>
            </w:r>
          </w:p>
        </w:tc>
        <w:tc>
          <w:tcPr>
            <w:tcW w:w="1530" w:type="dxa"/>
            <w:noWrap/>
          </w:tcPr>
          <w:p w:rsidR="00B54F36" w:rsidRPr="002B5FAA" w:rsidRDefault="00B54F36" w:rsidP="001A5A72">
            <w:pPr>
              <w:spacing w:before="60" w:after="60"/>
              <w:ind w:left="-18" w:right="162"/>
              <w:jc w:val="right"/>
              <w:rPr>
                <w:color w:val="000000"/>
                <w:sz w:val="18"/>
                <w:szCs w:val="18"/>
              </w:rPr>
            </w:pPr>
            <w:r w:rsidRPr="006A4F22">
              <w:rPr>
                <w:color w:val="000000"/>
                <w:sz w:val="18"/>
                <w:szCs w:val="18"/>
                <w:u w:val="single"/>
              </w:rPr>
              <w:t>&gt;</w:t>
            </w:r>
            <w:r w:rsidRPr="00B16469">
              <w:rPr>
                <w:b/>
                <w:color w:val="000000"/>
                <w:sz w:val="18"/>
                <w:szCs w:val="18"/>
              </w:rPr>
              <w:t xml:space="preserve"> </w:t>
            </w:r>
            <w:r w:rsidRPr="00B77F71">
              <w:rPr>
                <w:color w:val="000000"/>
                <w:sz w:val="18"/>
                <w:szCs w:val="18"/>
              </w:rPr>
              <w:t>40</w:t>
            </w:r>
            <w:r>
              <w:rPr>
                <w:color w:val="000000"/>
                <w:sz w:val="18"/>
                <w:szCs w:val="18"/>
              </w:rPr>
              <w:t>?   No</w:t>
            </w:r>
          </w:p>
        </w:tc>
      </w:tr>
      <w:tr w:rsidR="00B54F36" w:rsidRPr="00475C43" w:rsidTr="00544E0F">
        <w:trPr>
          <w:trHeight w:val="255"/>
        </w:trPr>
        <w:tc>
          <w:tcPr>
            <w:tcW w:w="1260" w:type="dxa"/>
            <w:noWrap/>
          </w:tcPr>
          <w:p w:rsidR="00B54F36" w:rsidRPr="002B5FAA" w:rsidRDefault="00B54F36" w:rsidP="001A5A72">
            <w:pPr>
              <w:spacing w:before="60" w:after="60"/>
              <w:ind w:left="-18"/>
              <w:rPr>
                <w:b/>
                <w:color w:val="000000"/>
                <w:sz w:val="18"/>
                <w:szCs w:val="18"/>
              </w:rPr>
            </w:pPr>
            <w:r>
              <w:rPr>
                <w:b/>
                <w:color w:val="000000"/>
                <w:sz w:val="18"/>
                <w:szCs w:val="18"/>
              </w:rPr>
              <w:t>GHG (CO</w:t>
            </w:r>
            <w:r w:rsidRPr="00245653">
              <w:rPr>
                <w:b/>
                <w:color w:val="000000"/>
                <w:sz w:val="18"/>
                <w:szCs w:val="18"/>
                <w:vertAlign w:val="subscript"/>
              </w:rPr>
              <w:t>2</w:t>
            </w:r>
            <w:r>
              <w:rPr>
                <w:b/>
                <w:color w:val="000000"/>
                <w:sz w:val="18"/>
                <w:szCs w:val="18"/>
              </w:rPr>
              <w:t>e)</w:t>
            </w:r>
          </w:p>
        </w:tc>
        <w:tc>
          <w:tcPr>
            <w:tcW w:w="1620" w:type="dxa"/>
          </w:tcPr>
          <w:p w:rsidR="00B54F36" w:rsidRPr="002B5FAA" w:rsidRDefault="00B54F36" w:rsidP="001A5A72">
            <w:pPr>
              <w:spacing w:before="60" w:after="60"/>
              <w:jc w:val="center"/>
              <w:rPr>
                <w:color w:val="000000"/>
                <w:sz w:val="18"/>
                <w:szCs w:val="18"/>
              </w:rPr>
            </w:pPr>
            <w:r>
              <w:rPr>
                <w:color w:val="000000"/>
                <w:sz w:val="18"/>
                <w:szCs w:val="18"/>
              </w:rPr>
              <w:t xml:space="preserve">2006 – </w:t>
            </w:r>
            <w:r w:rsidRPr="002B5FAA">
              <w:rPr>
                <w:color w:val="000000"/>
                <w:sz w:val="18"/>
                <w:szCs w:val="18"/>
              </w:rPr>
              <w:t>2007</w:t>
            </w:r>
          </w:p>
        </w:tc>
        <w:tc>
          <w:tcPr>
            <w:tcW w:w="1710" w:type="dxa"/>
          </w:tcPr>
          <w:p w:rsidR="00B54F36" w:rsidRPr="002B5FAA" w:rsidRDefault="00B54F36" w:rsidP="004B5EEC">
            <w:pPr>
              <w:spacing w:before="60" w:after="60"/>
              <w:jc w:val="center"/>
              <w:rPr>
                <w:color w:val="000000"/>
                <w:sz w:val="18"/>
                <w:szCs w:val="18"/>
              </w:rPr>
            </w:pPr>
            <w:r w:rsidRPr="00415500">
              <w:rPr>
                <w:color w:val="000000"/>
                <w:sz w:val="18"/>
                <w:szCs w:val="18"/>
              </w:rPr>
              <w:t>2,517,405</w:t>
            </w:r>
          </w:p>
        </w:tc>
        <w:tc>
          <w:tcPr>
            <w:tcW w:w="2070" w:type="dxa"/>
            <w:noWrap/>
          </w:tcPr>
          <w:p w:rsidR="00B54F36" w:rsidRDefault="00B54F36" w:rsidP="0091563B">
            <w:pPr>
              <w:spacing w:before="60" w:after="60"/>
              <w:ind w:left="24"/>
              <w:jc w:val="center"/>
              <w:rPr>
                <w:color w:val="000000"/>
                <w:sz w:val="18"/>
                <w:szCs w:val="18"/>
              </w:rPr>
            </w:pPr>
            <w:r>
              <w:rPr>
                <w:color w:val="000000"/>
                <w:sz w:val="18"/>
                <w:szCs w:val="18"/>
              </w:rPr>
              <w:t>1,955,983</w:t>
            </w:r>
            <w:r w:rsidR="0091563B">
              <w:rPr>
                <w:color w:val="000000"/>
                <w:sz w:val="18"/>
                <w:szCs w:val="18"/>
              </w:rPr>
              <w:t xml:space="preserve"> </w:t>
            </w:r>
            <w:r w:rsidR="0091563B" w:rsidRPr="004B5EEC">
              <w:rPr>
                <w:b/>
                <w:color w:val="000000"/>
                <w:sz w:val="18"/>
                <w:szCs w:val="18"/>
                <w:u w:val="double"/>
              </w:rPr>
              <w:t>+ 3,790</w:t>
            </w:r>
          </w:p>
        </w:tc>
        <w:tc>
          <w:tcPr>
            <w:tcW w:w="1530" w:type="dxa"/>
          </w:tcPr>
          <w:p w:rsidR="00B54F36" w:rsidRDefault="00B54F36" w:rsidP="001A5A72">
            <w:pPr>
              <w:spacing w:before="60" w:after="60"/>
              <w:ind w:left="24"/>
              <w:jc w:val="center"/>
              <w:rPr>
                <w:color w:val="000000"/>
                <w:sz w:val="18"/>
                <w:szCs w:val="18"/>
              </w:rPr>
            </w:pPr>
            <w:r>
              <w:rPr>
                <w:color w:val="000000"/>
                <w:sz w:val="18"/>
                <w:szCs w:val="18"/>
              </w:rPr>
              <w:t>-541,422</w:t>
            </w:r>
            <w:r w:rsidR="004B5EEC">
              <w:rPr>
                <w:color w:val="000000"/>
                <w:sz w:val="18"/>
                <w:szCs w:val="18"/>
              </w:rPr>
              <w:t xml:space="preserve"> </w:t>
            </w:r>
            <w:r w:rsidR="004B5EEC" w:rsidRPr="004B5EEC">
              <w:rPr>
                <w:b/>
                <w:color w:val="000000"/>
                <w:sz w:val="18"/>
                <w:szCs w:val="18"/>
                <w:u w:val="double"/>
              </w:rPr>
              <w:t>+ 3,790</w:t>
            </w:r>
          </w:p>
        </w:tc>
        <w:tc>
          <w:tcPr>
            <w:tcW w:w="1530" w:type="dxa"/>
            <w:noWrap/>
          </w:tcPr>
          <w:p w:rsidR="00B54F36" w:rsidRPr="006A4F22" w:rsidRDefault="00B54F36" w:rsidP="001A5A72">
            <w:pPr>
              <w:spacing w:before="60" w:after="60"/>
              <w:ind w:left="-18" w:right="162"/>
              <w:jc w:val="right"/>
              <w:rPr>
                <w:color w:val="000000"/>
                <w:sz w:val="18"/>
                <w:szCs w:val="18"/>
                <w:u w:val="single"/>
              </w:rPr>
            </w:pPr>
            <w:r w:rsidRPr="006A4F22">
              <w:rPr>
                <w:color w:val="000000"/>
                <w:sz w:val="18"/>
                <w:szCs w:val="18"/>
                <w:u w:val="single"/>
              </w:rPr>
              <w:t>&gt;</w:t>
            </w:r>
            <w:r w:rsidRPr="00B16469">
              <w:rPr>
                <w:b/>
                <w:color w:val="000000"/>
                <w:sz w:val="18"/>
                <w:szCs w:val="18"/>
              </w:rPr>
              <w:t xml:space="preserve"> </w:t>
            </w:r>
            <w:r w:rsidRPr="00382099">
              <w:rPr>
                <w:color w:val="000000"/>
                <w:sz w:val="18"/>
                <w:szCs w:val="18"/>
              </w:rPr>
              <w:t>75</w:t>
            </w:r>
            <w:r>
              <w:rPr>
                <w:color w:val="000000"/>
                <w:sz w:val="18"/>
                <w:szCs w:val="18"/>
              </w:rPr>
              <w:t>,000</w:t>
            </w:r>
            <w:r w:rsidRPr="00382099">
              <w:rPr>
                <w:color w:val="000000"/>
                <w:sz w:val="18"/>
                <w:szCs w:val="18"/>
              </w:rPr>
              <w:t>?</w:t>
            </w:r>
            <w:r>
              <w:rPr>
                <w:color w:val="000000"/>
                <w:sz w:val="18"/>
                <w:szCs w:val="18"/>
              </w:rPr>
              <w:t xml:space="preserve">   No</w:t>
            </w:r>
          </w:p>
        </w:tc>
      </w:tr>
      <w:tr w:rsidR="00B54F36" w:rsidRPr="00475C43" w:rsidTr="00544E0F">
        <w:trPr>
          <w:trHeight w:val="255"/>
        </w:trPr>
        <w:tc>
          <w:tcPr>
            <w:tcW w:w="1260" w:type="dxa"/>
            <w:noWrap/>
          </w:tcPr>
          <w:p w:rsidR="00B54F36" w:rsidRDefault="00B54F36" w:rsidP="001A5A72">
            <w:pPr>
              <w:spacing w:before="60" w:after="60"/>
              <w:ind w:left="-18"/>
              <w:rPr>
                <w:b/>
                <w:color w:val="000000"/>
                <w:sz w:val="18"/>
                <w:szCs w:val="18"/>
              </w:rPr>
            </w:pPr>
            <w:r>
              <w:rPr>
                <w:b/>
                <w:color w:val="000000"/>
                <w:sz w:val="18"/>
                <w:szCs w:val="18"/>
              </w:rPr>
              <w:t>Heat Input</w:t>
            </w:r>
          </w:p>
        </w:tc>
        <w:tc>
          <w:tcPr>
            <w:tcW w:w="1620" w:type="dxa"/>
          </w:tcPr>
          <w:p w:rsidR="00B54F36" w:rsidRDefault="00B54F36" w:rsidP="001A5A72">
            <w:pPr>
              <w:spacing w:before="60" w:after="60"/>
              <w:jc w:val="center"/>
              <w:rPr>
                <w:color w:val="000000"/>
                <w:sz w:val="18"/>
                <w:szCs w:val="18"/>
              </w:rPr>
            </w:pPr>
            <w:r>
              <w:rPr>
                <w:color w:val="000000"/>
                <w:sz w:val="18"/>
                <w:szCs w:val="18"/>
              </w:rPr>
              <w:t>2006 - 2007</w:t>
            </w:r>
          </w:p>
        </w:tc>
        <w:tc>
          <w:tcPr>
            <w:tcW w:w="1710" w:type="dxa"/>
          </w:tcPr>
          <w:p w:rsidR="00B54F36" w:rsidRPr="00415500" w:rsidRDefault="00B54F36" w:rsidP="004B5EEC">
            <w:pPr>
              <w:spacing w:before="60" w:after="60"/>
              <w:jc w:val="center"/>
              <w:rPr>
                <w:color w:val="000000"/>
                <w:sz w:val="18"/>
                <w:szCs w:val="18"/>
              </w:rPr>
            </w:pPr>
            <w:r w:rsidRPr="00B73ECB">
              <w:rPr>
                <w:color w:val="000000"/>
                <w:sz w:val="18"/>
                <w:szCs w:val="18"/>
              </w:rPr>
              <w:t>38,793,879</w:t>
            </w:r>
          </w:p>
        </w:tc>
        <w:tc>
          <w:tcPr>
            <w:tcW w:w="2070" w:type="dxa"/>
            <w:noWrap/>
          </w:tcPr>
          <w:p w:rsidR="00B54F36" w:rsidRDefault="00B54F36" w:rsidP="004B5EEC">
            <w:pPr>
              <w:spacing w:before="60" w:after="60"/>
              <w:ind w:left="24"/>
              <w:jc w:val="center"/>
              <w:rPr>
                <w:color w:val="000000"/>
                <w:sz w:val="18"/>
                <w:szCs w:val="18"/>
              </w:rPr>
            </w:pPr>
            <w:r w:rsidRPr="006E4441">
              <w:rPr>
                <w:color w:val="000000"/>
                <w:sz w:val="18"/>
                <w:szCs w:val="18"/>
              </w:rPr>
              <w:t>33,607,954</w:t>
            </w:r>
          </w:p>
        </w:tc>
        <w:tc>
          <w:tcPr>
            <w:tcW w:w="1530" w:type="dxa"/>
          </w:tcPr>
          <w:p w:rsidR="00B54F36" w:rsidRDefault="00B54F36" w:rsidP="001A5A72">
            <w:pPr>
              <w:spacing w:before="60" w:after="60"/>
              <w:ind w:left="24"/>
              <w:jc w:val="center"/>
              <w:rPr>
                <w:color w:val="000000"/>
                <w:sz w:val="18"/>
                <w:szCs w:val="18"/>
              </w:rPr>
            </w:pPr>
            <w:r>
              <w:rPr>
                <w:color w:val="000000"/>
                <w:sz w:val="18"/>
                <w:szCs w:val="18"/>
              </w:rPr>
              <w:t>-5,185,925</w:t>
            </w:r>
          </w:p>
        </w:tc>
        <w:tc>
          <w:tcPr>
            <w:tcW w:w="1530" w:type="dxa"/>
            <w:noWrap/>
          </w:tcPr>
          <w:p w:rsidR="00B54F36" w:rsidRPr="00DF05E7" w:rsidRDefault="00B54F36" w:rsidP="001A5A72">
            <w:pPr>
              <w:spacing w:before="60" w:after="60"/>
              <w:ind w:left="-18" w:right="162"/>
              <w:jc w:val="right"/>
              <w:rPr>
                <w:color w:val="000000"/>
                <w:sz w:val="18"/>
                <w:szCs w:val="18"/>
              </w:rPr>
            </w:pPr>
            <w:r w:rsidRPr="00DF05E7">
              <w:rPr>
                <w:color w:val="000000"/>
                <w:sz w:val="18"/>
                <w:szCs w:val="18"/>
              </w:rPr>
              <w:t>Not Applicable</w:t>
            </w:r>
          </w:p>
        </w:tc>
      </w:tr>
      <w:tr w:rsidR="003B7591" w:rsidRPr="00730F3E" w:rsidTr="00544E0F">
        <w:trPr>
          <w:trHeight w:val="255"/>
        </w:trPr>
        <w:tc>
          <w:tcPr>
            <w:tcW w:w="9720" w:type="dxa"/>
            <w:gridSpan w:val="6"/>
          </w:tcPr>
          <w:p w:rsidR="003B7591" w:rsidRPr="003B7591" w:rsidRDefault="003B7591" w:rsidP="003B7591">
            <w:pPr>
              <w:numPr>
                <w:ilvl w:val="0"/>
                <w:numId w:val="21"/>
              </w:numPr>
              <w:spacing w:before="20" w:after="20"/>
              <w:ind w:left="346"/>
              <w:rPr>
                <w:color w:val="000000"/>
                <w:sz w:val="18"/>
                <w:szCs w:val="18"/>
              </w:rPr>
            </w:pPr>
            <w:r>
              <w:rPr>
                <w:color w:val="000000"/>
                <w:sz w:val="18"/>
                <w:szCs w:val="18"/>
              </w:rPr>
              <w:t>The Department estimates 3,025 tons CO/year from Units 1 and 2 based on capacity factors and heat rates for 2014 in company submittals to Florida PSC.  The Department estimates 8,673 tons/year as the PTE.</w:t>
            </w:r>
          </w:p>
        </w:tc>
      </w:tr>
    </w:tbl>
    <w:p w:rsidR="00C25499" w:rsidRPr="00A94F87" w:rsidRDefault="001D0772" w:rsidP="00544E0F">
      <w:pPr>
        <w:pStyle w:val="Default"/>
        <w:numPr>
          <w:ilvl w:val="0"/>
          <w:numId w:val="19"/>
        </w:numPr>
        <w:spacing w:before="120" w:after="120"/>
        <w:ind w:left="360"/>
        <w:rPr>
          <w:sz w:val="22"/>
          <w:szCs w:val="22"/>
        </w:rPr>
      </w:pPr>
      <w:r w:rsidRPr="000F6507">
        <w:rPr>
          <w:i/>
          <w:sz w:val="22"/>
          <w:szCs w:val="22"/>
          <w:u w:val="single"/>
        </w:rPr>
        <w:t xml:space="preserve">EPA Comment </w:t>
      </w:r>
      <w:r w:rsidR="00A94F87">
        <w:rPr>
          <w:i/>
          <w:sz w:val="22"/>
          <w:szCs w:val="22"/>
          <w:u w:val="single"/>
        </w:rPr>
        <w:t>3.b.</w:t>
      </w:r>
      <w:r>
        <w:rPr>
          <w:i/>
          <w:sz w:val="22"/>
          <w:szCs w:val="22"/>
          <w:u w:val="single"/>
        </w:rPr>
        <w:t xml:space="preserve">, </w:t>
      </w:r>
      <w:r w:rsidR="00A94F87">
        <w:rPr>
          <w:i/>
          <w:sz w:val="22"/>
          <w:szCs w:val="22"/>
          <w:u w:val="single"/>
        </w:rPr>
        <w:t>Natural Gas Boilers versus Municipal Waste Combustors</w:t>
      </w:r>
      <w:r w:rsidR="000D5061">
        <w:rPr>
          <w:i/>
          <w:sz w:val="22"/>
          <w:szCs w:val="22"/>
        </w:rPr>
        <w:t xml:space="preserve">:  </w:t>
      </w:r>
      <w:r w:rsidR="00A94F87">
        <w:rPr>
          <w:i/>
          <w:sz w:val="22"/>
          <w:szCs w:val="22"/>
        </w:rPr>
        <w:t>“The preliminary determination contains an evaluation of the applicant’s BACT analysis, page 19.  The analysis references municipal waste combustors as a comparable facility; however, there are a few large natural gas-fired boilers, generators, in the RACT/BACT/LAER clearinghouse that would provide a more relevant comparison</w:t>
      </w:r>
      <w:r w:rsidR="009D5695">
        <w:rPr>
          <w:i/>
          <w:sz w:val="22"/>
          <w:szCs w:val="22"/>
        </w:rPr>
        <w:t xml:space="preserve"> e.g., Cleco Power Inc., </w:t>
      </w:r>
      <w:r w:rsidR="00E64C85">
        <w:rPr>
          <w:i/>
          <w:sz w:val="22"/>
          <w:szCs w:val="22"/>
        </w:rPr>
        <w:t>LA</w:t>
      </w:r>
      <w:r w:rsidR="00A94F87">
        <w:rPr>
          <w:i/>
          <w:sz w:val="22"/>
          <w:szCs w:val="22"/>
        </w:rPr>
        <w:t>”.</w:t>
      </w:r>
    </w:p>
    <w:p w:rsidR="00E64C85" w:rsidRDefault="00A94F87" w:rsidP="00544E0F">
      <w:pPr>
        <w:pStyle w:val="Default"/>
        <w:spacing w:after="120"/>
        <w:ind w:left="360"/>
        <w:rPr>
          <w:sz w:val="22"/>
          <w:szCs w:val="22"/>
        </w:rPr>
      </w:pPr>
      <w:r w:rsidRPr="008403AF">
        <w:rPr>
          <w:sz w:val="22"/>
          <w:szCs w:val="22"/>
          <w:u w:val="single"/>
        </w:rPr>
        <w:t>Department Response</w:t>
      </w:r>
      <w:r w:rsidRPr="008403AF">
        <w:rPr>
          <w:sz w:val="22"/>
          <w:szCs w:val="22"/>
        </w:rPr>
        <w:t xml:space="preserve">:  </w:t>
      </w:r>
      <w:r w:rsidR="00D12F31">
        <w:rPr>
          <w:sz w:val="22"/>
          <w:szCs w:val="22"/>
        </w:rPr>
        <w:t>The Department agrees with the statement</w:t>
      </w:r>
      <w:r w:rsidR="004B5EEC">
        <w:rPr>
          <w:sz w:val="22"/>
          <w:szCs w:val="22"/>
        </w:rPr>
        <w:t>s</w:t>
      </w:r>
      <w:r w:rsidR="00D12F31">
        <w:rPr>
          <w:sz w:val="22"/>
          <w:szCs w:val="22"/>
        </w:rPr>
        <w:t xml:space="preserve"> in principle.  </w:t>
      </w:r>
      <w:r>
        <w:rPr>
          <w:sz w:val="22"/>
          <w:szCs w:val="22"/>
        </w:rPr>
        <w:t xml:space="preserve">The Department included </w:t>
      </w:r>
      <w:r w:rsidR="004B5EEC">
        <w:rPr>
          <w:sz w:val="22"/>
          <w:szCs w:val="22"/>
        </w:rPr>
        <w:t xml:space="preserve">detailed analyses of </w:t>
      </w:r>
      <w:r w:rsidR="001A659A">
        <w:rPr>
          <w:sz w:val="22"/>
          <w:szCs w:val="22"/>
        </w:rPr>
        <w:t xml:space="preserve">continuous emissions monitoring systems (CEMS) </w:t>
      </w:r>
      <w:r w:rsidR="004B5EEC">
        <w:rPr>
          <w:sz w:val="22"/>
          <w:szCs w:val="22"/>
        </w:rPr>
        <w:t>data from coal units optimized for NO</w:t>
      </w:r>
      <w:r w:rsidR="004B5EEC" w:rsidRPr="004B5EEC">
        <w:rPr>
          <w:sz w:val="22"/>
          <w:szCs w:val="22"/>
          <w:vertAlign w:val="subscript"/>
        </w:rPr>
        <w:t>X</w:t>
      </w:r>
      <w:r w:rsidR="004B5EEC">
        <w:rPr>
          <w:sz w:val="22"/>
          <w:szCs w:val="22"/>
        </w:rPr>
        <w:t xml:space="preserve"> while achieving BACT-level CO control.  </w:t>
      </w:r>
      <w:r w:rsidR="001A659A">
        <w:rPr>
          <w:sz w:val="22"/>
          <w:szCs w:val="22"/>
        </w:rPr>
        <w:t xml:space="preserve">The Department made reference as well to </w:t>
      </w:r>
      <w:r w:rsidR="00E64C85">
        <w:rPr>
          <w:sz w:val="22"/>
          <w:szCs w:val="22"/>
        </w:rPr>
        <w:t>municipal waste combustor</w:t>
      </w:r>
      <w:r w:rsidR="001A659A">
        <w:rPr>
          <w:sz w:val="22"/>
          <w:szCs w:val="22"/>
        </w:rPr>
        <w:t>s</w:t>
      </w:r>
      <w:r w:rsidR="00E64C85">
        <w:rPr>
          <w:sz w:val="22"/>
          <w:szCs w:val="22"/>
        </w:rPr>
        <w:t xml:space="preserve"> </w:t>
      </w:r>
      <w:r w:rsidR="005C17D8">
        <w:rPr>
          <w:sz w:val="22"/>
          <w:szCs w:val="22"/>
        </w:rPr>
        <w:t xml:space="preserve">(MWC) for </w:t>
      </w:r>
      <w:r w:rsidR="00E64C85">
        <w:rPr>
          <w:sz w:val="22"/>
          <w:szCs w:val="22"/>
        </w:rPr>
        <w:t>which there is a</w:t>
      </w:r>
      <w:r w:rsidR="001A659A">
        <w:rPr>
          <w:sz w:val="22"/>
          <w:szCs w:val="22"/>
        </w:rPr>
        <w:t xml:space="preserve">lso a </w:t>
      </w:r>
      <w:r w:rsidR="00E64C85">
        <w:rPr>
          <w:sz w:val="22"/>
          <w:szCs w:val="22"/>
        </w:rPr>
        <w:t>significant body of data from CEMS</w:t>
      </w:r>
      <w:r w:rsidR="001A5A72">
        <w:rPr>
          <w:sz w:val="22"/>
          <w:szCs w:val="22"/>
        </w:rPr>
        <w:t xml:space="preserve"> to help establish context for further discussion</w:t>
      </w:r>
      <w:r w:rsidR="00E64C85">
        <w:rPr>
          <w:sz w:val="22"/>
          <w:szCs w:val="22"/>
        </w:rPr>
        <w:t xml:space="preserve">.  </w:t>
      </w:r>
      <w:r w:rsidR="009D5695">
        <w:rPr>
          <w:sz w:val="22"/>
          <w:szCs w:val="22"/>
        </w:rPr>
        <w:t xml:space="preserve">Usable data from large gas-fired boilers is difficult to obtain.  </w:t>
      </w:r>
      <w:r w:rsidR="001A659A">
        <w:rPr>
          <w:sz w:val="22"/>
          <w:szCs w:val="22"/>
        </w:rPr>
        <w:t>Otherwise,</w:t>
      </w:r>
      <w:r w:rsidR="002D7CF2">
        <w:rPr>
          <w:sz w:val="22"/>
          <w:szCs w:val="22"/>
        </w:rPr>
        <w:t xml:space="preserve"> the applicant would have </w:t>
      </w:r>
      <w:r w:rsidR="00D12F31">
        <w:rPr>
          <w:sz w:val="22"/>
          <w:szCs w:val="22"/>
        </w:rPr>
        <w:t xml:space="preserve">acquired it, included </w:t>
      </w:r>
      <w:r w:rsidR="002D7CF2">
        <w:rPr>
          <w:sz w:val="22"/>
          <w:szCs w:val="22"/>
        </w:rPr>
        <w:t>it with the application and possibly avoided PSD.</w:t>
      </w:r>
      <w:r w:rsidR="00D12F31">
        <w:rPr>
          <w:sz w:val="22"/>
          <w:szCs w:val="22"/>
        </w:rPr>
        <w:t xml:space="preserve">  </w:t>
      </w:r>
    </w:p>
    <w:p w:rsidR="00E4653B" w:rsidRPr="00E4653B" w:rsidRDefault="00E4653B" w:rsidP="00544E0F">
      <w:pPr>
        <w:pStyle w:val="Default"/>
        <w:spacing w:after="60"/>
        <w:ind w:left="360"/>
        <w:rPr>
          <w:sz w:val="22"/>
          <w:szCs w:val="22"/>
          <w:u w:val="single"/>
        </w:rPr>
      </w:pPr>
      <w:r w:rsidRPr="00E4653B">
        <w:rPr>
          <w:sz w:val="22"/>
          <w:szCs w:val="22"/>
          <w:u w:val="single"/>
        </w:rPr>
        <w:t>Cleco Power</w:t>
      </w:r>
    </w:p>
    <w:p w:rsidR="00EF5053" w:rsidRDefault="00E64C85" w:rsidP="00544E0F">
      <w:pPr>
        <w:pStyle w:val="Default"/>
        <w:spacing w:after="120"/>
        <w:ind w:left="360"/>
        <w:rPr>
          <w:sz w:val="22"/>
          <w:szCs w:val="22"/>
        </w:rPr>
      </w:pPr>
      <w:r>
        <w:rPr>
          <w:sz w:val="22"/>
          <w:szCs w:val="22"/>
        </w:rPr>
        <w:t>The Department appreciates mention of the Cleco Power</w:t>
      </w:r>
      <w:r w:rsidR="00DF318D">
        <w:rPr>
          <w:sz w:val="22"/>
          <w:szCs w:val="22"/>
        </w:rPr>
        <w:t xml:space="preserve">, Inc. </w:t>
      </w:r>
      <w:r>
        <w:rPr>
          <w:sz w:val="22"/>
          <w:szCs w:val="22"/>
        </w:rPr>
        <w:t xml:space="preserve"> </w:t>
      </w:r>
      <w:r w:rsidR="003C45DD">
        <w:rPr>
          <w:sz w:val="22"/>
          <w:szCs w:val="22"/>
        </w:rPr>
        <w:t>T</w:t>
      </w:r>
      <w:r w:rsidR="001A659A">
        <w:rPr>
          <w:sz w:val="22"/>
          <w:szCs w:val="22"/>
        </w:rPr>
        <w:t xml:space="preserve">he reference </w:t>
      </w:r>
      <w:r w:rsidR="00EF5053">
        <w:rPr>
          <w:sz w:val="22"/>
          <w:szCs w:val="22"/>
        </w:rPr>
        <w:t xml:space="preserve">cited in EPA’s comment </w:t>
      </w:r>
      <w:r w:rsidR="001A659A">
        <w:rPr>
          <w:sz w:val="22"/>
          <w:szCs w:val="22"/>
        </w:rPr>
        <w:t xml:space="preserve">is from the Table 15 of the application. </w:t>
      </w:r>
      <w:r w:rsidR="00DF318D">
        <w:rPr>
          <w:sz w:val="22"/>
          <w:szCs w:val="22"/>
        </w:rPr>
        <w:t xml:space="preserve"> </w:t>
      </w:r>
      <w:r w:rsidR="00EF5053">
        <w:rPr>
          <w:sz w:val="22"/>
          <w:szCs w:val="22"/>
        </w:rPr>
        <w:t xml:space="preserve">The determination was made by State of Louisiana Department of Environmental Quality (DEQ) in 2008 and the BACT CO limit for </w:t>
      </w:r>
      <w:r w:rsidR="00A0309B">
        <w:rPr>
          <w:sz w:val="22"/>
          <w:szCs w:val="22"/>
        </w:rPr>
        <w:t>the 523 MW Rodemacher Unit 2</w:t>
      </w:r>
      <w:r w:rsidR="00EF5053">
        <w:rPr>
          <w:sz w:val="22"/>
          <w:szCs w:val="22"/>
        </w:rPr>
        <w:t>) is 0.15 lb/MMBtu.  The Department agrees the reference is relevant</w:t>
      </w:r>
      <w:r w:rsidR="00A0309B">
        <w:rPr>
          <w:sz w:val="22"/>
          <w:szCs w:val="22"/>
        </w:rPr>
        <w:t xml:space="preserve"> and the BACT is equal to the Department’s determination for Anclote Units 1 and 2</w:t>
      </w:r>
      <w:r w:rsidR="00EF5053">
        <w:rPr>
          <w:sz w:val="22"/>
          <w:szCs w:val="22"/>
        </w:rPr>
        <w:t>.</w:t>
      </w:r>
    </w:p>
    <w:p w:rsidR="00D12F31" w:rsidRDefault="00A0309B" w:rsidP="00544E0F">
      <w:pPr>
        <w:pStyle w:val="Default"/>
        <w:spacing w:after="120"/>
        <w:ind w:left="360"/>
        <w:rPr>
          <w:sz w:val="22"/>
          <w:szCs w:val="22"/>
        </w:rPr>
      </w:pPr>
      <w:r>
        <w:rPr>
          <w:sz w:val="22"/>
          <w:szCs w:val="22"/>
        </w:rPr>
        <w:lastRenderedPageBreak/>
        <w:t>T</w:t>
      </w:r>
      <w:r w:rsidR="001A5A72">
        <w:rPr>
          <w:sz w:val="22"/>
          <w:szCs w:val="22"/>
        </w:rPr>
        <w:t>he matter is a little more complicated than pointing to an apparently similar project.</w:t>
      </w:r>
      <w:r>
        <w:rPr>
          <w:sz w:val="22"/>
          <w:szCs w:val="22"/>
        </w:rPr>
        <w:t xml:space="preserve">  </w:t>
      </w:r>
      <w:r w:rsidR="001A5A72">
        <w:rPr>
          <w:sz w:val="22"/>
          <w:szCs w:val="22"/>
        </w:rPr>
        <w:t xml:space="preserve">The unit </w:t>
      </w:r>
      <w:r w:rsidR="00DF318D">
        <w:rPr>
          <w:sz w:val="22"/>
          <w:szCs w:val="22"/>
        </w:rPr>
        <w:t xml:space="preserve">remains </w:t>
      </w:r>
      <w:r w:rsidR="001A5A72">
        <w:rPr>
          <w:sz w:val="22"/>
          <w:szCs w:val="22"/>
        </w:rPr>
        <w:t xml:space="preserve">a coal and natural gas-fueled unit.  For example a reference from Cleco’s </w:t>
      </w:r>
      <w:r w:rsidR="00DF318D">
        <w:rPr>
          <w:sz w:val="22"/>
          <w:szCs w:val="22"/>
        </w:rPr>
        <w:t xml:space="preserve">2011 </w:t>
      </w:r>
      <w:r w:rsidR="001A5A72">
        <w:rPr>
          <w:sz w:val="22"/>
          <w:szCs w:val="22"/>
        </w:rPr>
        <w:t>Annual Report and Form 10-K</w:t>
      </w:r>
      <w:r w:rsidR="00D12F31">
        <w:rPr>
          <w:sz w:val="22"/>
          <w:szCs w:val="22"/>
        </w:rPr>
        <w:t xml:space="preserve"> (</w:t>
      </w:r>
      <w:r w:rsidR="001A5A72">
        <w:rPr>
          <w:sz w:val="22"/>
          <w:szCs w:val="22"/>
        </w:rPr>
        <w:t xml:space="preserve"> </w:t>
      </w:r>
      <w:hyperlink r:id="rId13" w:history="1">
        <w:r w:rsidR="00D12F31">
          <w:rPr>
            <w:rStyle w:val="Hyperlink"/>
            <w:sz w:val="22"/>
            <w:szCs w:val="22"/>
          </w:rPr>
          <w:t>Link to Cleco Annual Report</w:t>
        </w:r>
      </w:hyperlink>
      <w:r w:rsidR="00D12F31">
        <w:rPr>
          <w:sz w:val="22"/>
          <w:szCs w:val="22"/>
        </w:rPr>
        <w:t xml:space="preserve"> ) </w:t>
      </w:r>
      <w:r w:rsidR="001A5A72">
        <w:rPr>
          <w:sz w:val="22"/>
          <w:szCs w:val="22"/>
        </w:rPr>
        <w:t xml:space="preserve">regarding </w:t>
      </w:r>
      <w:r w:rsidR="00DF318D">
        <w:rPr>
          <w:sz w:val="22"/>
          <w:szCs w:val="22"/>
        </w:rPr>
        <w:t xml:space="preserve">Cleco </w:t>
      </w:r>
      <w:r w:rsidR="001A5A72">
        <w:rPr>
          <w:sz w:val="22"/>
          <w:szCs w:val="22"/>
        </w:rPr>
        <w:t>Rodemacher Unit 2 states:</w:t>
      </w:r>
      <w:r w:rsidR="00D12F31">
        <w:rPr>
          <w:sz w:val="22"/>
          <w:szCs w:val="22"/>
        </w:rPr>
        <w:t xml:space="preserve">  </w:t>
      </w:r>
    </w:p>
    <w:p w:rsidR="001A5A72" w:rsidRDefault="001A5A72" w:rsidP="00544E0F">
      <w:pPr>
        <w:pStyle w:val="Default"/>
        <w:spacing w:before="120" w:after="120"/>
        <w:ind w:left="720" w:right="360"/>
        <w:jc w:val="both"/>
        <w:rPr>
          <w:sz w:val="22"/>
          <w:szCs w:val="22"/>
        </w:rPr>
      </w:pPr>
      <w:r>
        <w:rPr>
          <w:sz w:val="22"/>
          <w:szCs w:val="22"/>
        </w:rPr>
        <w:t>“</w:t>
      </w:r>
      <w:r w:rsidRPr="001A5A72">
        <w:rPr>
          <w:sz w:val="22"/>
          <w:szCs w:val="22"/>
        </w:rPr>
        <w:t>The coal supply agreements are</w:t>
      </w:r>
      <w:r>
        <w:rPr>
          <w:sz w:val="22"/>
          <w:szCs w:val="22"/>
        </w:rPr>
        <w:t xml:space="preserve"> </w:t>
      </w:r>
      <w:r w:rsidRPr="001A5A72">
        <w:rPr>
          <w:sz w:val="22"/>
          <w:szCs w:val="22"/>
        </w:rPr>
        <w:t>fixed-priced for each year of the contract and together provide</w:t>
      </w:r>
      <w:r>
        <w:rPr>
          <w:sz w:val="22"/>
          <w:szCs w:val="22"/>
        </w:rPr>
        <w:t xml:space="preserve"> </w:t>
      </w:r>
      <w:r w:rsidRPr="001A5A72">
        <w:rPr>
          <w:sz w:val="22"/>
          <w:szCs w:val="22"/>
        </w:rPr>
        <w:t>for the full requirements to support Cleco Power’s minimum</w:t>
      </w:r>
      <w:r>
        <w:rPr>
          <w:sz w:val="22"/>
          <w:szCs w:val="22"/>
        </w:rPr>
        <w:t xml:space="preserve"> </w:t>
      </w:r>
      <w:r w:rsidRPr="001A5A72">
        <w:rPr>
          <w:sz w:val="22"/>
          <w:szCs w:val="22"/>
        </w:rPr>
        <w:t>planned dispatch of Rodemacher Unit 2 (four million tons total</w:t>
      </w:r>
      <w:r>
        <w:rPr>
          <w:sz w:val="22"/>
          <w:szCs w:val="22"/>
        </w:rPr>
        <w:t xml:space="preserve"> </w:t>
      </w:r>
      <w:r w:rsidRPr="001A5A72">
        <w:rPr>
          <w:sz w:val="22"/>
          <w:szCs w:val="22"/>
        </w:rPr>
        <w:t>over the seven-year period)</w:t>
      </w:r>
      <w:r w:rsidR="00D12F31">
        <w:rPr>
          <w:sz w:val="22"/>
          <w:szCs w:val="22"/>
        </w:rPr>
        <w:t>”</w:t>
      </w:r>
      <w:r>
        <w:rPr>
          <w:sz w:val="22"/>
          <w:szCs w:val="22"/>
        </w:rPr>
        <w:t xml:space="preserve"> ……</w:t>
      </w:r>
      <w:r w:rsidRPr="001A5A72">
        <w:rPr>
          <w:sz w:val="22"/>
          <w:szCs w:val="22"/>
        </w:rPr>
        <w:t xml:space="preserve"> </w:t>
      </w:r>
      <w:r>
        <w:rPr>
          <w:sz w:val="22"/>
          <w:szCs w:val="22"/>
        </w:rPr>
        <w:t>“</w:t>
      </w:r>
      <w:r w:rsidRPr="001A5A72">
        <w:rPr>
          <w:sz w:val="22"/>
          <w:szCs w:val="22"/>
        </w:rPr>
        <w:t>With respect to</w:t>
      </w:r>
      <w:r>
        <w:rPr>
          <w:sz w:val="22"/>
          <w:szCs w:val="22"/>
        </w:rPr>
        <w:t xml:space="preserve"> </w:t>
      </w:r>
      <w:r w:rsidRPr="001A5A72">
        <w:rPr>
          <w:sz w:val="22"/>
          <w:szCs w:val="22"/>
        </w:rPr>
        <w:t>transportation of coal, Cleco Power has amended and</w:t>
      </w:r>
      <w:r>
        <w:rPr>
          <w:sz w:val="22"/>
          <w:szCs w:val="22"/>
        </w:rPr>
        <w:t xml:space="preserve"> </w:t>
      </w:r>
      <w:r w:rsidRPr="001A5A72">
        <w:rPr>
          <w:sz w:val="22"/>
          <w:szCs w:val="22"/>
        </w:rPr>
        <w:t>extended an agreement with Union Pacific Railroad Company</w:t>
      </w:r>
      <w:r>
        <w:rPr>
          <w:sz w:val="22"/>
          <w:szCs w:val="22"/>
        </w:rPr>
        <w:t xml:space="preserve"> </w:t>
      </w:r>
      <w:r w:rsidRPr="001A5A72">
        <w:rPr>
          <w:sz w:val="22"/>
          <w:szCs w:val="22"/>
        </w:rPr>
        <w:t>for transportation of coal from Wyoming’s Powder River Basin</w:t>
      </w:r>
      <w:r>
        <w:rPr>
          <w:sz w:val="22"/>
          <w:szCs w:val="22"/>
        </w:rPr>
        <w:t xml:space="preserve"> </w:t>
      </w:r>
      <w:r w:rsidRPr="001A5A72">
        <w:rPr>
          <w:sz w:val="22"/>
          <w:szCs w:val="22"/>
        </w:rPr>
        <w:t>to Rodemacher Unit 2 through December 31, 2016</w:t>
      </w:r>
      <w:r>
        <w:rPr>
          <w:sz w:val="22"/>
          <w:szCs w:val="22"/>
        </w:rPr>
        <w:t>”</w:t>
      </w:r>
      <w:r w:rsidRPr="001A5A72">
        <w:rPr>
          <w:sz w:val="22"/>
          <w:szCs w:val="22"/>
        </w:rPr>
        <w:t>.</w:t>
      </w:r>
      <w:r w:rsidR="00D12F31">
        <w:rPr>
          <w:sz w:val="22"/>
          <w:szCs w:val="22"/>
        </w:rPr>
        <w:t xml:space="preserve">  </w:t>
      </w:r>
    </w:p>
    <w:p w:rsidR="00E4653B" w:rsidRPr="00E4653B" w:rsidRDefault="00E4653B" w:rsidP="00544E0F">
      <w:pPr>
        <w:pStyle w:val="Default"/>
        <w:spacing w:after="60"/>
        <w:ind w:left="360"/>
        <w:rPr>
          <w:sz w:val="22"/>
          <w:szCs w:val="22"/>
          <w:u w:val="single"/>
        </w:rPr>
      </w:pPr>
      <w:r w:rsidRPr="00E4653B">
        <w:rPr>
          <w:sz w:val="22"/>
          <w:szCs w:val="22"/>
          <w:u w:val="single"/>
        </w:rPr>
        <w:t>Monteville Power LLC</w:t>
      </w:r>
    </w:p>
    <w:p w:rsidR="00B726CD" w:rsidRDefault="0057746C" w:rsidP="00544E0F">
      <w:pPr>
        <w:pStyle w:val="Default"/>
        <w:spacing w:after="120"/>
        <w:ind w:left="360" w:right="360"/>
        <w:rPr>
          <w:sz w:val="22"/>
          <w:szCs w:val="22"/>
        </w:rPr>
      </w:pPr>
      <w:r>
        <w:rPr>
          <w:sz w:val="22"/>
          <w:szCs w:val="22"/>
        </w:rPr>
        <w:t>A</w:t>
      </w:r>
      <w:r w:rsidR="00B726CD">
        <w:rPr>
          <w:sz w:val="22"/>
          <w:szCs w:val="22"/>
        </w:rPr>
        <w:t xml:space="preserve"> promising </w:t>
      </w:r>
      <w:r w:rsidR="00E4653B">
        <w:rPr>
          <w:sz w:val="22"/>
          <w:szCs w:val="22"/>
        </w:rPr>
        <w:t xml:space="preserve">example </w:t>
      </w:r>
      <w:r>
        <w:rPr>
          <w:sz w:val="22"/>
          <w:szCs w:val="22"/>
        </w:rPr>
        <w:t xml:space="preserve">from the table is the Montville Power LLC, which is listed as an 82 MW natural gas boiler with Ox-cat to achieve a BACT CO limit of 0.084 lb/MMBtu.  Initially, the reference suggests (and the Department agrees) that Ox-cat is technically feasible for natural gas boilers.  </w:t>
      </w:r>
    </w:p>
    <w:p w:rsidR="00B726CD" w:rsidRDefault="0057746C" w:rsidP="00544E0F">
      <w:pPr>
        <w:pStyle w:val="Default"/>
        <w:spacing w:after="120"/>
        <w:ind w:left="360" w:right="360"/>
        <w:rPr>
          <w:sz w:val="22"/>
          <w:szCs w:val="22"/>
        </w:rPr>
      </w:pPr>
      <w:r>
        <w:rPr>
          <w:sz w:val="22"/>
          <w:szCs w:val="22"/>
        </w:rPr>
        <w:t>An actual review of the permit</w:t>
      </w:r>
      <w:r w:rsidR="00B726CD">
        <w:rPr>
          <w:sz w:val="22"/>
          <w:szCs w:val="22"/>
        </w:rPr>
        <w:t xml:space="preserve">, however, reveals the Monteville Power project is actually a conversion from an 82 MW natural gas-fueled unit to a 42 MW woody biomass fueled unit.  </w:t>
      </w:r>
      <w:r w:rsidR="00B726CD">
        <w:rPr>
          <w:sz w:val="22"/>
          <w:szCs w:val="22"/>
        </w:rPr>
        <w:br/>
      </w:r>
      <w:hyperlink r:id="rId14" w:history="1">
        <w:r w:rsidR="00B726CD">
          <w:rPr>
            <w:rStyle w:val="Hyperlink"/>
            <w:sz w:val="22"/>
            <w:szCs w:val="22"/>
          </w:rPr>
          <w:t>Link to Monteville Permit</w:t>
        </w:r>
      </w:hyperlink>
      <w:r w:rsidR="00B726CD">
        <w:rPr>
          <w:sz w:val="22"/>
          <w:szCs w:val="22"/>
        </w:rPr>
        <w:t xml:space="preserve"> .  The project description in the permit states:</w:t>
      </w:r>
    </w:p>
    <w:p w:rsidR="00A0309B" w:rsidRDefault="00B726CD" w:rsidP="00544E0F">
      <w:pPr>
        <w:pStyle w:val="Default"/>
        <w:spacing w:before="120" w:after="120"/>
        <w:ind w:left="720" w:right="720"/>
        <w:jc w:val="both"/>
        <w:rPr>
          <w:sz w:val="22"/>
          <w:szCs w:val="22"/>
        </w:rPr>
      </w:pPr>
      <w:r>
        <w:rPr>
          <w:sz w:val="22"/>
          <w:szCs w:val="22"/>
        </w:rPr>
        <w:t>“</w:t>
      </w:r>
      <w:r w:rsidRPr="00B726CD">
        <w:rPr>
          <w:sz w:val="22"/>
          <w:szCs w:val="22"/>
        </w:rPr>
        <w:t>The 82 MW utility boiler, currently referred to as Unit 5, has been</w:t>
      </w:r>
      <w:r>
        <w:rPr>
          <w:sz w:val="22"/>
          <w:szCs w:val="22"/>
        </w:rPr>
        <w:t xml:space="preserve"> </w:t>
      </w:r>
      <w:r w:rsidRPr="00B726CD">
        <w:rPr>
          <w:sz w:val="22"/>
          <w:szCs w:val="22"/>
        </w:rPr>
        <w:t>converted to combust biomass (clean wood) as a base load utility power</w:t>
      </w:r>
      <w:r>
        <w:rPr>
          <w:sz w:val="22"/>
          <w:szCs w:val="22"/>
        </w:rPr>
        <w:t xml:space="preserve"> </w:t>
      </w:r>
      <w:r w:rsidRPr="00B726CD">
        <w:rPr>
          <w:sz w:val="22"/>
          <w:szCs w:val="22"/>
        </w:rPr>
        <w:t xml:space="preserve">plant with a net capacity of 42 MW. </w:t>
      </w:r>
      <w:r>
        <w:rPr>
          <w:sz w:val="22"/>
          <w:szCs w:val="22"/>
        </w:rPr>
        <w:t xml:space="preserve"> </w:t>
      </w:r>
      <w:r w:rsidRPr="00B726CD">
        <w:rPr>
          <w:sz w:val="22"/>
          <w:szCs w:val="22"/>
        </w:rPr>
        <w:t>The boiler shall be able to</w:t>
      </w:r>
      <w:r>
        <w:rPr>
          <w:sz w:val="22"/>
          <w:szCs w:val="22"/>
        </w:rPr>
        <w:t xml:space="preserve"> </w:t>
      </w:r>
      <w:r w:rsidRPr="00B726CD">
        <w:rPr>
          <w:sz w:val="22"/>
          <w:szCs w:val="22"/>
        </w:rPr>
        <w:t>transition to natural gas or distillate firing at a net 82 MW for a</w:t>
      </w:r>
      <w:r>
        <w:rPr>
          <w:sz w:val="22"/>
          <w:szCs w:val="22"/>
        </w:rPr>
        <w:t xml:space="preserve"> </w:t>
      </w:r>
      <w:r w:rsidRPr="00B726CD">
        <w:rPr>
          <w:sz w:val="22"/>
          <w:szCs w:val="22"/>
        </w:rPr>
        <w:t xml:space="preserve">limited annual capacity factor of </w:t>
      </w:r>
      <w:r w:rsidRPr="00962D66">
        <w:rPr>
          <w:sz w:val="22"/>
          <w:szCs w:val="22"/>
          <w:u w:val="single"/>
        </w:rPr>
        <w:t>seven percent</w:t>
      </w:r>
      <w:r w:rsidRPr="00B726CD">
        <w:rPr>
          <w:sz w:val="22"/>
          <w:szCs w:val="22"/>
        </w:rPr>
        <w:t xml:space="preserve">. </w:t>
      </w:r>
      <w:r w:rsidR="00962D66">
        <w:rPr>
          <w:sz w:val="22"/>
          <w:szCs w:val="22"/>
        </w:rPr>
        <w:t xml:space="preserve"> </w:t>
      </w:r>
      <w:r w:rsidRPr="00B726CD">
        <w:rPr>
          <w:sz w:val="22"/>
          <w:szCs w:val="22"/>
        </w:rPr>
        <w:t>The plant will utilize</w:t>
      </w:r>
      <w:r>
        <w:rPr>
          <w:sz w:val="22"/>
          <w:szCs w:val="22"/>
        </w:rPr>
        <w:t xml:space="preserve"> </w:t>
      </w:r>
      <w:r w:rsidRPr="00B726CD">
        <w:rPr>
          <w:sz w:val="22"/>
          <w:szCs w:val="22"/>
        </w:rPr>
        <w:t xml:space="preserve">a </w:t>
      </w:r>
      <w:r w:rsidRPr="005C17D8">
        <w:rPr>
          <w:sz w:val="22"/>
          <w:szCs w:val="22"/>
          <w:u w:val="single"/>
        </w:rPr>
        <w:t>stoker grate combustor</w:t>
      </w:r>
      <w:r w:rsidRPr="00B726CD">
        <w:rPr>
          <w:sz w:val="22"/>
          <w:szCs w:val="22"/>
        </w:rPr>
        <w:t xml:space="preserve"> (biomass firing) with regenerative selective</w:t>
      </w:r>
      <w:r>
        <w:rPr>
          <w:sz w:val="22"/>
          <w:szCs w:val="22"/>
        </w:rPr>
        <w:t xml:space="preserve"> </w:t>
      </w:r>
      <w:r w:rsidRPr="00B726CD">
        <w:rPr>
          <w:sz w:val="22"/>
          <w:szCs w:val="22"/>
        </w:rPr>
        <w:t>catalytic reduction (RSCR) and Low NO</w:t>
      </w:r>
      <w:r w:rsidR="00962D66" w:rsidRPr="00962D66">
        <w:rPr>
          <w:sz w:val="22"/>
          <w:szCs w:val="22"/>
          <w:vertAlign w:val="subscript"/>
        </w:rPr>
        <w:t>X</w:t>
      </w:r>
      <w:r w:rsidRPr="00B726CD">
        <w:rPr>
          <w:sz w:val="22"/>
          <w:szCs w:val="22"/>
        </w:rPr>
        <w:t xml:space="preserve"> burners (fossil fuel firing) for</w:t>
      </w:r>
      <w:r>
        <w:rPr>
          <w:sz w:val="22"/>
          <w:szCs w:val="22"/>
        </w:rPr>
        <w:t xml:space="preserve"> </w:t>
      </w:r>
      <w:r w:rsidRPr="00B726CD">
        <w:rPr>
          <w:sz w:val="22"/>
          <w:szCs w:val="22"/>
        </w:rPr>
        <w:t>NO</w:t>
      </w:r>
      <w:r w:rsidR="00962D66" w:rsidRPr="00962D66">
        <w:rPr>
          <w:sz w:val="22"/>
          <w:szCs w:val="22"/>
          <w:vertAlign w:val="subscript"/>
        </w:rPr>
        <w:t>X</w:t>
      </w:r>
      <w:r w:rsidRPr="00B726CD">
        <w:rPr>
          <w:sz w:val="22"/>
          <w:szCs w:val="22"/>
        </w:rPr>
        <w:t xml:space="preserve"> control, an electrostatic precipitator (ESP) and multi-cyclones for</w:t>
      </w:r>
      <w:r>
        <w:rPr>
          <w:sz w:val="22"/>
          <w:szCs w:val="22"/>
        </w:rPr>
        <w:t xml:space="preserve"> </w:t>
      </w:r>
      <w:r w:rsidRPr="00B726CD">
        <w:rPr>
          <w:sz w:val="22"/>
          <w:szCs w:val="22"/>
        </w:rPr>
        <w:t>particulate matter control, an oxidation catalyst for CO, VOC and</w:t>
      </w:r>
      <w:r>
        <w:rPr>
          <w:sz w:val="22"/>
          <w:szCs w:val="22"/>
        </w:rPr>
        <w:t xml:space="preserve"> </w:t>
      </w:r>
      <w:r w:rsidRPr="00B726CD">
        <w:rPr>
          <w:sz w:val="22"/>
          <w:szCs w:val="22"/>
        </w:rPr>
        <w:t>organic HAP control</w:t>
      </w:r>
      <w:r>
        <w:rPr>
          <w:sz w:val="22"/>
          <w:szCs w:val="22"/>
        </w:rPr>
        <w:t>”</w:t>
      </w:r>
      <w:r w:rsidRPr="00B726CD">
        <w:rPr>
          <w:sz w:val="22"/>
          <w:szCs w:val="22"/>
        </w:rPr>
        <w:t>.</w:t>
      </w:r>
    </w:p>
    <w:p w:rsidR="00A0309B" w:rsidRDefault="005C17D8" w:rsidP="00544E0F">
      <w:pPr>
        <w:pStyle w:val="Default"/>
        <w:spacing w:after="120"/>
        <w:ind w:left="360" w:right="360"/>
        <w:rPr>
          <w:sz w:val="22"/>
          <w:szCs w:val="22"/>
        </w:rPr>
      </w:pPr>
      <w:r>
        <w:rPr>
          <w:sz w:val="22"/>
          <w:szCs w:val="22"/>
        </w:rPr>
        <w:t xml:space="preserve">Interestingly, the unit is a stoker grate combustor, much like a MWC.  </w:t>
      </w:r>
      <w:r w:rsidR="00962D66">
        <w:rPr>
          <w:sz w:val="22"/>
          <w:szCs w:val="22"/>
        </w:rPr>
        <w:t xml:space="preserve">Actually, the project is subsidized by </w:t>
      </w:r>
      <w:r>
        <w:rPr>
          <w:sz w:val="22"/>
          <w:szCs w:val="22"/>
        </w:rPr>
        <w:t xml:space="preserve">participation in the </w:t>
      </w:r>
      <w:r w:rsidR="00962D66">
        <w:rPr>
          <w:sz w:val="22"/>
          <w:szCs w:val="22"/>
        </w:rPr>
        <w:t xml:space="preserve">State of Connecticut’s Renewable Portfolio Standard (RPS) that progressively increases the percentage of electricity that participants in Connecticutt’s power market </w:t>
      </w:r>
      <w:r>
        <w:rPr>
          <w:sz w:val="22"/>
          <w:szCs w:val="22"/>
        </w:rPr>
        <w:t xml:space="preserve">must generate from </w:t>
      </w:r>
      <w:r w:rsidR="00962D66">
        <w:rPr>
          <w:sz w:val="22"/>
          <w:szCs w:val="22"/>
        </w:rPr>
        <w:t>renewable energy</w:t>
      </w:r>
      <w:r>
        <w:rPr>
          <w:sz w:val="22"/>
          <w:szCs w:val="22"/>
        </w:rPr>
        <w:t xml:space="preserve">.  </w:t>
      </w:r>
      <w:hyperlink r:id="rId15" w:history="1">
        <w:r>
          <w:rPr>
            <w:rStyle w:val="Hyperlink"/>
            <w:sz w:val="22"/>
            <w:szCs w:val="22"/>
          </w:rPr>
          <w:t>Link to CT RPS Overview</w:t>
        </w:r>
      </w:hyperlink>
      <w:r w:rsidR="00962D66">
        <w:rPr>
          <w:sz w:val="22"/>
          <w:szCs w:val="22"/>
        </w:rPr>
        <w:t xml:space="preserve"> </w:t>
      </w:r>
      <w:r>
        <w:rPr>
          <w:sz w:val="22"/>
          <w:szCs w:val="22"/>
        </w:rPr>
        <w:t xml:space="preserve">.  </w:t>
      </w:r>
      <w:r w:rsidR="00E4653B">
        <w:rPr>
          <w:sz w:val="22"/>
          <w:szCs w:val="22"/>
        </w:rPr>
        <w:t>Typically, t</w:t>
      </w:r>
      <w:r>
        <w:rPr>
          <w:sz w:val="22"/>
          <w:szCs w:val="22"/>
        </w:rPr>
        <w:t xml:space="preserve">he inclusion of Ox-cat for these biomass </w:t>
      </w:r>
      <w:r w:rsidR="00E4653B">
        <w:rPr>
          <w:sz w:val="22"/>
          <w:szCs w:val="22"/>
        </w:rPr>
        <w:t>units greatly reduces the organic HAP and allows such units to avoid onerous Subpart DDDDD Boiler MACT standards (especially for PM) applicable to new or reconstructed units.</w:t>
      </w:r>
    </w:p>
    <w:p w:rsidR="003C45DD" w:rsidRPr="003C45DD" w:rsidRDefault="003C45DD" w:rsidP="00544E0F">
      <w:pPr>
        <w:pStyle w:val="Default"/>
        <w:spacing w:after="60"/>
        <w:ind w:left="360"/>
        <w:rPr>
          <w:sz w:val="22"/>
          <w:szCs w:val="22"/>
          <w:u w:val="single"/>
        </w:rPr>
      </w:pPr>
      <w:r w:rsidRPr="003C45DD">
        <w:rPr>
          <w:sz w:val="22"/>
          <w:szCs w:val="22"/>
          <w:u w:val="single"/>
        </w:rPr>
        <w:t>Virginia Power Possum Point</w:t>
      </w:r>
      <w:r>
        <w:rPr>
          <w:sz w:val="22"/>
          <w:szCs w:val="22"/>
          <w:u w:val="single"/>
        </w:rPr>
        <w:t xml:space="preserve"> Units 3 and 4</w:t>
      </w:r>
    </w:p>
    <w:p w:rsidR="00663145" w:rsidRDefault="003C45DD" w:rsidP="00544E0F">
      <w:pPr>
        <w:pStyle w:val="Default"/>
        <w:spacing w:after="120"/>
        <w:ind w:left="360" w:right="360"/>
        <w:rPr>
          <w:sz w:val="22"/>
          <w:szCs w:val="22"/>
        </w:rPr>
      </w:pPr>
      <w:r>
        <w:rPr>
          <w:sz w:val="22"/>
          <w:szCs w:val="22"/>
        </w:rPr>
        <w:t xml:space="preserve">This facility was also included in the mentioned table.  Units 3 and 4 are vintage 1950’s and 1970’s coal </w:t>
      </w:r>
      <w:r w:rsidR="00663145">
        <w:rPr>
          <w:sz w:val="22"/>
          <w:szCs w:val="22"/>
        </w:rPr>
        <w:t xml:space="preserve">units that were converted </w:t>
      </w:r>
      <w:r>
        <w:rPr>
          <w:sz w:val="22"/>
          <w:szCs w:val="22"/>
        </w:rPr>
        <w:t xml:space="preserve">to </w:t>
      </w:r>
      <w:r w:rsidR="00663145">
        <w:rPr>
          <w:sz w:val="22"/>
          <w:szCs w:val="22"/>
        </w:rPr>
        <w:t xml:space="preserve">burn </w:t>
      </w:r>
      <w:r>
        <w:rPr>
          <w:sz w:val="22"/>
          <w:szCs w:val="22"/>
        </w:rPr>
        <w:t>natural gas in 2003</w:t>
      </w:r>
      <w:r w:rsidR="008011E4">
        <w:rPr>
          <w:sz w:val="22"/>
          <w:szCs w:val="22"/>
        </w:rPr>
        <w:t xml:space="preserve"> pursuant to a $1.2 billion multiple facility consent decree with EPA.   </w:t>
      </w:r>
      <w:hyperlink r:id="rId16" w:history="1">
        <w:r w:rsidR="008011E4">
          <w:rPr>
            <w:rStyle w:val="Hyperlink"/>
            <w:sz w:val="22"/>
            <w:szCs w:val="22"/>
          </w:rPr>
          <w:t>Consent Decree</w:t>
        </w:r>
      </w:hyperlink>
      <w:r w:rsidR="008011E4">
        <w:rPr>
          <w:sz w:val="22"/>
          <w:szCs w:val="22"/>
        </w:rPr>
        <w:t xml:space="preserve"> .  </w:t>
      </w:r>
      <w:r w:rsidR="00A12691">
        <w:rPr>
          <w:sz w:val="22"/>
          <w:szCs w:val="22"/>
        </w:rPr>
        <w:t xml:space="preserve">Units 3 and 4 are described as in the consent decree as </w:t>
      </w:r>
      <w:r w:rsidR="008011E4">
        <w:rPr>
          <w:sz w:val="22"/>
          <w:szCs w:val="22"/>
        </w:rPr>
        <w:t>114</w:t>
      </w:r>
      <w:r>
        <w:rPr>
          <w:sz w:val="22"/>
          <w:szCs w:val="22"/>
        </w:rPr>
        <w:t xml:space="preserve"> </w:t>
      </w:r>
      <w:r w:rsidR="00A12691">
        <w:rPr>
          <w:sz w:val="22"/>
          <w:szCs w:val="22"/>
        </w:rPr>
        <w:t xml:space="preserve">MW and </w:t>
      </w:r>
      <w:r>
        <w:rPr>
          <w:sz w:val="22"/>
          <w:szCs w:val="22"/>
        </w:rPr>
        <w:t>2</w:t>
      </w:r>
      <w:r w:rsidR="008011E4">
        <w:rPr>
          <w:sz w:val="22"/>
          <w:szCs w:val="22"/>
        </w:rPr>
        <w:t>37</w:t>
      </w:r>
      <w:r>
        <w:rPr>
          <w:sz w:val="22"/>
          <w:szCs w:val="22"/>
        </w:rPr>
        <w:t xml:space="preserve"> MW</w:t>
      </w:r>
      <w:r w:rsidR="00A12691">
        <w:rPr>
          <w:sz w:val="22"/>
          <w:szCs w:val="22"/>
        </w:rPr>
        <w:t xml:space="preserve"> (nominal nameplate) units</w:t>
      </w:r>
      <w:r>
        <w:rPr>
          <w:sz w:val="22"/>
          <w:szCs w:val="22"/>
        </w:rPr>
        <w:t>, respectively)</w:t>
      </w:r>
      <w:r w:rsidR="00A12691">
        <w:rPr>
          <w:sz w:val="22"/>
          <w:szCs w:val="22"/>
        </w:rPr>
        <w:t>.</w:t>
      </w:r>
      <w:r>
        <w:rPr>
          <w:sz w:val="22"/>
          <w:szCs w:val="22"/>
        </w:rPr>
        <w:t xml:space="preserve">  The permitted BACT CO limit is 0.024 lb/MMBtu.  </w:t>
      </w:r>
      <w:r w:rsidR="00C96F6B">
        <w:rPr>
          <w:sz w:val="22"/>
          <w:szCs w:val="22"/>
        </w:rPr>
        <w:t>The permitted NO</w:t>
      </w:r>
      <w:r w:rsidR="00C96F6B" w:rsidRPr="00C96F6B">
        <w:rPr>
          <w:sz w:val="22"/>
          <w:szCs w:val="22"/>
          <w:vertAlign w:val="subscript"/>
        </w:rPr>
        <w:t>X</w:t>
      </w:r>
      <w:r w:rsidR="00C96F6B">
        <w:rPr>
          <w:sz w:val="22"/>
          <w:szCs w:val="22"/>
        </w:rPr>
        <w:t xml:space="preserve"> limit is 0.20 lb/MMBtu</w:t>
      </w:r>
      <w:r w:rsidR="006706AA">
        <w:rPr>
          <w:sz w:val="22"/>
          <w:szCs w:val="22"/>
        </w:rPr>
        <w:t>, however the units may emit more than 219 tons/year</w:t>
      </w:r>
      <w:r w:rsidR="00C96F6B">
        <w:rPr>
          <w:sz w:val="22"/>
          <w:szCs w:val="22"/>
        </w:rPr>
        <w:t xml:space="preserve">.  </w:t>
      </w:r>
      <w:r w:rsidR="00663145">
        <w:rPr>
          <w:sz w:val="22"/>
          <w:szCs w:val="22"/>
        </w:rPr>
        <w:t xml:space="preserve">The units </w:t>
      </w:r>
      <w:r w:rsidR="00554424">
        <w:rPr>
          <w:sz w:val="22"/>
          <w:szCs w:val="22"/>
        </w:rPr>
        <w:t>have Low NO</w:t>
      </w:r>
      <w:r w:rsidR="00554424" w:rsidRPr="00285C6A">
        <w:rPr>
          <w:sz w:val="22"/>
          <w:szCs w:val="22"/>
          <w:vertAlign w:val="subscript"/>
        </w:rPr>
        <w:t>X</w:t>
      </w:r>
      <w:r w:rsidR="00554424">
        <w:rPr>
          <w:sz w:val="22"/>
          <w:szCs w:val="22"/>
        </w:rPr>
        <w:t xml:space="preserve"> burners</w:t>
      </w:r>
      <w:r w:rsidR="00285C6A">
        <w:rPr>
          <w:sz w:val="22"/>
          <w:szCs w:val="22"/>
        </w:rPr>
        <w:t xml:space="preserve"> </w:t>
      </w:r>
      <w:r w:rsidR="00B36724">
        <w:rPr>
          <w:sz w:val="22"/>
          <w:szCs w:val="22"/>
        </w:rPr>
        <w:t xml:space="preserve">(LNB) </w:t>
      </w:r>
      <w:r w:rsidR="00285C6A">
        <w:rPr>
          <w:sz w:val="22"/>
          <w:szCs w:val="22"/>
        </w:rPr>
        <w:t xml:space="preserve">and were converted at a total cost of $10,000,000.  They </w:t>
      </w:r>
      <w:r w:rsidR="00663145">
        <w:rPr>
          <w:sz w:val="22"/>
          <w:szCs w:val="22"/>
        </w:rPr>
        <w:t>do not have Ox-cat</w:t>
      </w:r>
      <w:r w:rsidR="00B36724">
        <w:rPr>
          <w:sz w:val="22"/>
          <w:szCs w:val="22"/>
        </w:rPr>
        <w:t xml:space="preserve">.  The manner and extent to which overfire air injection is practiced is not </w:t>
      </w:r>
      <w:r w:rsidR="00285C6A">
        <w:rPr>
          <w:sz w:val="22"/>
          <w:szCs w:val="22"/>
        </w:rPr>
        <w:t>known</w:t>
      </w:r>
      <w:r w:rsidR="00B36724">
        <w:rPr>
          <w:sz w:val="22"/>
          <w:szCs w:val="22"/>
        </w:rPr>
        <w:t>.</w:t>
      </w:r>
    </w:p>
    <w:p w:rsidR="00C807D0" w:rsidRDefault="003C45DD" w:rsidP="00544E0F">
      <w:pPr>
        <w:pStyle w:val="Default"/>
        <w:spacing w:after="120"/>
        <w:ind w:left="360" w:right="360"/>
        <w:rPr>
          <w:sz w:val="22"/>
          <w:szCs w:val="22"/>
        </w:rPr>
      </w:pPr>
      <w:r>
        <w:rPr>
          <w:sz w:val="22"/>
          <w:szCs w:val="22"/>
        </w:rPr>
        <w:t xml:space="preserve">The Department accessed the </w:t>
      </w:r>
      <w:r w:rsidR="0017088D">
        <w:rPr>
          <w:sz w:val="22"/>
          <w:szCs w:val="22"/>
        </w:rPr>
        <w:t xml:space="preserve">Statement of Basis (SOB) </w:t>
      </w:r>
      <w:r w:rsidR="00C807D0">
        <w:rPr>
          <w:sz w:val="22"/>
          <w:szCs w:val="22"/>
        </w:rPr>
        <w:t xml:space="preserve">and the </w:t>
      </w:r>
      <w:r>
        <w:rPr>
          <w:sz w:val="22"/>
          <w:szCs w:val="22"/>
        </w:rPr>
        <w:t xml:space="preserve">Title V operation permit </w:t>
      </w:r>
      <w:r w:rsidR="00C807D0">
        <w:rPr>
          <w:sz w:val="22"/>
          <w:szCs w:val="22"/>
        </w:rPr>
        <w:t xml:space="preserve">for the Possum Point Power Plant </w:t>
      </w:r>
      <w:r w:rsidR="00663145">
        <w:rPr>
          <w:sz w:val="22"/>
          <w:szCs w:val="22"/>
        </w:rPr>
        <w:t xml:space="preserve">that was </w:t>
      </w:r>
      <w:r>
        <w:rPr>
          <w:sz w:val="22"/>
          <w:szCs w:val="22"/>
        </w:rPr>
        <w:t xml:space="preserve">issued </w:t>
      </w:r>
      <w:r w:rsidR="00663145">
        <w:rPr>
          <w:sz w:val="22"/>
          <w:szCs w:val="22"/>
        </w:rPr>
        <w:t xml:space="preserve">by the State of Virginia </w:t>
      </w:r>
      <w:r>
        <w:rPr>
          <w:sz w:val="22"/>
          <w:szCs w:val="22"/>
        </w:rPr>
        <w:t xml:space="preserve">in 2010.  </w:t>
      </w:r>
      <w:hyperlink r:id="rId17" w:history="1">
        <w:r w:rsidR="009F7444">
          <w:rPr>
            <w:rStyle w:val="Hyperlink"/>
            <w:sz w:val="22"/>
            <w:szCs w:val="22"/>
          </w:rPr>
          <w:t xml:space="preserve">Link to Possum Point </w:t>
        </w:r>
        <w:r w:rsidR="0017088D">
          <w:rPr>
            <w:rStyle w:val="Hyperlink"/>
            <w:sz w:val="22"/>
            <w:szCs w:val="22"/>
          </w:rPr>
          <w:t>SOB</w:t>
        </w:r>
      </w:hyperlink>
      <w:r w:rsidR="009F7444">
        <w:rPr>
          <w:sz w:val="22"/>
          <w:szCs w:val="22"/>
        </w:rPr>
        <w:t xml:space="preserve"> </w:t>
      </w:r>
      <w:r w:rsidR="00C807D0">
        <w:rPr>
          <w:sz w:val="22"/>
          <w:szCs w:val="22"/>
        </w:rPr>
        <w:t xml:space="preserve">, </w:t>
      </w:r>
      <w:r w:rsidR="008C15D3">
        <w:rPr>
          <w:sz w:val="22"/>
          <w:szCs w:val="22"/>
        </w:rPr>
        <w:br/>
      </w:r>
      <w:hyperlink r:id="rId18" w:history="1">
        <w:r w:rsidR="00C807D0">
          <w:rPr>
            <w:rStyle w:val="Hyperlink"/>
            <w:sz w:val="22"/>
            <w:szCs w:val="22"/>
          </w:rPr>
          <w:t>Link to Possum Point Title V Permit</w:t>
        </w:r>
      </w:hyperlink>
      <w:r w:rsidR="00C807D0">
        <w:t xml:space="preserve"> </w:t>
      </w:r>
      <w:r w:rsidR="0017088D">
        <w:rPr>
          <w:sz w:val="22"/>
          <w:szCs w:val="22"/>
        </w:rPr>
        <w:t xml:space="preserve">.  </w:t>
      </w:r>
    </w:p>
    <w:p w:rsidR="00C807D0" w:rsidRDefault="00B36724" w:rsidP="00544E0F">
      <w:pPr>
        <w:pStyle w:val="Default"/>
        <w:spacing w:after="120"/>
        <w:ind w:left="360" w:right="360"/>
        <w:rPr>
          <w:sz w:val="22"/>
          <w:szCs w:val="22"/>
        </w:rPr>
      </w:pPr>
      <w:r>
        <w:rPr>
          <w:sz w:val="22"/>
          <w:szCs w:val="22"/>
        </w:rPr>
        <w:t>Units 3 and 4 are described as t</w:t>
      </w:r>
      <w:r w:rsidRPr="00B36724">
        <w:rPr>
          <w:sz w:val="22"/>
          <w:szCs w:val="22"/>
        </w:rPr>
        <w:t>angentially-fired</w:t>
      </w:r>
      <w:r>
        <w:rPr>
          <w:sz w:val="22"/>
          <w:szCs w:val="22"/>
        </w:rPr>
        <w:t xml:space="preserve"> </w:t>
      </w:r>
      <w:r w:rsidRPr="00B36724">
        <w:rPr>
          <w:sz w:val="22"/>
          <w:szCs w:val="22"/>
        </w:rPr>
        <w:t>natural gas boiler</w:t>
      </w:r>
      <w:r>
        <w:rPr>
          <w:sz w:val="22"/>
          <w:szCs w:val="22"/>
        </w:rPr>
        <w:t>s</w:t>
      </w:r>
      <w:r w:rsidRPr="00B36724">
        <w:rPr>
          <w:sz w:val="22"/>
          <w:szCs w:val="22"/>
        </w:rPr>
        <w:t xml:space="preserve"> </w:t>
      </w:r>
      <w:r>
        <w:rPr>
          <w:sz w:val="22"/>
          <w:szCs w:val="22"/>
        </w:rPr>
        <w:t>(</w:t>
      </w:r>
      <w:r w:rsidRPr="00B36724">
        <w:rPr>
          <w:sz w:val="22"/>
          <w:szCs w:val="22"/>
        </w:rPr>
        <w:t>Combustion Engineering</w:t>
      </w:r>
      <w:r>
        <w:rPr>
          <w:sz w:val="22"/>
          <w:szCs w:val="22"/>
        </w:rPr>
        <w:t>)</w:t>
      </w:r>
      <w:r w:rsidRPr="00B36724">
        <w:rPr>
          <w:sz w:val="22"/>
          <w:szCs w:val="22"/>
        </w:rPr>
        <w:t xml:space="preserve"> built 1955</w:t>
      </w:r>
      <w:r>
        <w:rPr>
          <w:sz w:val="22"/>
          <w:szCs w:val="22"/>
        </w:rPr>
        <w:t xml:space="preserve"> and 1962, respectively and </w:t>
      </w:r>
      <w:r w:rsidRPr="00B36724">
        <w:rPr>
          <w:sz w:val="22"/>
          <w:szCs w:val="22"/>
        </w:rPr>
        <w:t>converted from</w:t>
      </w:r>
      <w:r>
        <w:rPr>
          <w:sz w:val="22"/>
          <w:szCs w:val="22"/>
        </w:rPr>
        <w:t xml:space="preserve"> </w:t>
      </w:r>
      <w:r w:rsidRPr="00B36724">
        <w:rPr>
          <w:sz w:val="22"/>
          <w:szCs w:val="22"/>
        </w:rPr>
        <w:t>coal firing in 2003.</w:t>
      </w:r>
      <w:r>
        <w:rPr>
          <w:sz w:val="22"/>
          <w:szCs w:val="22"/>
        </w:rPr>
        <w:t xml:space="preserve">  </w:t>
      </w:r>
      <w:r w:rsidR="00C807D0">
        <w:rPr>
          <w:sz w:val="22"/>
          <w:szCs w:val="22"/>
        </w:rPr>
        <w:t xml:space="preserve">The rated capacities are given in the permit as 1,150 and 2,350 MMBtu/hr, respectively (i.e. roughly 20 and 40% of the capacity of each Anclote unit).  </w:t>
      </w:r>
    </w:p>
    <w:p w:rsidR="008E197B" w:rsidRDefault="008E197B">
      <w:pPr>
        <w:rPr>
          <w:color w:val="000000"/>
          <w:sz w:val="22"/>
          <w:szCs w:val="22"/>
        </w:rPr>
      </w:pPr>
      <w:r>
        <w:rPr>
          <w:sz w:val="22"/>
          <w:szCs w:val="22"/>
        </w:rPr>
        <w:br w:type="page"/>
      </w:r>
    </w:p>
    <w:p w:rsidR="00A0309B" w:rsidRDefault="00474923" w:rsidP="00544E0F">
      <w:pPr>
        <w:pStyle w:val="Default"/>
        <w:spacing w:after="120"/>
        <w:ind w:left="360" w:right="360"/>
        <w:rPr>
          <w:sz w:val="22"/>
          <w:szCs w:val="22"/>
        </w:rPr>
      </w:pPr>
      <w:r>
        <w:rPr>
          <w:sz w:val="22"/>
          <w:szCs w:val="22"/>
        </w:rPr>
        <w:lastRenderedPageBreak/>
        <w:t>Following is the explanatory excerpt regarding the CO limits:</w:t>
      </w:r>
    </w:p>
    <w:p w:rsidR="00A0309B" w:rsidRDefault="00B36724" w:rsidP="00544E0F">
      <w:pPr>
        <w:pStyle w:val="Default"/>
        <w:spacing w:after="120"/>
        <w:ind w:left="720" w:right="720"/>
        <w:jc w:val="both"/>
        <w:rPr>
          <w:sz w:val="22"/>
          <w:szCs w:val="22"/>
        </w:rPr>
      </w:pPr>
      <w:r>
        <w:rPr>
          <w:sz w:val="22"/>
          <w:szCs w:val="22"/>
        </w:rPr>
        <w:t>“</w:t>
      </w:r>
      <w:r w:rsidR="00312982" w:rsidRPr="00367557">
        <w:rPr>
          <w:sz w:val="22"/>
          <w:szCs w:val="22"/>
        </w:rPr>
        <w:t>Both the short-term and annual CO emission limits are from Condition 23 of</w:t>
      </w:r>
      <w:r w:rsidR="00367557" w:rsidRPr="00367557">
        <w:rPr>
          <w:sz w:val="22"/>
          <w:szCs w:val="22"/>
        </w:rPr>
        <w:t xml:space="preserve"> the</w:t>
      </w:r>
      <w:r w:rsidR="00312982" w:rsidRPr="00312982">
        <w:rPr>
          <w:sz w:val="22"/>
          <w:szCs w:val="22"/>
        </w:rPr>
        <w:t xml:space="preserve"> 10/05/01 (amended 11/18/02, 12/8/04 and 7/11/08) PSD/Non-attainment</w:t>
      </w:r>
      <w:r w:rsidR="00312982">
        <w:rPr>
          <w:sz w:val="22"/>
          <w:szCs w:val="22"/>
        </w:rPr>
        <w:t xml:space="preserve"> </w:t>
      </w:r>
      <w:r w:rsidR="00312982" w:rsidRPr="00312982">
        <w:rPr>
          <w:sz w:val="22"/>
          <w:szCs w:val="22"/>
        </w:rPr>
        <w:t>Permit. The hourly and annual rate limits were confirmed by dispersion modeling</w:t>
      </w:r>
      <w:r w:rsidR="00312982">
        <w:rPr>
          <w:sz w:val="22"/>
          <w:szCs w:val="22"/>
        </w:rPr>
        <w:t xml:space="preserve"> </w:t>
      </w:r>
      <w:r w:rsidR="00312982" w:rsidRPr="00312982">
        <w:rPr>
          <w:sz w:val="22"/>
          <w:szCs w:val="22"/>
        </w:rPr>
        <w:t>for that permitting action to keep the facility from contributing to a violation of the</w:t>
      </w:r>
      <w:r w:rsidR="00312982">
        <w:rPr>
          <w:sz w:val="22"/>
          <w:szCs w:val="22"/>
        </w:rPr>
        <w:t xml:space="preserve"> </w:t>
      </w:r>
      <w:r w:rsidR="00312982" w:rsidRPr="00312982">
        <w:rPr>
          <w:sz w:val="22"/>
          <w:szCs w:val="22"/>
        </w:rPr>
        <w:t xml:space="preserve">NAAQS. </w:t>
      </w:r>
      <w:r w:rsidR="00312982">
        <w:rPr>
          <w:sz w:val="22"/>
          <w:szCs w:val="22"/>
        </w:rPr>
        <w:t xml:space="preserve"> </w:t>
      </w:r>
      <w:r w:rsidR="00312982" w:rsidRPr="00312982">
        <w:rPr>
          <w:sz w:val="22"/>
          <w:szCs w:val="22"/>
        </w:rPr>
        <w:t>The heat input-based limits represent BACT</w:t>
      </w:r>
      <w:r w:rsidR="00474923">
        <w:rPr>
          <w:sz w:val="22"/>
          <w:szCs w:val="22"/>
        </w:rPr>
        <w:t>”</w:t>
      </w:r>
      <w:r w:rsidR="00312982" w:rsidRPr="00312982">
        <w:rPr>
          <w:sz w:val="22"/>
          <w:szCs w:val="22"/>
        </w:rPr>
        <w:t>.</w:t>
      </w:r>
    </w:p>
    <w:p w:rsidR="0017088D" w:rsidRDefault="003E774A" w:rsidP="00544E0F">
      <w:pPr>
        <w:pStyle w:val="Default"/>
        <w:spacing w:after="120"/>
        <w:ind w:left="360" w:right="360"/>
        <w:rPr>
          <w:sz w:val="22"/>
          <w:szCs w:val="22"/>
        </w:rPr>
      </w:pPr>
      <w:r>
        <w:rPr>
          <w:sz w:val="22"/>
          <w:szCs w:val="22"/>
        </w:rPr>
        <w:t>T</w:t>
      </w:r>
      <w:r w:rsidR="0017088D">
        <w:rPr>
          <w:sz w:val="22"/>
          <w:szCs w:val="22"/>
        </w:rPr>
        <w:t>he CO limit is 0.024 lb/MMBtu</w:t>
      </w:r>
      <w:r>
        <w:rPr>
          <w:sz w:val="22"/>
          <w:szCs w:val="22"/>
        </w:rPr>
        <w:t xml:space="preserve">.  </w:t>
      </w:r>
      <w:r w:rsidR="0017088D">
        <w:rPr>
          <w:sz w:val="22"/>
          <w:szCs w:val="22"/>
        </w:rPr>
        <w:t>CEMS are required</w:t>
      </w:r>
      <w:r>
        <w:rPr>
          <w:sz w:val="22"/>
          <w:szCs w:val="22"/>
        </w:rPr>
        <w:t>.  H</w:t>
      </w:r>
      <w:r w:rsidR="0017088D">
        <w:rPr>
          <w:sz w:val="22"/>
          <w:szCs w:val="22"/>
        </w:rPr>
        <w:t xml:space="preserve">owever, </w:t>
      </w:r>
      <w:r>
        <w:rPr>
          <w:sz w:val="22"/>
          <w:szCs w:val="22"/>
        </w:rPr>
        <w:t>compliance testing is stack tests triggered by indications from the CEMS.  A</w:t>
      </w:r>
      <w:r w:rsidR="0017088D">
        <w:rPr>
          <w:sz w:val="22"/>
          <w:szCs w:val="22"/>
        </w:rPr>
        <w:t>ccording to the permit:</w:t>
      </w:r>
    </w:p>
    <w:p w:rsidR="0017088D" w:rsidRDefault="007865AB" w:rsidP="00544E0F">
      <w:pPr>
        <w:pStyle w:val="Default"/>
        <w:spacing w:after="120"/>
        <w:ind w:left="720" w:right="720"/>
        <w:jc w:val="both"/>
        <w:rPr>
          <w:sz w:val="22"/>
          <w:szCs w:val="22"/>
        </w:rPr>
      </w:pPr>
      <w:r>
        <w:rPr>
          <w:sz w:val="22"/>
          <w:szCs w:val="22"/>
        </w:rPr>
        <w:t>“</w:t>
      </w:r>
      <w:r w:rsidR="0017088D" w:rsidRPr="0017088D">
        <w:rPr>
          <w:sz w:val="22"/>
          <w:szCs w:val="22"/>
        </w:rPr>
        <w:t>The CEMS data for CO emissions may be grounds for DEQ to</w:t>
      </w:r>
      <w:r w:rsidR="0017088D">
        <w:rPr>
          <w:sz w:val="22"/>
          <w:szCs w:val="22"/>
        </w:rPr>
        <w:t xml:space="preserve"> </w:t>
      </w:r>
      <w:r w:rsidR="0017088D" w:rsidRPr="0017088D">
        <w:rPr>
          <w:sz w:val="22"/>
          <w:szCs w:val="22"/>
        </w:rPr>
        <w:t>request that a stack test be performed to prove compliance, especially, but not</w:t>
      </w:r>
      <w:r w:rsidR="0017088D">
        <w:rPr>
          <w:sz w:val="22"/>
          <w:szCs w:val="22"/>
        </w:rPr>
        <w:t xml:space="preserve"> </w:t>
      </w:r>
      <w:r w:rsidR="0017088D" w:rsidRPr="0017088D">
        <w:rPr>
          <w:sz w:val="22"/>
          <w:szCs w:val="22"/>
        </w:rPr>
        <w:t>limited to a case in which the permittee has not taken corrective action when the</w:t>
      </w:r>
      <w:r w:rsidR="0017088D">
        <w:rPr>
          <w:sz w:val="22"/>
          <w:szCs w:val="22"/>
        </w:rPr>
        <w:t xml:space="preserve"> </w:t>
      </w:r>
      <w:r w:rsidR="0017088D" w:rsidRPr="0017088D">
        <w:rPr>
          <w:sz w:val="22"/>
          <w:szCs w:val="22"/>
        </w:rPr>
        <w:t>data indicate that a non-compliance condition may exist</w:t>
      </w:r>
      <w:r>
        <w:rPr>
          <w:sz w:val="22"/>
          <w:szCs w:val="22"/>
        </w:rPr>
        <w:t>”</w:t>
      </w:r>
      <w:r w:rsidR="0017088D" w:rsidRPr="0017088D">
        <w:rPr>
          <w:sz w:val="22"/>
          <w:szCs w:val="22"/>
        </w:rPr>
        <w:t>.</w:t>
      </w:r>
    </w:p>
    <w:p w:rsidR="00EF61DD" w:rsidRDefault="00EF61DD" w:rsidP="00544E0F">
      <w:pPr>
        <w:pStyle w:val="Default"/>
        <w:spacing w:after="120"/>
        <w:ind w:left="360" w:right="360"/>
        <w:rPr>
          <w:sz w:val="22"/>
          <w:szCs w:val="22"/>
        </w:rPr>
      </w:pPr>
      <w:r>
        <w:rPr>
          <w:sz w:val="22"/>
          <w:szCs w:val="22"/>
        </w:rPr>
        <w:t>Since the conversion, the Units have been operated on a minimal basis</w:t>
      </w:r>
      <w:r w:rsidR="003E774A">
        <w:rPr>
          <w:sz w:val="22"/>
          <w:szCs w:val="22"/>
        </w:rPr>
        <w:t>.  Among the reasons are the severe NO</w:t>
      </w:r>
      <w:r w:rsidR="003E774A" w:rsidRPr="003E774A">
        <w:rPr>
          <w:sz w:val="22"/>
          <w:szCs w:val="22"/>
          <w:vertAlign w:val="subscript"/>
        </w:rPr>
        <w:t>X</w:t>
      </w:r>
      <w:r w:rsidR="003E774A">
        <w:rPr>
          <w:sz w:val="22"/>
          <w:szCs w:val="22"/>
        </w:rPr>
        <w:t xml:space="preserve"> annual mass emission limit and construction of a new and efficient gas-fueled combined cycle unit</w:t>
      </w:r>
      <w:r>
        <w:rPr>
          <w:sz w:val="22"/>
          <w:szCs w:val="22"/>
        </w:rPr>
        <w:t>.  Today, Units 3 and 4 operate as peaking units on very hot summer days and very cold winter days.  For example, since 2004 Unit 3 has operated at an annual capacity factor ranging from 0.2% to 13.5% while Unit 4 has operated at an annual capacity factor ranging from 0.1% to 11.6%.</w:t>
      </w:r>
    </w:p>
    <w:p w:rsidR="00EF61DD" w:rsidRDefault="00EF61DD" w:rsidP="00544E0F">
      <w:pPr>
        <w:pStyle w:val="Default"/>
        <w:ind w:left="360" w:right="360"/>
        <w:rPr>
          <w:sz w:val="22"/>
          <w:szCs w:val="22"/>
        </w:rPr>
      </w:pPr>
      <w:r>
        <w:rPr>
          <w:sz w:val="22"/>
          <w:szCs w:val="22"/>
        </w:rPr>
        <w:t>Although continuously measured, t</w:t>
      </w:r>
      <w:r w:rsidR="007865AB">
        <w:rPr>
          <w:sz w:val="22"/>
          <w:szCs w:val="22"/>
        </w:rPr>
        <w:t xml:space="preserve">he BACT CO limits for Units 3 and 4 are </w:t>
      </w:r>
      <w:r>
        <w:rPr>
          <w:sz w:val="22"/>
          <w:szCs w:val="22"/>
        </w:rPr>
        <w:t xml:space="preserve">not continuously </w:t>
      </w:r>
      <w:r w:rsidR="007865AB">
        <w:rPr>
          <w:sz w:val="22"/>
          <w:szCs w:val="22"/>
        </w:rPr>
        <w:t xml:space="preserve">enforceable.  The Department contacted the State of Virginia DEQ and was </w:t>
      </w:r>
      <w:r>
        <w:rPr>
          <w:sz w:val="22"/>
          <w:szCs w:val="22"/>
        </w:rPr>
        <w:t xml:space="preserve">able to obtain one test for compliance testing on the 96 MW Unit 3.  An 18-hour </w:t>
      </w:r>
      <w:r w:rsidR="007E5572">
        <w:rPr>
          <w:sz w:val="22"/>
          <w:szCs w:val="22"/>
        </w:rPr>
        <w:t xml:space="preserve">CEMS-based </w:t>
      </w:r>
      <w:r>
        <w:rPr>
          <w:sz w:val="22"/>
          <w:szCs w:val="22"/>
        </w:rPr>
        <w:t xml:space="preserve">record </w:t>
      </w:r>
      <w:r w:rsidR="007E5572">
        <w:rPr>
          <w:sz w:val="22"/>
          <w:szCs w:val="22"/>
        </w:rPr>
        <w:t>i</w:t>
      </w:r>
      <w:r>
        <w:rPr>
          <w:sz w:val="22"/>
          <w:szCs w:val="22"/>
        </w:rPr>
        <w:t xml:space="preserve">s shown </w:t>
      </w:r>
      <w:r w:rsidR="003E774A">
        <w:rPr>
          <w:sz w:val="22"/>
          <w:szCs w:val="22"/>
        </w:rPr>
        <w:t>in Figure 2</w:t>
      </w:r>
      <w:r>
        <w:rPr>
          <w:sz w:val="22"/>
          <w:szCs w:val="22"/>
        </w:rPr>
        <w:t xml:space="preserve">.  </w:t>
      </w:r>
    </w:p>
    <w:p w:rsidR="00EF61DD" w:rsidRDefault="007E5572" w:rsidP="00970E27">
      <w:pPr>
        <w:pStyle w:val="Default"/>
        <w:ind w:left="270" w:right="360"/>
        <w:rPr>
          <w:sz w:val="22"/>
          <w:szCs w:val="22"/>
        </w:rPr>
      </w:pPr>
      <w:r w:rsidRPr="007E5572">
        <w:rPr>
          <w:noProof/>
          <w:szCs w:val="22"/>
        </w:rPr>
        <w:drawing>
          <wp:inline distT="0" distB="0" distL="0" distR="0">
            <wp:extent cx="6078757" cy="3836300"/>
            <wp:effectExtent l="152400" t="114300" r="360143" b="2975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6085709" cy="3840688"/>
                    </a:xfrm>
                    <a:prstGeom prst="rect">
                      <a:avLst/>
                    </a:prstGeom>
                    <a:ln>
                      <a:noFill/>
                    </a:ln>
                    <a:effectLst>
                      <a:outerShdw blurRad="292100" dist="139700" dir="2700000" algn="tl" rotWithShape="0">
                        <a:srgbClr val="333333">
                          <a:alpha val="65000"/>
                        </a:srgbClr>
                      </a:outerShdw>
                    </a:effectLst>
                  </pic:spPr>
                </pic:pic>
              </a:graphicData>
            </a:graphic>
          </wp:inline>
        </w:drawing>
      </w:r>
    </w:p>
    <w:p w:rsidR="007E5572" w:rsidRPr="007E5572" w:rsidRDefault="007E5572" w:rsidP="00544E0F">
      <w:pPr>
        <w:pStyle w:val="Default"/>
        <w:spacing w:after="120"/>
        <w:ind w:left="360"/>
        <w:jc w:val="center"/>
        <w:rPr>
          <w:rFonts w:eastAsia="Calibri"/>
          <w:b/>
          <w:sz w:val="22"/>
          <w:szCs w:val="22"/>
        </w:rPr>
      </w:pPr>
      <w:r w:rsidRPr="007E5572">
        <w:rPr>
          <w:rFonts w:eastAsia="Calibri"/>
          <w:b/>
          <w:sz w:val="22"/>
          <w:szCs w:val="22"/>
        </w:rPr>
        <w:t xml:space="preserve">Figure </w:t>
      </w:r>
      <w:r>
        <w:rPr>
          <w:rFonts w:eastAsia="Calibri"/>
          <w:b/>
          <w:sz w:val="22"/>
          <w:szCs w:val="22"/>
        </w:rPr>
        <w:t>2.  CEMS Record used to Demonstrate Compliance at Possum Point Unit 3 (7/18-19, 2011)</w:t>
      </w:r>
    </w:p>
    <w:p w:rsidR="008E197B" w:rsidRDefault="008E197B">
      <w:pPr>
        <w:rPr>
          <w:color w:val="000000"/>
          <w:sz w:val="22"/>
          <w:szCs w:val="22"/>
        </w:rPr>
      </w:pPr>
      <w:r>
        <w:rPr>
          <w:sz w:val="22"/>
          <w:szCs w:val="22"/>
        </w:rPr>
        <w:br w:type="page"/>
      </w:r>
    </w:p>
    <w:p w:rsidR="003E774A" w:rsidRDefault="003E774A" w:rsidP="00544E0F">
      <w:pPr>
        <w:pStyle w:val="Default"/>
        <w:spacing w:after="120"/>
        <w:ind w:left="360" w:right="360"/>
        <w:rPr>
          <w:sz w:val="22"/>
          <w:szCs w:val="22"/>
        </w:rPr>
      </w:pPr>
      <w:r>
        <w:rPr>
          <w:sz w:val="22"/>
          <w:szCs w:val="22"/>
        </w:rPr>
        <w:lastRenderedPageBreak/>
        <w:t>The results indicate that very low emissions are possible in a small electric generating unit converted from coal to natural gas.  The data are useful because they support the conclusion that Ox-cat is not necessary or cost-effective to achieve low CO values in natural gas-fueled electric power generating units equipped with LNB and meeting low NO</w:t>
      </w:r>
      <w:r w:rsidRPr="00C96F6B">
        <w:rPr>
          <w:sz w:val="22"/>
          <w:szCs w:val="22"/>
          <w:vertAlign w:val="subscript"/>
        </w:rPr>
        <w:t>X</w:t>
      </w:r>
      <w:r>
        <w:rPr>
          <w:sz w:val="22"/>
          <w:szCs w:val="22"/>
        </w:rPr>
        <w:t xml:space="preserve"> values.  Furthermore, the data </w:t>
      </w:r>
      <w:r w:rsidR="00970E27">
        <w:rPr>
          <w:sz w:val="22"/>
          <w:szCs w:val="22"/>
        </w:rPr>
        <w:t xml:space="preserve">are consistent with </w:t>
      </w:r>
      <w:r>
        <w:rPr>
          <w:sz w:val="22"/>
          <w:szCs w:val="22"/>
        </w:rPr>
        <w:t xml:space="preserve">the hypothesis that PSD would not likely have been triggered by the </w:t>
      </w:r>
      <w:r w:rsidR="00970E27">
        <w:rPr>
          <w:sz w:val="22"/>
          <w:szCs w:val="22"/>
        </w:rPr>
        <w:t xml:space="preserve">natural gas </w:t>
      </w:r>
      <w:r>
        <w:rPr>
          <w:sz w:val="22"/>
          <w:szCs w:val="22"/>
        </w:rPr>
        <w:t>conversion project at the Anclote Plant.</w:t>
      </w:r>
    </w:p>
    <w:p w:rsidR="006C6FE1" w:rsidRPr="00BB73DB" w:rsidRDefault="006C6FE1" w:rsidP="00544E0F">
      <w:pPr>
        <w:pStyle w:val="Default"/>
        <w:spacing w:after="60"/>
        <w:ind w:left="360"/>
        <w:rPr>
          <w:sz w:val="22"/>
          <w:szCs w:val="22"/>
          <w:u w:val="single"/>
        </w:rPr>
      </w:pPr>
      <w:r w:rsidRPr="00BB73DB">
        <w:rPr>
          <w:sz w:val="22"/>
          <w:szCs w:val="22"/>
          <w:u w:val="single"/>
        </w:rPr>
        <w:t>Lewis Creek Plant</w:t>
      </w:r>
    </w:p>
    <w:p w:rsidR="006C6FE1" w:rsidRDefault="006C6FE1" w:rsidP="00544E0F">
      <w:pPr>
        <w:pStyle w:val="Default"/>
        <w:spacing w:after="120"/>
        <w:ind w:left="360" w:right="360"/>
        <w:rPr>
          <w:sz w:val="22"/>
          <w:szCs w:val="22"/>
        </w:rPr>
      </w:pPr>
      <w:r>
        <w:rPr>
          <w:sz w:val="22"/>
          <w:szCs w:val="22"/>
        </w:rPr>
        <w:t xml:space="preserve">During discussions with EPA staff, the Lewis Creek Plant (included in the mentioned application table) was pointed out as one that has a low CO limit of 15 parts per million (ppm).  That one was likely included in the table by mistake because the units are actually large gas-fueled combustion turbines operating in combined cycle (with </w:t>
      </w:r>
      <w:r w:rsidR="00970E27">
        <w:rPr>
          <w:sz w:val="22"/>
          <w:szCs w:val="22"/>
        </w:rPr>
        <w:t>heat recovery steam generators</w:t>
      </w:r>
      <w:r>
        <w:rPr>
          <w:sz w:val="22"/>
          <w:szCs w:val="22"/>
        </w:rPr>
        <w:t>) that are usually characterized by very low CO emissions.  The Department typically permits such units with BACT CO limits of 5 ppm and without Ox-cat.</w:t>
      </w:r>
    </w:p>
    <w:p w:rsidR="003E774A" w:rsidRPr="00190FE1" w:rsidRDefault="006C6FE1" w:rsidP="00544E0F">
      <w:pPr>
        <w:pStyle w:val="Default"/>
        <w:spacing w:after="60"/>
        <w:ind w:left="360"/>
        <w:rPr>
          <w:sz w:val="22"/>
          <w:szCs w:val="22"/>
        </w:rPr>
      </w:pPr>
      <w:r w:rsidRPr="006C6FE1">
        <w:rPr>
          <w:sz w:val="22"/>
          <w:szCs w:val="22"/>
          <w:u w:val="single"/>
        </w:rPr>
        <w:t>AES Huntington Beach</w:t>
      </w:r>
      <w:r w:rsidR="00190FE1" w:rsidRPr="00190FE1">
        <w:rPr>
          <w:sz w:val="22"/>
          <w:szCs w:val="22"/>
        </w:rPr>
        <w:t xml:space="preserve"> </w:t>
      </w:r>
      <w:r w:rsidR="00190FE1">
        <w:rPr>
          <w:sz w:val="22"/>
          <w:szCs w:val="22"/>
        </w:rPr>
        <w:t>(not in RACT/BACT/LAER Clearinghouse)</w:t>
      </w:r>
    </w:p>
    <w:p w:rsidR="00E22DE9" w:rsidRDefault="006C6FE1" w:rsidP="00544E0F">
      <w:pPr>
        <w:pStyle w:val="Default"/>
        <w:spacing w:after="120"/>
        <w:ind w:left="360" w:right="360"/>
        <w:rPr>
          <w:sz w:val="22"/>
          <w:szCs w:val="22"/>
        </w:rPr>
      </w:pPr>
      <w:r w:rsidRPr="00BD2EA9">
        <w:rPr>
          <w:sz w:val="22"/>
          <w:szCs w:val="22"/>
        </w:rPr>
        <w:t xml:space="preserve">Huntington Beach Units 3 and 4 are identical </w:t>
      </w:r>
      <w:r w:rsidR="004D5D3D">
        <w:rPr>
          <w:sz w:val="22"/>
          <w:szCs w:val="22"/>
        </w:rPr>
        <w:t>(225 MW)</w:t>
      </w:r>
      <w:r w:rsidR="00970E27">
        <w:rPr>
          <w:sz w:val="22"/>
          <w:szCs w:val="22"/>
        </w:rPr>
        <w:t>, vintage 1950’s,</w:t>
      </w:r>
      <w:r w:rsidR="004D5D3D">
        <w:rPr>
          <w:sz w:val="22"/>
          <w:szCs w:val="22"/>
        </w:rPr>
        <w:t xml:space="preserve"> </w:t>
      </w:r>
      <w:r w:rsidR="00BD2EA9">
        <w:rPr>
          <w:sz w:val="22"/>
          <w:szCs w:val="22"/>
        </w:rPr>
        <w:t xml:space="preserve">natural gas-fueled </w:t>
      </w:r>
      <w:r w:rsidRPr="00BD2EA9">
        <w:rPr>
          <w:sz w:val="22"/>
          <w:szCs w:val="22"/>
        </w:rPr>
        <w:t>steam-electric units</w:t>
      </w:r>
      <w:r w:rsidR="00970E27">
        <w:rPr>
          <w:sz w:val="22"/>
          <w:szCs w:val="22"/>
        </w:rPr>
        <w:t xml:space="preserve"> that were retired from use in 1995.  </w:t>
      </w:r>
      <w:r w:rsidR="004D5D3D">
        <w:rPr>
          <w:sz w:val="22"/>
          <w:szCs w:val="22"/>
        </w:rPr>
        <w:t xml:space="preserve">Subsequent </w:t>
      </w:r>
      <w:r w:rsidR="00970E27">
        <w:rPr>
          <w:sz w:val="22"/>
          <w:szCs w:val="22"/>
        </w:rPr>
        <w:t xml:space="preserve">rebuilding and upgrading </w:t>
      </w:r>
      <w:r w:rsidR="00E22DE9">
        <w:rPr>
          <w:sz w:val="22"/>
          <w:szCs w:val="22"/>
        </w:rPr>
        <w:t xml:space="preserve">was </w:t>
      </w:r>
      <w:r w:rsidR="00E22DE9" w:rsidRPr="00E22DE9">
        <w:rPr>
          <w:sz w:val="22"/>
          <w:szCs w:val="22"/>
        </w:rPr>
        <w:t xml:space="preserve">expedited </w:t>
      </w:r>
      <w:r w:rsidR="00E22DE9">
        <w:rPr>
          <w:sz w:val="22"/>
          <w:szCs w:val="22"/>
        </w:rPr>
        <w:t xml:space="preserve">by </w:t>
      </w:r>
      <w:r w:rsidR="00E22DE9" w:rsidRPr="00E22DE9">
        <w:rPr>
          <w:sz w:val="22"/>
          <w:szCs w:val="22"/>
        </w:rPr>
        <w:t xml:space="preserve">certification pursuant to </w:t>
      </w:r>
      <w:r w:rsidR="00E22DE9">
        <w:rPr>
          <w:sz w:val="22"/>
          <w:szCs w:val="22"/>
        </w:rPr>
        <w:t xml:space="preserve">an </w:t>
      </w:r>
      <w:r w:rsidR="00E22DE9" w:rsidRPr="00E22DE9">
        <w:rPr>
          <w:sz w:val="22"/>
          <w:szCs w:val="22"/>
        </w:rPr>
        <w:t>Executive Order</w:t>
      </w:r>
      <w:r w:rsidR="00E22DE9">
        <w:rPr>
          <w:sz w:val="22"/>
          <w:szCs w:val="22"/>
        </w:rPr>
        <w:t xml:space="preserve"> from the California Governor</w:t>
      </w:r>
      <w:r w:rsidR="004D5D3D">
        <w:rPr>
          <w:sz w:val="22"/>
          <w:szCs w:val="22"/>
        </w:rPr>
        <w:t xml:space="preserve">, Gray Davis, </w:t>
      </w:r>
      <w:r w:rsidR="00E22DE9">
        <w:rPr>
          <w:sz w:val="22"/>
          <w:szCs w:val="22"/>
        </w:rPr>
        <w:t xml:space="preserve">to </w:t>
      </w:r>
      <w:r w:rsidR="00317FDD">
        <w:rPr>
          <w:sz w:val="22"/>
          <w:szCs w:val="22"/>
        </w:rPr>
        <w:t xml:space="preserve">address </w:t>
      </w:r>
      <w:r w:rsidR="00E22DE9" w:rsidRPr="00E22DE9">
        <w:rPr>
          <w:sz w:val="22"/>
          <w:szCs w:val="22"/>
        </w:rPr>
        <w:t>California's electricity supply emergency.</w:t>
      </w:r>
      <w:r w:rsidR="004D5D3D">
        <w:rPr>
          <w:sz w:val="22"/>
          <w:szCs w:val="22"/>
        </w:rPr>
        <w:t xml:space="preserve"> </w:t>
      </w:r>
    </w:p>
    <w:p w:rsidR="00317FDD" w:rsidRDefault="004D5D3D" w:rsidP="00544E0F">
      <w:pPr>
        <w:pStyle w:val="Default"/>
        <w:spacing w:after="120"/>
        <w:ind w:left="360" w:right="360"/>
        <w:rPr>
          <w:sz w:val="22"/>
          <w:szCs w:val="22"/>
        </w:rPr>
      </w:pPr>
      <w:r>
        <w:rPr>
          <w:sz w:val="22"/>
          <w:szCs w:val="22"/>
        </w:rPr>
        <w:t>In May 2001 t</w:t>
      </w:r>
      <w:r w:rsidR="00E22DE9" w:rsidRPr="00E22DE9">
        <w:rPr>
          <w:sz w:val="22"/>
          <w:szCs w:val="22"/>
        </w:rPr>
        <w:t xml:space="preserve">he </w:t>
      </w:r>
      <w:r w:rsidR="005E5089">
        <w:rPr>
          <w:sz w:val="22"/>
          <w:szCs w:val="22"/>
        </w:rPr>
        <w:t xml:space="preserve">California </w:t>
      </w:r>
      <w:r w:rsidR="00E22DE9" w:rsidRPr="00E22DE9">
        <w:rPr>
          <w:sz w:val="22"/>
          <w:szCs w:val="22"/>
        </w:rPr>
        <w:t>Energy Commission approve</w:t>
      </w:r>
      <w:r w:rsidR="00317FDD">
        <w:rPr>
          <w:sz w:val="22"/>
          <w:szCs w:val="22"/>
        </w:rPr>
        <w:t>d</w:t>
      </w:r>
      <w:r w:rsidR="00E22DE9" w:rsidRPr="00E22DE9">
        <w:rPr>
          <w:sz w:val="22"/>
          <w:szCs w:val="22"/>
        </w:rPr>
        <w:t xml:space="preserve"> AES’s proposed 450 megawatt Huntington Beach Units 3 </w:t>
      </w:r>
      <w:r w:rsidR="00317FDD">
        <w:rPr>
          <w:sz w:val="22"/>
          <w:szCs w:val="22"/>
        </w:rPr>
        <w:t xml:space="preserve">and </w:t>
      </w:r>
      <w:r w:rsidR="00E22DE9" w:rsidRPr="00E22DE9">
        <w:rPr>
          <w:sz w:val="22"/>
          <w:szCs w:val="22"/>
        </w:rPr>
        <w:t>4</w:t>
      </w:r>
      <w:r w:rsidR="00317FDD">
        <w:rPr>
          <w:sz w:val="22"/>
          <w:szCs w:val="22"/>
        </w:rPr>
        <w:t xml:space="preserve"> </w:t>
      </w:r>
      <w:r w:rsidR="00E22DE9" w:rsidRPr="00E22DE9">
        <w:rPr>
          <w:sz w:val="22"/>
          <w:szCs w:val="22"/>
        </w:rPr>
        <w:t xml:space="preserve">Retool Project </w:t>
      </w:r>
      <w:r w:rsidR="00317FDD">
        <w:rPr>
          <w:sz w:val="22"/>
          <w:szCs w:val="22"/>
        </w:rPr>
        <w:t>with the following requirements:</w:t>
      </w:r>
    </w:p>
    <w:p w:rsidR="00317FDD" w:rsidRDefault="00317FDD" w:rsidP="00544E0F">
      <w:pPr>
        <w:pStyle w:val="Default"/>
        <w:numPr>
          <w:ilvl w:val="0"/>
          <w:numId w:val="33"/>
        </w:numPr>
        <w:spacing w:before="120" w:after="120"/>
        <w:ind w:left="720" w:right="360"/>
        <w:rPr>
          <w:sz w:val="22"/>
          <w:szCs w:val="22"/>
        </w:rPr>
      </w:pPr>
      <w:r w:rsidRPr="00317FDD">
        <w:rPr>
          <w:sz w:val="22"/>
          <w:szCs w:val="22"/>
        </w:rPr>
        <w:t>Power plant NO</w:t>
      </w:r>
      <w:r w:rsidRPr="00317FDD">
        <w:rPr>
          <w:sz w:val="22"/>
          <w:szCs w:val="22"/>
          <w:vertAlign w:val="subscript"/>
        </w:rPr>
        <w:t>X</w:t>
      </w:r>
      <w:r w:rsidRPr="00317FDD">
        <w:rPr>
          <w:sz w:val="22"/>
          <w:szCs w:val="22"/>
        </w:rPr>
        <w:t xml:space="preserve"> emissions will be minimized by </w:t>
      </w:r>
      <w:r w:rsidR="00970E27">
        <w:rPr>
          <w:sz w:val="22"/>
          <w:szCs w:val="22"/>
        </w:rPr>
        <w:t xml:space="preserve">flue </w:t>
      </w:r>
      <w:r>
        <w:rPr>
          <w:sz w:val="22"/>
          <w:szCs w:val="22"/>
        </w:rPr>
        <w:t>gas recirculation (</w:t>
      </w:r>
      <w:r w:rsidRPr="00317FDD">
        <w:rPr>
          <w:sz w:val="22"/>
          <w:szCs w:val="22"/>
        </w:rPr>
        <w:t>FGR</w:t>
      </w:r>
      <w:r>
        <w:rPr>
          <w:sz w:val="22"/>
          <w:szCs w:val="22"/>
        </w:rPr>
        <w:t>)</w:t>
      </w:r>
      <w:r w:rsidRPr="00317FDD">
        <w:rPr>
          <w:sz w:val="22"/>
          <w:szCs w:val="22"/>
        </w:rPr>
        <w:t xml:space="preserve">, </w:t>
      </w:r>
      <w:r>
        <w:rPr>
          <w:sz w:val="22"/>
          <w:szCs w:val="22"/>
        </w:rPr>
        <w:t xml:space="preserve">LNB </w:t>
      </w:r>
      <w:r w:rsidRPr="00317FDD">
        <w:rPr>
          <w:sz w:val="22"/>
          <w:szCs w:val="22"/>
        </w:rPr>
        <w:t>and Selective Catalytic Reduction (SCR)</w:t>
      </w:r>
      <w:r>
        <w:rPr>
          <w:sz w:val="22"/>
          <w:szCs w:val="22"/>
        </w:rPr>
        <w:t>; and</w:t>
      </w:r>
    </w:p>
    <w:p w:rsidR="00317FDD" w:rsidRDefault="00317FDD" w:rsidP="00544E0F">
      <w:pPr>
        <w:pStyle w:val="Default"/>
        <w:numPr>
          <w:ilvl w:val="0"/>
          <w:numId w:val="33"/>
        </w:numPr>
        <w:spacing w:before="120" w:after="120"/>
        <w:ind w:left="720" w:right="360"/>
        <w:rPr>
          <w:sz w:val="22"/>
          <w:szCs w:val="22"/>
        </w:rPr>
      </w:pPr>
      <w:r w:rsidRPr="00317FDD">
        <w:rPr>
          <w:sz w:val="22"/>
          <w:szCs w:val="22"/>
        </w:rPr>
        <w:t xml:space="preserve">AES shall control CO by using an oxidizing catalyst to meet BACT emission limitations of </w:t>
      </w:r>
      <w:r w:rsidRPr="00317FDD">
        <w:rPr>
          <w:sz w:val="22"/>
          <w:szCs w:val="22"/>
        </w:rPr>
        <w:br/>
        <w:t>5 ppm averaged over one hour.  AES shall install a CEMS for CO.  AES has obtained CO offsets.</w:t>
      </w:r>
    </w:p>
    <w:p w:rsidR="005E5089" w:rsidRDefault="003A7F0D" w:rsidP="00544E0F">
      <w:pPr>
        <w:pStyle w:val="Default"/>
        <w:spacing w:after="120"/>
        <w:ind w:left="360" w:right="360"/>
        <w:rPr>
          <w:sz w:val="22"/>
          <w:szCs w:val="22"/>
        </w:rPr>
      </w:pPr>
      <w:hyperlink r:id="rId20" w:history="1">
        <w:r w:rsidR="005E5089">
          <w:rPr>
            <w:rStyle w:val="Hyperlink"/>
            <w:sz w:val="22"/>
            <w:szCs w:val="22"/>
          </w:rPr>
          <w:t>Link to Certification</w:t>
        </w:r>
      </w:hyperlink>
      <w:r w:rsidR="005E5089">
        <w:rPr>
          <w:sz w:val="22"/>
          <w:szCs w:val="22"/>
        </w:rPr>
        <w:t xml:space="preserve"> .  </w:t>
      </w:r>
      <w:r w:rsidR="00970E27">
        <w:rPr>
          <w:sz w:val="22"/>
          <w:szCs w:val="22"/>
        </w:rPr>
        <w:t>T</w:t>
      </w:r>
      <w:r w:rsidR="004D5D3D">
        <w:rPr>
          <w:sz w:val="22"/>
          <w:szCs w:val="22"/>
        </w:rPr>
        <w:t xml:space="preserve">he units </w:t>
      </w:r>
      <w:r w:rsidR="00074F20">
        <w:rPr>
          <w:sz w:val="22"/>
          <w:szCs w:val="22"/>
        </w:rPr>
        <w:t>were re</w:t>
      </w:r>
      <w:r w:rsidR="004D5D3D">
        <w:rPr>
          <w:sz w:val="22"/>
          <w:szCs w:val="22"/>
        </w:rPr>
        <w:t>started in 2002</w:t>
      </w:r>
      <w:r w:rsidR="00970E27">
        <w:rPr>
          <w:sz w:val="22"/>
          <w:szCs w:val="22"/>
        </w:rPr>
        <w:t xml:space="preserve"> pursuant to the </w:t>
      </w:r>
      <w:r w:rsidR="005E5089">
        <w:rPr>
          <w:sz w:val="22"/>
          <w:szCs w:val="22"/>
        </w:rPr>
        <w:t>certification by the California Energy Commission</w:t>
      </w:r>
      <w:r w:rsidR="00970E27">
        <w:rPr>
          <w:sz w:val="22"/>
          <w:szCs w:val="22"/>
        </w:rPr>
        <w:t xml:space="preserve">.  </w:t>
      </w:r>
    </w:p>
    <w:p w:rsidR="005E5089" w:rsidRDefault="005E5089" w:rsidP="00467E64">
      <w:pPr>
        <w:pStyle w:val="Default"/>
        <w:spacing w:after="120"/>
        <w:ind w:left="360" w:right="360"/>
        <w:rPr>
          <w:sz w:val="22"/>
          <w:szCs w:val="22"/>
        </w:rPr>
      </w:pPr>
      <w:r>
        <w:rPr>
          <w:sz w:val="22"/>
          <w:szCs w:val="22"/>
        </w:rPr>
        <w:t xml:space="preserve">The South Coast AQMD, where Huntington Beach is located, defines BACT for non-attainment pollutants such as CO in the same manner as Lowest Achievable Emission rate (LAER), which makes no provision for cost.  </w:t>
      </w:r>
      <w:r w:rsidR="00970E27">
        <w:rPr>
          <w:sz w:val="22"/>
          <w:szCs w:val="22"/>
        </w:rPr>
        <w:t>T</w:t>
      </w:r>
      <w:r w:rsidR="004D5D3D">
        <w:rPr>
          <w:sz w:val="22"/>
          <w:szCs w:val="22"/>
        </w:rPr>
        <w:t xml:space="preserve">he </w:t>
      </w:r>
      <w:r w:rsidR="00074F20">
        <w:rPr>
          <w:sz w:val="22"/>
          <w:szCs w:val="22"/>
        </w:rPr>
        <w:t>South Coast Air Quality Management District (</w:t>
      </w:r>
      <w:r w:rsidR="00074F20" w:rsidRPr="00BD2EA9">
        <w:rPr>
          <w:sz w:val="22"/>
          <w:szCs w:val="22"/>
        </w:rPr>
        <w:t>AQMD</w:t>
      </w:r>
      <w:r w:rsidR="00074F20">
        <w:rPr>
          <w:sz w:val="22"/>
          <w:szCs w:val="22"/>
        </w:rPr>
        <w:t xml:space="preserve">) </w:t>
      </w:r>
      <w:r w:rsidR="00970E27">
        <w:rPr>
          <w:sz w:val="22"/>
          <w:szCs w:val="22"/>
        </w:rPr>
        <w:t xml:space="preserve">designated the </w:t>
      </w:r>
      <w:r w:rsidR="00074F20">
        <w:rPr>
          <w:sz w:val="22"/>
          <w:szCs w:val="22"/>
        </w:rPr>
        <w:t xml:space="preserve">CO limit as BACT </w:t>
      </w:r>
      <w:r w:rsidR="00970E27">
        <w:rPr>
          <w:sz w:val="22"/>
          <w:szCs w:val="22"/>
        </w:rPr>
        <w:t>in 2006</w:t>
      </w:r>
      <w:r>
        <w:rPr>
          <w:sz w:val="22"/>
          <w:szCs w:val="22"/>
        </w:rPr>
        <w:t xml:space="preserve">.  The SC AQMD report indicates that the units comply with the CO limit and essentially emit zero CO at full load.  </w:t>
      </w:r>
      <w:hyperlink r:id="rId21" w:history="1">
        <w:r w:rsidRPr="00074F20">
          <w:rPr>
            <w:rStyle w:val="Hyperlink"/>
            <w:sz w:val="22"/>
            <w:szCs w:val="22"/>
          </w:rPr>
          <w:t>Link to SCAQDM BACT</w:t>
        </w:r>
      </w:hyperlink>
      <w:r>
        <w:rPr>
          <w:sz w:val="22"/>
          <w:szCs w:val="22"/>
        </w:rPr>
        <w:t xml:space="preserve"> </w:t>
      </w:r>
      <w:r w:rsidR="00F338FA">
        <w:rPr>
          <w:sz w:val="22"/>
          <w:szCs w:val="22"/>
        </w:rPr>
        <w:t xml:space="preserve">.  A short report about the results is available at:  </w:t>
      </w:r>
      <w:hyperlink r:id="rId22" w:history="1">
        <w:r w:rsidR="000A0D20">
          <w:rPr>
            <w:rStyle w:val="Hyperlink"/>
            <w:sz w:val="22"/>
            <w:szCs w:val="22"/>
          </w:rPr>
          <w:t>AES Huntington - Cleanest Plant</w:t>
        </w:r>
      </w:hyperlink>
      <w:r w:rsidR="00143046">
        <w:t xml:space="preserve"> </w:t>
      </w:r>
      <w:r w:rsidR="00F338FA">
        <w:rPr>
          <w:sz w:val="22"/>
          <w:szCs w:val="22"/>
        </w:rPr>
        <w:t xml:space="preserve">.  The results prove that in practice Ox-cat is technically feasible and can greatly reduce CO emissions on natural gas-fueled boilers. </w:t>
      </w:r>
    </w:p>
    <w:p w:rsidR="008F3912" w:rsidRDefault="00190FE1" w:rsidP="00467E64">
      <w:pPr>
        <w:pStyle w:val="Default"/>
        <w:spacing w:after="120"/>
        <w:ind w:left="360" w:right="360"/>
        <w:rPr>
          <w:sz w:val="22"/>
          <w:szCs w:val="22"/>
        </w:rPr>
      </w:pPr>
      <w:r>
        <w:rPr>
          <w:sz w:val="22"/>
          <w:szCs w:val="22"/>
        </w:rPr>
        <w:t xml:space="preserve">The two units were retired in January 2012, but temporarily brought out of retirement due to leaks experienced at Southern California Edison’s San Onofre nuclear units.  Ultimately they must be retired because of offset required by modern projects proposed by AES and Edison Mission Energy.  </w:t>
      </w:r>
      <w:r w:rsidR="00467E64">
        <w:rPr>
          <w:sz w:val="22"/>
          <w:szCs w:val="22"/>
        </w:rPr>
        <w:br/>
      </w:r>
      <w:hyperlink r:id="rId23" w:history="1">
        <w:r w:rsidRPr="00190FE1">
          <w:rPr>
            <w:rStyle w:val="Hyperlink"/>
            <w:sz w:val="22"/>
            <w:szCs w:val="22"/>
          </w:rPr>
          <w:t xml:space="preserve">Link to AES </w:t>
        </w:r>
        <w:r>
          <w:rPr>
            <w:rStyle w:val="Hyperlink"/>
            <w:sz w:val="22"/>
            <w:szCs w:val="22"/>
          </w:rPr>
          <w:t xml:space="preserve">California </w:t>
        </w:r>
        <w:r w:rsidRPr="00190FE1">
          <w:rPr>
            <w:rStyle w:val="Hyperlink"/>
            <w:sz w:val="22"/>
            <w:szCs w:val="22"/>
          </w:rPr>
          <w:t>News</w:t>
        </w:r>
      </w:hyperlink>
      <w:r w:rsidRPr="00190FE1">
        <w:rPr>
          <w:sz w:val="22"/>
          <w:szCs w:val="22"/>
        </w:rPr>
        <w:t xml:space="preserve"> </w:t>
      </w:r>
      <w:r w:rsidR="008F3912">
        <w:rPr>
          <w:sz w:val="22"/>
          <w:szCs w:val="22"/>
        </w:rPr>
        <w:t>.</w:t>
      </w:r>
    </w:p>
    <w:p w:rsidR="008F3912" w:rsidRPr="00190FE1" w:rsidRDefault="008F3912" w:rsidP="00467E64">
      <w:pPr>
        <w:pStyle w:val="Default"/>
        <w:spacing w:after="60"/>
        <w:ind w:left="360"/>
        <w:rPr>
          <w:sz w:val="22"/>
          <w:szCs w:val="22"/>
          <w:u w:val="single"/>
        </w:rPr>
      </w:pPr>
      <w:r>
        <w:rPr>
          <w:sz w:val="22"/>
          <w:szCs w:val="22"/>
          <w:u w:val="single"/>
        </w:rPr>
        <w:t>C</w:t>
      </w:r>
      <w:r w:rsidR="00467E64">
        <w:rPr>
          <w:sz w:val="22"/>
          <w:szCs w:val="22"/>
          <w:u w:val="single"/>
        </w:rPr>
        <w:t>onclusion from the R</w:t>
      </w:r>
      <w:r>
        <w:rPr>
          <w:sz w:val="22"/>
          <w:szCs w:val="22"/>
          <w:u w:val="single"/>
        </w:rPr>
        <w:t>ACT/BACT/LAER C</w:t>
      </w:r>
      <w:r w:rsidR="00467E64">
        <w:rPr>
          <w:sz w:val="22"/>
          <w:szCs w:val="22"/>
          <w:u w:val="single"/>
        </w:rPr>
        <w:t>learinghouse</w:t>
      </w:r>
    </w:p>
    <w:p w:rsidR="008F3912" w:rsidRDefault="008F3912" w:rsidP="00467E64">
      <w:pPr>
        <w:pStyle w:val="Default"/>
        <w:spacing w:after="120"/>
        <w:ind w:left="360" w:right="360"/>
        <w:rPr>
          <w:sz w:val="22"/>
          <w:szCs w:val="22"/>
        </w:rPr>
      </w:pPr>
      <w:r>
        <w:rPr>
          <w:sz w:val="22"/>
          <w:szCs w:val="22"/>
        </w:rPr>
        <w:t>Clearly, very low CO BACT limits or Ox-cat requirements for small to medium sized natural gas-fueled electric utility boilers exist only under very unusual permitting conditions (e.g. consent orders, LAER, power emergencies).  The only large natural gas-fueled electric utility boiler comparable with Anclote Units 3 and 4 is the 523 M</w:t>
      </w:r>
      <w:r w:rsidR="003B7916">
        <w:rPr>
          <w:sz w:val="22"/>
          <w:szCs w:val="22"/>
        </w:rPr>
        <w:t xml:space="preserve">W Cleco Power Rodemacher Unit 2.  The applicable </w:t>
      </w:r>
      <w:r>
        <w:rPr>
          <w:sz w:val="22"/>
          <w:szCs w:val="22"/>
        </w:rPr>
        <w:t xml:space="preserve">CO BACT limit </w:t>
      </w:r>
      <w:r w:rsidR="003B7916">
        <w:rPr>
          <w:sz w:val="22"/>
          <w:szCs w:val="22"/>
        </w:rPr>
        <w:t xml:space="preserve">for that project is </w:t>
      </w:r>
      <w:r>
        <w:rPr>
          <w:sz w:val="22"/>
          <w:szCs w:val="22"/>
        </w:rPr>
        <w:t>equal to the Department’s determination of 0.15 lb/MMBtu.</w:t>
      </w:r>
    </w:p>
    <w:p w:rsidR="008E197B" w:rsidRDefault="008E197B">
      <w:pPr>
        <w:rPr>
          <w:sz w:val="22"/>
          <w:szCs w:val="22"/>
        </w:rPr>
      </w:pPr>
      <w:r>
        <w:rPr>
          <w:szCs w:val="22"/>
        </w:rPr>
        <w:br w:type="page"/>
      </w:r>
    </w:p>
    <w:p w:rsidR="00467E64" w:rsidRDefault="00467E64" w:rsidP="00467E64">
      <w:pPr>
        <w:pStyle w:val="BodyText3"/>
        <w:numPr>
          <w:ilvl w:val="0"/>
          <w:numId w:val="13"/>
        </w:numPr>
        <w:ind w:left="360" w:hanging="360"/>
        <w:jc w:val="left"/>
        <w:rPr>
          <w:szCs w:val="22"/>
        </w:rPr>
      </w:pPr>
      <w:r>
        <w:rPr>
          <w:szCs w:val="22"/>
        </w:rPr>
        <w:lastRenderedPageBreak/>
        <w:t>DISCUSSION OF ECONOMIC FEASIBILITY OF OX-CAT FOR THIS PROJECT</w:t>
      </w:r>
    </w:p>
    <w:p w:rsidR="00DA0307" w:rsidRDefault="0081286C" w:rsidP="00BB0192">
      <w:pPr>
        <w:pStyle w:val="Default"/>
        <w:spacing w:after="120"/>
        <w:rPr>
          <w:sz w:val="22"/>
          <w:szCs w:val="22"/>
        </w:rPr>
      </w:pPr>
      <w:r>
        <w:rPr>
          <w:sz w:val="22"/>
          <w:szCs w:val="22"/>
        </w:rPr>
        <w:t xml:space="preserve">In the present CO BACT determination, </w:t>
      </w:r>
      <w:r w:rsidR="00B456A7">
        <w:rPr>
          <w:sz w:val="22"/>
          <w:szCs w:val="22"/>
        </w:rPr>
        <w:t>a number of factors will affect the economic feasibility analysis.  These include:</w:t>
      </w:r>
    </w:p>
    <w:p w:rsidR="00B456A7" w:rsidRDefault="00B456A7" w:rsidP="00BB0192">
      <w:pPr>
        <w:pStyle w:val="Default"/>
        <w:numPr>
          <w:ilvl w:val="0"/>
          <w:numId w:val="25"/>
        </w:numPr>
        <w:spacing w:after="120"/>
        <w:ind w:left="360"/>
        <w:rPr>
          <w:sz w:val="22"/>
          <w:szCs w:val="22"/>
        </w:rPr>
      </w:pPr>
      <w:r>
        <w:rPr>
          <w:sz w:val="22"/>
          <w:szCs w:val="22"/>
        </w:rPr>
        <w:t xml:space="preserve">Units 1 and 2 have remaining life through 2024 per the filing with the Florida Public Service Commission regarding the project.  </w:t>
      </w:r>
      <w:hyperlink r:id="rId24" w:history="1">
        <w:r>
          <w:rPr>
            <w:rStyle w:val="Hyperlink"/>
            <w:sz w:val="22"/>
            <w:szCs w:val="22"/>
          </w:rPr>
          <w:t>Link to PSC Filing</w:t>
        </w:r>
      </w:hyperlink>
      <w:r w:rsidRPr="00B456A7">
        <w:rPr>
          <w:sz w:val="22"/>
          <w:szCs w:val="22"/>
        </w:rPr>
        <w:t xml:space="preserve"> </w:t>
      </w:r>
      <w:r>
        <w:rPr>
          <w:sz w:val="22"/>
          <w:szCs w:val="22"/>
        </w:rPr>
        <w:t>;</w:t>
      </w:r>
    </w:p>
    <w:p w:rsidR="00B456A7" w:rsidRDefault="00B456A7" w:rsidP="00BB0192">
      <w:pPr>
        <w:pStyle w:val="Default"/>
        <w:numPr>
          <w:ilvl w:val="0"/>
          <w:numId w:val="25"/>
        </w:numPr>
        <w:spacing w:after="120"/>
        <w:ind w:left="360"/>
        <w:rPr>
          <w:sz w:val="22"/>
          <w:szCs w:val="22"/>
        </w:rPr>
      </w:pPr>
      <w:r>
        <w:rPr>
          <w:sz w:val="22"/>
          <w:szCs w:val="22"/>
        </w:rPr>
        <w:t>Units 1 and 2 are very large and existing units which would require much more work and cost to retrofit with Ox-cat compared with smaller units or incorporation of Ox-cat on units still on the drawing boards;</w:t>
      </w:r>
    </w:p>
    <w:p w:rsidR="0081286C" w:rsidRDefault="0081286C" w:rsidP="00BB0192">
      <w:pPr>
        <w:pStyle w:val="Default"/>
        <w:numPr>
          <w:ilvl w:val="0"/>
          <w:numId w:val="25"/>
        </w:numPr>
        <w:spacing w:after="120"/>
        <w:ind w:left="360"/>
        <w:rPr>
          <w:sz w:val="22"/>
          <w:szCs w:val="22"/>
        </w:rPr>
      </w:pPr>
      <w:r>
        <w:rPr>
          <w:sz w:val="22"/>
          <w:szCs w:val="22"/>
        </w:rPr>
        <w:t>The units will likely achieve less CO emissions than projected (e.g. like Possum Point Units 3 and 4);</w:t>
      </w:r>
    </w:p>
    <w:p w:rsidR="0081286C" w:rsidRDefault="0081286C" w:rsidP="00BB0192">
      <w:pPr>
        <w:pStyle w:val="Default"/>
        <w:numPr>
          <w:ilvl w:val="0"/>
          <w:numId w:val="25"/>
        </w:numPr>
        <w:spacing w:after="120"/>
        <w:ind w:left="360"/>
        <w:rPr>
          <w:sz w:val="22"/>
          <w:szCs w:val="22"/>
        </w:rPr>
      </w:pPr>
      <w:r>
        <w:rPr>
          <w:sz w:val="22"/>
          <w:szCs w:val="22"/>
        </w:rPr>
        <w:t xml:space="preserve">If the applicant had actually collected baseline CO emissions throughout the full operating range of the units as presently operated, then PSD for CO would likely not have been triggered; </w:t>
      </w:r>
    </w:p>
    <w:p w:rsidR="003B7591" w:rsidRDefault="003B7591" w:rsidP="00BB0192">
      <w:pPr>
        <w:pStyle w:val="Default"/>
        <w:numPr>
          <w:ilvl w:val="0"/>
          <w:numId w:val="25"/>
        </w:numPr>
        <w:spacing w:after="120"/>
        <w:ind w:left="360"/>
        <w:rPr>
          <w:sz w:val="22"/>
          <w:szCs w:val="22"/>
        </w:rPr>
      </w:pPr>
      <w:r>
        <w:rPr>
          <w:sz w:val="22"/>
          <w:szCs w:val="22"/>
        </w:rPr>
        <w:t>Good combustion practices are already required, including natural gas firing and close coupled overfire air (CCOFA)</w:t>
      </w:r>
      <w:r w:rsidR="00055A85">
        <w:rPr>
          <w:sz w:val="22"/>
          <w:szCs w:val="22"/>
        </w:rPr>
        <w:t>;</w:t>
      </w:r>
    </w:p>
    <w:p w:rsidR="0081286C" w:rsidRDefault="0081286C" w:rsidP="00BB0192">
      <w:pPr>
        <w:pStyle w:val="Default"/>
        <w:numPr>
          <w:ilvl w:val="0"/>
          <w:numId w:val="25"/>
        </w:numPr>
        <w:spacing w:after="120"/>
        <w:ind w:left="360"/>
        <w:rPr>
          <w:sz w:val="22"/>
          <w:szCs w:val="22"/>
        </w:rPr>
      </w:pPr>
      <w:r>
        <w:rPr>
          <w:sz w:val="22"/>
          <w:szCs w:val="22"/>
        </w:rPr>
        <w:t>The project reduces the potential to emit SO</w:t>
      </w:r>
      <w:r w:rsidRPr="004C7238">
        <w:rPr>
          <w:sz w:val="22"/>
          <w:szCs w:val="22"/>
          <w:vertAlign w:val="subscript"/>
        </w:rPr>
        <w:t>2</w:t>
      </w:r>
      <w:r>
        <w:rPr>
          <w:sz w:val="22"/>
          <w:szCs w:val="22"/>
        </w:rPr>
        <w:t xml:space="preserve"> by approximately 120,000 tons/year;</w:t>
      </w:r>
    </w:p>
    <w:p w:rsidR="008F42E9" w:rsidRDefault="008F42E9" w:rsidP="00BB0192">
      <w:pPr>
        <w:pStyle w:val="Default"/>
        <w:numPr>
          <w:ilvl w:val="0"/>
          <w:numId w:val="25"/>
        </w:numPr>
        <w:spacing w:after="120"/>
        <w:ind w:left="360"/>
        <w:rPr>
          <w:sz w:val="22"/>
          <w:szCs w:val="22"/>
        </w:rPr>
      </w:pPr>
      <w:r>
        <w:rPr>
          <w:sz w:val="22"/>
          <w:szCs w:val="22"/>
        </w:rPr>
        <w:t>The project reduces impacts on regional haze at the Chassahowitzka National Wildlife Area (NWA) to the point that the Anclote Plant now models out of any requirement to conduct a best available retrofit technology (BART) determination; and</w:t>
      </w:r>
    </w:p>
    <w:p w:rsidR="0081286C" w:rsidRDefault="0081286C" w:rsidP="00BB0192">
      <w:pPr>
        <w:pStyle w:val="Default"/>
        <w:numPr>
          <w:ilvl w:val="0"/>
          <w:numId w:val="25"/>
        </w:numPr>
        <w:spacing w:after="120"/>
        <w:ind w:left="360"/>
        <w:rPr>
          <w:sz w:val="22"/>
          <w:szCs w:val="22"/>
        </w:rPr>
      </w:pPr>
      <w:r>
        <w:rPr>
          <w:sz w:val="22"/>
          <w:szCs w:val="22"/>
        </w:rPr>
        <w:t xml:space="preserve">Further CO reductions </w:t>
      </w:r>
      <w:r w:rsidR="00055A85">
        <w:rPr>
          <w:sz w:val="22"/>
          <w:szCs w:val="22"/>
        </w:rPr>
        <w:t xml:space="preserve">(other than by Ox-cat) </w:t>
      </w:r>
      <w:r>
        <w:rPr>
          <w:sz w:val="22"/>
          <w:szCs w:val="22"/>
        </w:rPr>
        <w:t>may come at the expense of NO</w:t>
      </w:r>
      <w:r w:rsidRPr="0081286C">
        <w:rPr>
          <w:sz w:val="22"/>
          <w:szCs w:val="22"/>
          <w:vertAlign w:val="subscript"/>
        </w:rPr>
        <w:t>X</w:t>
      </w:r>
      <w:r w:rsidR="008F42E9">
        <w:rPr>
          <w:sz w:val="22"/>
          <w:szCs w:val="22"/>
        </w:rPr>
        <w:t>.</w:t>
      </w:r>
    </w:p>
    <w:p w:rsidR="003B7591" w:rsidRDefault="0013323B" w:rsidP="00BB0192">
      <w:pPr>
        <w:pStyle w:val="Default"/>
        <w:spacing w:after="120"/>
        <w:rPr>
          <w:sz w:val="22"/>
          <w:szCs w:val="22"/>
        </w:rPr>
      </w:pPr>
      <w:r>
        <w:rPr>
          <w:sz w:val="22"/>
          <w:szCs w:val="22"/>
        </w:rPr>
        <w:t xml:space="preserve">In the preliminary determination the Department noted that Department and EPA do not actually have “bright line thresholds for cost-effectiveness”.  </w:t>
      </w:r>
      <w:r w:rsidR="003B7591">
        <w:rPr>
          <w:sz w:val="22"/>
          <w:szCs w:val="22"/>
        </w:rPr>
        <w:t xml:space="preserve">If it is </w:t>
      </w:r>
      <w:r w:rsidR="00A56BF8">
        <w:rPr>
          <w:sz w:val="22"/>
          <w:szCs w:val="22"/>
        </w:rPr>
        <w:t xml:space="preserve">conservatively </w:t>
      </w:r>
      <w:r w:rsidR="003B7591">
        <w:rPr>
          <w:sz w:val="22"/>
          <w:szCs w:val="22"/>
        </w:rPr>
        <w:t xml:space="preserve">assumed that CO emissions will actually be 0.15 lb/MMBtu, then 90% CO reduction by Ox-cat will reduce emissions to 0.015 lb/MMBtu.  If it is </w:t>
      </w:r>
      <w:r w:rsidR="00A56BF8">
        <w:rPr>
          <w:sz w:val="22"/>
          <w:szCs w:val="22"/>
        </w:rPr>
        <w:t xml:space="preserve">very conservatively </w:t>
      </w:r>
      <w:r w:rsidR="003B7591">
        <w:rPr>
          <w:sz w:val="22"/>
          <w:szCs w:val="22"/>
        </w:rPr>
        <w:t xml:space="preserve">assumed that the units will operate at 100% annual capacity factor, then CO emissions will be reduced </w:t>
      </w:r>
      <w:r w:rsidR="00A56BF8">
        <w:rPr>
          <w:sz w:val="22"/>
          <w:szCs w:val="22"/>
        </w:rPr>
        <w:t>by 7,806 tons/year.</w:t>
      </w:r>
      <w:r w:rsidR="003B7591">
        <w:rPr>
          <w:sz w:val="22"/>
          <w:szCs w:val="22"/>
        </w:rPr>
        <w:t xml:space="preserve"> </w:t>
      </w:r>
    </w:p>
    <w:p w:rsidR="0045661D" w:rsidRDefault="00A56BF8" w:rsidP="00BB0192">
      <w:pPr>
        <w:pStyle w:val="Default"/>
        <w:spacing w:after="120"/>
        <w:rPr>
          <w:sz w:val="22"/>
          <w:szCs w:val="22"/>
        </w:rPr>
      </w:pPr>
      <w:r>
        <w:rPr>
          <w:sz w:val="22"/>
          <w:szCs w:val="22"/>
        </w:rPr>
        <w:t xml:space="preserve">The Department accessed a report prepared by URS for the Pulp and Paper industry that included costs of oxidation catalyst for control of hazardous air pollutants from boilers.  </w:t>
      </w:r>
      <w:hyperlink r:id="rId25" w:history="1">
        <w:r w:rsidR="0045661D" w:rsidRPr="0045661D">
          <w:rPr>
            <w:rStyle w:val="Hyperlink"/>
            <w:sz w:val="22"/>
            <w:szCs w:val="22"/>
          </w:rPr>
          <w:t>Link to MACT Pulp and Paper</w:t>
        </w:r>
      </w:hyperlink>
      <w:r w:rsidR="000950A2" w:rsidRPr="0045661D">
        <w:rPr>
          <w:sz w:val="22"/>
          <w:szCs w:val="22"/>
        </w:rPr>
        <w:t xml:space="preserve"> </w:t>
      </w:r>
      <w:r w:rsidR="0045661D">
        <w:rPr>
          <w:sz w:val="22"/>
          <w:szCs w:val="22"/>
        </w:rPr>
        <w:t>.  The capital cost estimate for combustion improvements or Ox-cat for CO control is given as $3,000,000 for a boiler with a heat input rating of 250 MMBtu/hour.  Anclote Units 1 and 2 are each 22 times the size of such a model boiler.  Using a standard 0.6 exponent for scaling up the size of a typical piece of equipment yields a cost estimate of ($3,000,000/unit)x(22)</w:t>
      </w:r>
      <w:r w:rsidR="0045661D">
        <w:rPr>
          <w:sz w:val="22"/>
          <w:szCs w:val="22"/>
          <w:vertAlign w:val="superscript"/>
        </w:rPr>
        <w:t>0.6</w:t>
      </w:r>
      <w:r w:rsidR="0045661D">
        <w:rPr>
          <w:sz w:val="22"/>
          <w:szCs w:val="22"/>
        </w:rPr>
        <w:t xml:space="preserve"> = $19.2 million/unit or $38.4 million.</w:t>
      </w:r>
    </w:p>
    <w:p w:rsidR="009120D1" w:rsidRDefault="000F0094" w:rsidP="00BB0192">
      <w:pPr>
        <w:pStyle w:val="Default"/>
        <w:spacing w:after="120"/>
        <w:rPr>
          <w:sz w:val="22"/>
          <w:szCs w:val="22"/>
        </w:rPr>
      </w:pPr>
      <w:r>
        <w:rPr>
          <w:sz w:val="22"/>
          <w:szCs w:val="22"/>
        </w:rPr>
        <w:t>Th</w:t>
      </w:r>
      <w:r w:rsidR="008F42E9">
        <w:rPr>
          <w:sz w:val="22"/>
          <w:szCs w:val="22"/>
        </w:rPr>
        <w:t xml:space="preserve">e estimated cost of the </w:t>
      </w:r>
      <w:r w:rsidR="00467E64">
        <w:rPr>
          <w:sz w:val="22"/>
          <w:szCs w:val="22"/>
        </w:rPr>
        <w:t xml:space="preserve">natural gas </w:t>
      </w:r>
      <w:r w:rsidR="008F42E9">
        <w:rPr>
          <w:sz w:val="22"/>
          <w:szCs w:val="22"/>
        </w:rPr>
        <w:t>conversion project is $79,000,000 and it will result in massive reduction</w:t>
      </w:r>
      <w:r w:rsidR="00467E64">
        <w:rPr>
          <w:sz w:val="22"/>
          <w:szCs w:val="22"/>
        </w:rPr>
        <w:t>s</w:t>
      </w:r>
      <w:r w:rsidR="008F42E9">
        <w:rPr>
          <w:sz w:val="22"/>
          <w:szCs w:val="22"/>
        </w:rPr>
        <w:t xml:space="preserve"> in SO</w:t>
      </w:r>
      <w:r w:rsidR="008F42E9" w:rsidRPr="008F42E9">
        <w:rPr>
          <w:sz w:val="22"/>
          <w:szCs w:val="22"/>
          <w:vertAlign w:val="subscript"/>
        </w:rPr>
        <w:t>2</w:t>
      </w:r>
      <w:r w:rsidR="008F42E9">
        <w:rPr>
          <w:sz w:val="22"/>
          <w:szCs w:val="22"/>
        </w:rPr>
        <w:t xml:space="preserve"> and substantial reduction in PM, NO</w:t>
      </w:r>
      <w:r w:rsidR="008F42E9" w:rsidRPr="008F42E9">
        <w:rPr>
          <w:sz w:val="22"/>
          <w:szCs w:val="22"/>
          <w:vertAlign w:val="subscript"/>
        </w:rPr>
        <w:t>X</w:t>
      </w:r>
      <w:r w:rsidR="008F42E9">
        <w:rPr>
          <w:sz w:val="22"/>
          <w:szCs w:val="22"/>
        </w:rPr>
        <w:t xml:space="preserve">, GHG and metal HAP.  After conversion to natural gas, there will be practically no organic HAP </w:t>
      </w:r>
      <w:r w:rsidR="00467E64">
        <w:rPr>
          <w:sz w:val="22"/>
          <w:szCs w:val="22"/>
        </w:rPr>
        <w:t xml:space="preserve">emissions </w:t>
      </w:r>
      <w:r w:rsidR="008F42E9">
        <w:rPr>
          <w:sz w:val="22"/>
          <w:szCs w:val="22"/>
        </w:rPr>
        <w:t xml:space="preserve">and the only pollutant </w:t>
      </w:r>
      <w:r w:rsidR="00467E64">
        <w:rPr>
          <w:sz w:val="22"/>
          <w:szCs w:val="22"/>
        </w:rPr>
        <w:t xml:space="preserve">that could be reduced by Ox-cat </w:t>
      </w:r>
      <w:r w:rsidR="008F42E9">
        <w:rPr>
          <w:sz w:val="22"/>
          <w:szCs w:val="22"/>
        </w:rPr>
        <w:t xml:space="preserve">is CO (e.g. in contrast to </w:t>
      </w:r>
      <w:r w:rsidR="00180C20">
        <w:rPr>
          <w:sz w:val="22"/>
          <w:szCs w:val="22"/>
        </w:rPr>
        <w:t xml:space="preserve">organic HAP from </w:t>
      </w:r>
      <w:r w:rsidR="008F42E9">
        <w:rPr>
          <w:sz w:val="22"/>
          <w:szCs w:val="22"/>
        </w:rPr>
        <w:t>biomass units).  The Department does not consider an additional expenditure of $38,400,000 to be cost effective</w:t>
      </w:r>
      <w:r w:rsidR="009120D1">
        <w:rPr>
          <w:sz w:val="22"/>
          <w:szCs w:val="22"/>
        </w:rPr>
        <w:t xml:space="preserve">.  </w:t>
      </w:r>
      <w:r w:rsidR="008F42E9">
        <w:rPr>
          <w:sz w:val="22"/>
          <w:szCs w:val="22"/>
        </w:rPr>
        <w:t>If put on the basis of cost per ton of CO removed, the Department estimates that the cost-effectiveness is approximately $</w:t>
      </w:r>
      <w:r w:rsidR="002508A7">
        <w:rPr>
          <w:sz w:val="22"/>
          <w:szCs w:val="22"/>
        </w:rPr>
        <w:t xml:space="preserve">900 </w:t>
      </w:r>
      <w:r w:rsidR="008F42E9">
        <w:rPr>
          <w:sz w:val="22"/>
          <w:szCs w:val="22"/>
        </w:rPr>
        <w:t>to $</w:t>
      </w:r>
      <w:r w:rsidR="002508A7">
        <w:rPr>
          <w:sz w:val="22"/>
          <w:szCs w:val="22"/>
        </w:rPr>
        <w:t>1,000</w:t>
      </w:r>
      <w:r w:rsidR="008F42E9">
        <w:rPr>
          <w:sz w:val="22"/>
          <w:szCs w:val="22"/>
        </w:rPr>
        <w:t xml:space="preserve">/ton.  </w:t>
      </w:r>
    </w:p>
    <w:p w:rsidR="00841806" w:rsidRDefault="00841806" w:rsidP="003769ED">
      <w:pPr>
        <w:pStyle w:val="Default"/>
        <w:spacing w:after="120"/>
        <w:rPr>
          <w:sz w:val="22"/>
          <w:szCs w:val="22"/>
        </w:rPr>
      </w:pPr>
      <w:r>
        <w:rPr>
          <w:sz w:val="22"/>
          <w:szCs w:val="22"/>
        </w:rPr>
        <w:t>The tendency of many applicants and agencies is to try to show that the cost-effectiveness of Ox-cat control for CO is greater than (</w:t>
      </w:r>
      <w:r w:rsidR="005F348F">
        <w:rPr>
          <w:sz w:val="22"/>
          <w:szCs w:val="22"/>
        </w:rPr>
        <w:t xml:space="preserve">or </w:t>
      </w:r>
      <w:r>
        <w:rPr>
          <w:sz w:val="22"/>
          <w:szCs w:val="22"/>
        </w:rPr>
        <w:t xml:space="preserve">alternatively, less than) a cost-effectiveness value </w:t>
      </w:r>
      <w:r w:rsidR="005F348F">
        <w:rPr>
          <w:sz w:val="22"/>
          <w:szCs w:val="22"/>
        </w:rPr>
        <w:t>of the same order of magnitude</w:t>
      </w:r>
      <w:r>
        <w:rPr>
          <w:sz w:val="22"/>
          <w:szCs w:val="22"/>
        </w:rPr>
        <w:t xml:space="preserve"> characteristic of other criteria pollutants</w:t>
      </w:r>
      <w:r w:rsidR="005F348F">
        <w:rPr>
          <w:sz w:val="22"/>
          <w:szCs w:val="22"/>
        </w:rPr>
        <w:t>,</w:t>
      </w:r>
      <w:r>
        <w:rPr>
          <w:sz w:val="22"/>
          <w:szCs w:val="22"/>
        </w:rPr>
        <w:t xml:space="preserve"> like NO</w:t>
      </w:r>
      <w:r w:rsidRPr="00B67B94">
        <w:rPr>
          <w:sz w:val="22"/>
          <w:szCs w:val="22"/>
          <w:vertAlign w:val="subscript"/>
        </w:rPr>
        <w:t>X</w:t>
      </w:r>
      <w:r>
        <w:rPr>
          <w:sz w:val="22"/>
          <w:szCs w:val="22"/>
        </w:rPr>
        <w:t xml:space="preserve"> and SO</w:t>
      </w:r>
      <w:r w:rsidRPr="00B67B94">
        <w:rPr>
          <w:sz w:val="22"/>
          <w:szCs w:val="22"/>
          <w:vertAlign w:val="subscript"/>
        </w:rPr>
        <w:t>2</w:t>
      </w:r>
      <w:r>
        <w:rPr>
          <w:sz w:val="22"/>
          <w:szCs w:val="22"/>
        </w:rPr>
        <w:t xml:space="preserve">.  Control of the </w:t>
      </w:r>
      <w:r w:rsidR="008C15D3">
        <w:rPr>
          <w:sz w:val="22"/>
          <w:szCs w:val="22"/>
        </w:rPr>
        <w:t>NO</w:t>
      </w:r>
      <w:r w:rsidR="008C15D3" w:rsidRPr="008C15D3">
        <w:rPr>
          <w:sz w:val="22"/>
          <w:szCs w:val="22"/>
          <w:vertAlign w:val="subscript"/>
        </w:rPr>
        <w:t>X</w:t>
      </w:r>
      <w:r w:rsidR="008C15D3">
        <w:rPr>
          <w:sz w:val="22"/>
          <w:szCs w:val="22"/>
        </w:rPr>
        <w:t>, VOC, SO</w:t>
      </w:r>
      <w:r w:rsidR="008C15D3" w:rsidRPr="008C15D3">
        <w:rPr>
          <w:sz w:val="22"/>
          <w:szCs w:val="22"/>
          <w:vertAlign w:val="subscript"/>
        </w:rPr>
        <w:t>2</w:t>
      </w:r>
      <w:r w:rsidR="008C15D3">
        <w:rPr>
          <w:sz w:val="22"/>
          <w:szCs w:val="22"/>
        </w:rPr>
        <w:t xml:space="preserve"> and fine PM </w:t>
      </w:r>
      <w:r>
        <w:rPr>
          <w:sz w:val="22"/>
          <w:szCs w:val="22"/>
        </w:rPr>
        <w:t xml:space="preserve">at costs in the thousands of dollars/ton avoids the externalities (costs) that are </w:t>
      </w:r>
      <w:r w:rsidR="008C15D3">
        <w:rPr>
          <w:sz w:val="22"/>
          <w:szCs w:val="22"/>
        </w:rPr>
        <w:t xml:space="preserve">(depending on the part of the country), </w:t>
      </w:r>
      <w:r w:rsidR="005F348F">
        <w:rPr>
          <w:sz w:val="22"/>
          <w:szCs w:val="22"/>
        </w:rPr>
        <w:t xml:space="preserve">theoretically </w:t>
      </w:r>
      <w:r>
        <w:rPr>
          <w:sz w:val="22"/>
          <w:szCs w:val="22"/>
        </w:rPr>
        <w:t xml:space="preserve">also worth thousands of dollars/ton in </w:t>
      </w:r>
      <w:r w:rsidR="003769ED">
        <w:rPr>
          <w:sz w:val="22"/>
          <w:szCs w:val="22"/>
        </w:rPr>
        <w:t xml:space="preserve">environmental damage from </w:t>
      </w:r>
      <w:r w:rsidR="005F348F">
        <w:rPr>
          <w:sz w:val="22"/>
          <w:szCs w:val="22"/>
        </w:rPr>
        <w:t>haze</w:t>
      </w:r>
      <w:r>
        <w:rPr>
          <w:sz w:val="22"/>
          <w:szCs w:val="22"/>
        </w:rPr>
        <w:t xml:space="preserve">, </w:t>
      </w:r>
      <w:r w:rsidR="003769ED">
        <w:rPr>
          <w:sz w:val="22"/>
          <w:szCs w:val="22"/>
        </w:rPr>
        <w:t xml:space="preserve">health costs, </w:t>
      </w:r>
      <w:r w:rsidR="005F348F">
        <w:rPr>
          <w:sz w:val="22"/>
          <w:szCs w:val="22"/>
        </w:rPr>
        <w:t xml:space="preserve">water body </w:t>
      </w:r>
      <w:r>
        <w:rPr>
          <w:sz w:val="22"/>
          <w:szCs w:val="22"/>
        </w:rPr>
        <w:t>acid</w:t>
      </w:r>
      <w:r w:rsidR="005F348F">
        <w:rPr>
          <w:sz w:val="22"/>
          <w:szCs w:val="22"/>
        </w:rPr>
        <w:t xml:space="preserve">ification, </w:t>
      </w:r>
      <w:r>
        <w:rPr>
          <w:sz w:val="22"/>
          <w:szCs w:val="22"/>
        </w:rPr>
        <w:t>fine partic</w:t>
      </w:r>
      <w:r w:rsidR="008C15D3">
        <w:rPr>
          <w:sz w:val="22"/>
          <w:szCs w:val="22"/>
        </w:rPr>
        <w:t xml:space="preserve">le </w:t>
      </w:r>
      <w:r>
        <w:rPr>
          <w:sz w:val="22"/>
          <w:szCs w:val="22"/>
        </w:rPr>
        <w:t xml:space="preserve">formation, ozone formation, effects on monuments, effects on biota, etc.)  </w:t>
      </w:r>
    </w:p>
    <w:p w:rsidR="00CE0095" w:rsidRDefault="00592D4A" w:rsidP="00BB0192">
      <w:pPr>
        <w:pStyle w:val="Default"/>
        <w:spacing w:after="120"/>
        <w:rPr>
          <w:sz w:val="22"/>
          <w:szCs w:val="22"/>
        </w:rPr>
      </w:pPr>
      <w:r>
        <w:rPr>
          <w:sz w:val="22"/>
          <w:szCs w:val="22"/>
        </w:rPr>
        <w:t xml:space="preserve">A few agencies have studied the matter in greater depth </w:t>
      </w:r>
      <w:r w:rsidR="00B869EF">
        <w:rPr>
          <w:sz w:val="22"/>
          <w:szCs w:val="22"/>
        </w:rPr>
        <w:t xml:space="preserve">and used </w:t>
      </w:r>
      <w:r>
        <w:rPr>
          <w:sz w:val="22"/>
          <w:szCs w:val="22"/>
        </w:rPr>
        <w:t>more realistic cost-effectiveness threshold</w:t>
      </w:r>
      <w:r w:rsidR="008C15D3">
        <w:rPr>
          <w:sz w:val="22"/>
          <w:szCs w:val="22"/>
        </w:rPr>
        <w:t>s</w:t>
      </w:r>
      <w:r>
        <w:rPr>
          <w:sz w:val="22"/>
          <w:szCs w:val="22"/>
        </w:rPr>
        <w:t xml:space="preserve"> for control of CO.  For example, </w:t>
      </w:r>
      <w:r w:rsidR="00B869EF">
        <w:rPr>
          <w:sz w:val="22"/>
          <w:szCs w:val="22"/>
        </w:rPr>
        <w:t xml:space="preserve">the </w:t>
      </w:r>
      <w:r>
        <w:rPr>
          <w:rFonts w:ascii="BookAntiqua" w:hAnsi="BookAntiqua" w:cs="BookAntiqua"/>
          <w:sz w:val="22"/>
          <w:szCs w:val="22"/>
        </w:rPr>
        <w:t>San Diego Air Pollution Control District (APCD</w:t>
      </w:r>
      <w:r w:rsidR="00B869EF">
        <w:rPr>
          <w:rFonts w:ascii="BookAntiqua" w:hAnsi="BookAntiqua" w:cs="BookAntiqua"/>
          <w:sz w:val="22"/>
          <w:szCs w:val="22"/>
        </w:rPr>
        <w:t>) uses a threshold of $12,000/ton of NO</w:t>
      </w:r>
      <w:r w:rsidR="00B869EF" w:rsidRPr="00B869EF">
        <w:rPr>
          <w:rFonts w:ascii="BookAntiqua" w:hAnsi="BookAntiqua" w:cs="BookAntiqua"/>
          <w:sz w:val="22"/>
          <w:szCs w:val="22"/>
          <w:vertAlign w:val="subscript"/>
        </w:rPr>
        <w:t>X</w:t>
      </w:r>
      <w:r w:rsidR="00B869EF">
        <w:rPr>
          <w:rFonts w:ascii="BookAntiqua" w:hAnsi="BookAntiqua" w:cs="BookAntiqua"/>
          <w:sz w:val="22"/>
          <w:szCs w:val="22"/>
        </w:rPr>
        <w:t xml:space="preserve"> or VOC removed to determine cost-effectiveness.  When considering CO control, </w:t>
      </w:r>
      <w:r w:rsidR="009B7C40">
        <w:rPr>
          <w:rFonts w:ascii="BookAntiqua" w:hAnsi="BookAntiqua" w:cs="BookAntiqua"/>
          <w:sz w:val="22"/>
          <w:szCs w:val="22"/>
        </w:rPr>
        <w:t xml:space="preserve">San Diego APCD references </w:t>
      </w:r>
      <w:r w:rsidR="001841D1">
        <w:rPr>
          <w:rFonts w:ascii="BookAntiqua" w:hAnsi="BookAntiqua" w:cs="BookAntiqua"/>
          <w:sz w:val="22"/>
          <w:szCs w:val="22"/>
        </w:rPr>
        <w:t xml:space="preserve">the San </w:t>
      </w:r>
      <w:r w:rsidR="009B7C40">
        <w:rPr>
          <w:rFonts w:ascii="BookAntiqua" w:hAnsi="BookAntiqua" w:cs="BookAntiqua"/>
          <w:sz w:val="22"/>
          <w:szCs w:val="22"/>
        </w:rPr>
        <w:t xml:space="preserve">Joaquin Valley </w:t>
      </w:r>
      <w:r w:rsidR="00FF7692">
        <w:rPr>
          <w:rFonts w:ascii="BookAntiqua" w:hAnsi="BookAntiqua" w:cs="BookAntiqua"/>
          <w:sz w:val="22"/>
          <w:szCs w:val="22"/>
        </w:rPr>
        <w:t>A</w:t>
      </w:r>
      <w:r w:rsidR="001841D1">
        <w:rPr>
          <w:rFonts w:ascii="BookAntiqua" w:hAnsi="BookAntiqua" w:cs="BookAntiqua"/>
          <w:sz w:val="22"/>
          <w:szCs w:val="22"/>
        </w:rPr>
        <w:t>PCD</w:t>
      </w:r>
      <w:r w:rsidR="00FF7692">
        <w:rPr>
          <w:rFonts w:ascii="BookAntiqua" w:hAnsi="BookAntiqua" w:cs="BookAntiqua"/>
          <w:sz w:val="22"/>
          <w:szCs w:val="22"/>
        </w:rPr>
        <w:t xml:space="preserve"> </w:t>
      </w:r>
      <w:r w:rsidR="009B7C40">
        <w:rPr>
          <w:rFonts w:ascii="BookAntiqua" w:hAnsi="BookAntiqua" w:cs="BookAntiqua"/>
          <w:sz w:val="22"/>
          <w:szCs w:val="22"/>
        </w:rPr>
        <w:t xml:space="preserve">value of $300/ton.  The South Coast </w:t>
      </w:r>
      <w:r w:rsidR="00B869EF">
        <w:rPr>
          <w:rFonts w:ascii="BookAntiqua" w:hAnsi="BookAntiqua" w:cs="BookAntiqua"/>
          <w:sz w:val="22"/>
          <w:szCs w:val="22"/>
        </w:rPr>
        <w:t>A</w:t>
      </w:r>
      <w:r w:rsidR="001841D1">
        <w:rPr>
          <w:rFonts w:ascii="BookAntiqua" w:hAnsi="BookAntiqua" w:cs="BookAntiqua"/>
          <w:sz w:val="22"/>
          <w:szCs w:val="22"/>
        </w:rPr>
        <w:t>QMD</w:t>
      </w:r>
      <w:r w:rsidR="009B7C40">
        <w:rPr>
          <w:rFonts w:ascii="BookAntiqua" w:hAnsi="BookAntiqua" w:cs="BookAntiqua"/>
          <w:sz w:val="22"/>
          <w:szCs w:val="22"/>
        </w:rPr>
        <w:t xml:space="preserve"> uses a value of </w:t>
      </w:r>
      <w:r w:rsidR="009B7C40">
        <w:rPr>
          <w:rFonts w:ascii="BookAntiqua" w:hAnsi="BookAntiqua" w:cs="BookAntiqua"/>
          <w:sz w:val="22"/>
          <w:szCs w:val="22"/>
        </w:rPr>
        <w:lastRenderedPageBreak/>
        <w:t xml:space="preserve">$400/ton for the attainment areas (notwithstanding that cost is not a consideration in parts of the district that are non-attainment for CO).  </w:t>
      </w:r>
      <w:hyperlink r:id="rId26" w:history="1">
        <w:r w:rsidR="009B7C40">
          <w:rPr>
            <w:rStyle w:val="Hyperlink"/>
            <w:sz w:val="22"/>
            <w:szCs w:val="22"/>
          </w:rPr>
          <w:t>Link to San Diego BACT</w:t>
        </w:r>
      </w:hyperlink>
      <w:r w:rsidR="003769ED">
        <w:rPr>
          <w:sz w:val="22"/>
          <w:szCs w:val="22"/>
        </w:rPr>
        <w:t xml:space="preserve"> .  </w:t>
      </w:r>
    </w:p>
    <w:p w:rsidR="009120D1" w:rsidRDefault="009120D1" w:rsidP="009120D1">
      <w:pPr>
        <w:pStyle w:val="Default"/>
        <w:spacing w:after="120"/>
        <w:rPr>
          <w:sz w:val="22"/>
          <w:szCs w:val="22"/>
        </w:rPr>
      </w:pPr>
      <w:r>
        <w:rPr>
          <w:sz w:val="22"/>
          <w:szCs w:val="22"/>
        </w:rPr>
        <w:t>Per the preliminary determination document, the estimated maximum 1-hour and 8-hour CO impacts from the 500-foot stack serving Units 1 and 2 are estimated at 164 and 31 micrograms per cubic meter</w:t>
      </w:r>
      <w:r w:rsidRPr="008F42E9">
        <w:rPr>
          <w:sz w:val="22"/>
          <w:szCs w:val="22"/>
        </w:rPr>
        <w:t xml:space="preserve"> (µg/m</w:t>
      </w:r>
      <w:r w:rsidRPr="008F42E9">
        <w:rPr>
          <w:sz w:val="22"/>
          <w:szCs w:val="22"/>
          <w:vertAlign w:val="superscript"/>
        </w:rPr>
        <w:t>3</w:t>
      </w:r>
      <w:r>
        <w:rPr>
          <w:sz w:val="22"/>
          <w:szCs w:val="22"/>
        </w:rPr>
        <w:t xml:space="preserve">), respectively.  These values equal 0.14 and 0.03 parts per million (ppm).  </w:t>
      </w:r>
    </w:p>
    <w:p w:rsidR="009120D1" w:rsidRPr="008F42E9" w:rsidRDefault="009120D1" w:rsidP="009120D1">
      <w:pPr>
        <w:pStyle w:val="Default"/>
        <w:spacing w:after="120"/>
        <w:rPr>
          <w:sz w:val="22"/>
          <w:szCs w:val="22"/>
        </w:rPr>
      </w:pPr>
      <w:r>
        <w:rPr>
          <w:sz w:val="22"/>
          <w:szCs w:val="22"/>
        </w:rPr>
        <w:t>The highest 1-hour and 8-hour CO values measured at nearby monitoring stations were 1.5 and 1 ppm, respectively.  For reference, the 1-hour and 8-hour National Ambient Air Quality Standards (NAAQS) are 35 and 9 ppm, respectively.  In other words, the project maximum ground-level impacts of the project are less than 0.5% of the NAAQS.</w:t>
      </w:r>
      <w:r w:rsidR="008C15D3">
        <w:rPr>
          <w:sz w:val="22"/>
          <w:szCs w:val="22"/>
        </w:rPr>
        <w:t xml:space="preserve">  </w:t>
      </w:r>
    </w:p>
    <w:p w:rsidR="008C15D3" w:rsidRDefault="009120D1" w:rsidP="009120D1">
      <w:pPr>
        <w:pStyle w:val="Default"/>
        <w:spacing w:after="120"/>
        <w:rPr>
          <w:sz w:val="22"/>
          <w:szCs w:val="22"/>
        </w:rPr>
      </w:pPr>
      <w:r>
        <w:rPr>
          <w:sz w:val="22"/>
          <w:szCs w:val="22"/>
        </w:rPr>
        <w:t>Gaseous CO does not participate in ozone or fine PM formation and does not persist in the ambient air – ultimately oxidizing to CO</w:t>
      </w:r>
      <w:r w:rsidRPr="00841806">
        <w:rPr>
          <w:sz w:val="22"/>
          <w:szCs w:val="22"/>
          <w:vertAlign w:val="subscript"/>
        </w:rPr>
        <w:t>2</w:t>
      </w:r>
      <w:r>
        <w:rPr>
          <w:sz w:val="22"/>
          <w:szCs w:val="22"/>
        </w:rPr>
        <w:t xml:space="preserve"> (the same product of catalytic oxidation).  </w:t>
      </w:r>
      <w:r w:rsidR="008C15D3">
        <w:rPr>
          <w:sz w:val="22"/>
          <w:szCs w:val="22"/>
        </w:rPr>
        <w:t>No PSD increments have been specified for CO to avoid significant deterioration in Class 1 or Class 2 areas.</w:t>
      </w:r>
    </w:p>
    <w:p w:rsidR="009120D1" w:rsidRDefault="009120D1" w:rsidP="009120D1">
      <w:pPr>
        <w:pStyle w:val="Default"/>
        <w:spacing w:after="120"/>
        <w:rPr>
          <w:sz w:val="22"/>
          <w:szCs w:val="22"/>
        </w:rPr>
      </w:pPr>
      <w:r>
        <w:rPr>
          <w:sz w:val="22"/>
          <w:szCs w:val="22"/>
        </w:rPr>
        <w:t>CO emitted from a plant that easily complies with the NAAQS has virtually no externalities requiring a large investment to avoid.  When not masking or acting as a surrogate for other pollutants (like organic HAP, VOC or soot), CO emitted from a tall stack has minimal environmental impact.</w:t>
      </w:r>
    </w:p>
    <w:p w:rsidR="009120D1" w:rsidRDefault="009120D1" w:rsidP="009120D1">
      <w:pPr>
        <w:autoSpaceDE w:val="0"/>
        <w:autoSpaceDN w:val="0"/>
        <w:adjustRightInd w:val="0"/>
        <w:spacing w:after="120"/>
        <w:rPr>
          <w:sz w:val="22"/>
          <w:szCs w:val="22"/>
        </w:rPr>
      </w:pPr>
      <w:r w:rsidRPr="000A6CF7">
        <w:rPr>
          <w:sz w:val="22"/>
          <w:szCs w:val="22"/>
        </w:rPr>
        <w:t xml:space="preserve">For reference, </w:t>
      </w:r>
      <w:r>
        <w:rPr>
          <w:sz w:val="22"/>
          <w:szCs w:val="22"/>
        </w:rPr>
        <w:t xml:space="preserve">natural gas-fueled electric generating units (in contrast to coal and oil-fueled electric generating units) are not subject to the Utility NESHAP, Subpart UUUUU including the CO limitations applicable to such units.  </w:t>
      </w:r>
    </w:p>
    <w:p w:rsidR="009120D1" w:rsidRDefault="005F348F" w:rsidP="008C15D3">
      <w:pPr>
        <w:autoSpaceDE w:val="0"/>
        <w:autoSpaceDN w:val="0"/>
        <w:adjustRightInd w:val="0"/>
        <w:spacing w:after="120"/>
        <w:rPr>
          <w:sz w:val="22"/>
          <w:szCs w:val="22"/>
        </w:rPr>
      </w:pPr>
      <w:r>
        <w:rPr>
          <w:sz w:val="22"/>
          <w:szCs w:val="22"/>
        </w:rPr>
        <w:t xml:space="preserve">The Department provided a clear rationale in reducing the proposed limit to 0.15 lb/MMBtu, consistent with its recent determinations for large existing </w:t>
      </w:r>
      <w:r w:rsidRPr="006C7D69">
        <w:rPr>
          <w:sz w:val="22"/>
          <w:szCs w:val="22"/>
        </w:rPr>
        <w:t>units</w:t>
      </w:r>
      <w:r>
        <w:rPr>
          <w:sz w:val="22"/>
          <w:szCs w:val="22"/>
        </w:rPr>
        <w:t xml:space="preserve">.  </w:t>
      </w:r>
      <w:r w:rsidR="008C15D3">
        <w:rPr>
          <w:sz w:val="22"/>
          <w:szCs w:val="22"/>
        </w:rPr>
        <w:t xml:space="preserve">Add-on control of CO by Ox-cat for this project would not bring any other tangible benefits than CO reductions.  </w:t>
      </w:r>
      <w:r>
        <w:rPr>
          <w:sz w:val="22"/>
          <w:szCs w:val="22"/>
        </w:rPr>
        <w:t xml:space="preserve">The Department does not consider Ox-cat to be cost-effective </w:t>
      </w:r>
      <w:r w:rsidR="002508A7">
        <w:rPr>
          <w:sz w:val="22"/>
          <w:szCs w:val="22"/>
        </w:rPr>
        <w:t xml:space="preserve">at $900 to 1,000/ton CO removed </w:t>
      </w:r>
      <w:r>
        <w:rPr>
          <w:sz w:val="22"/>
          <w:szCs w:val="22"/>
        </w:rPr>
        <w:t xml:space="preserve">for large utility boilers converting to natural gas and reiterates </w:t>
      </w:r>
      <w:r w:rsidR="002508A7">
        <w:rPr>
          <w:sz w:val="22"/>
          <w:szCs w:val="22"/>
        </w:rPr>
        <w:t>its previous conclusion</w:t>
      </w:r>
      <w:r>
        <w:rPr>
          <w:sz w:val="22"/>
          <w:szCs w:val="22"/>
        </w:rPr>
        <w:t>.</w:t>
      </w:r>
      <w:r w:rsidR="00180C20">
        <w:rPr>
          <w:sz w:val="22"/>
          <w:szCs w:val="22"/>
        </w:rPr>
        <w:t xml:space="preserve">  </w:t>
      </w:r>
      <w:r w:rsidR="009120D1">
        <w:rPr>
          <w:sz w:val="22"/>
          <w:szCs w:val="22"/>
        </w:rPr>
        <w:t>This determination does not establish a “bright line” for acceptance or rejection of CO control technologies.  Department reserves its authority to issue BACT determinations on a case-by-case basis considering all of the circumstances of each project.</w:t>
      </w:r>
    </w:p>
    <w:p w:rsidR="00707C29" w:rsidRDefault="00B16753" w:rsidP="00707C29">
      <w:pPr>
        <w:pStyle w:val="BodyText3"/>
        <w:numPr>
          <w:ilvl w:val="0"/>
          <w:numId w:val="13"/>
        </w:numPr>
        <w:ind w:left="360" w:hanging="360"/>
        <w:jc w:val="left"/>
        <w:rPr>
          <w:szCs w:val="22"/>
        </w:rPr>
      </w:pPr>
      <w:r>
        <w:rPr>
          <w:szCs w:val="22"/>
        </w:rPr>
        <w:t>CONCLUSION</w:t>
      </w:r>
    </w:p>
    <w:p w:rsidR="002508A7" w:rsidRDefault="002508A7" w:rsidP="002508A7">
      <w:pPr>
        <w:pStyle w:val="Default"/>
        <w:spacing w:after="120"/>
        <w:rPr>
          <w:sz w:val="22"/>
          <w:szCs w:val="22"/>
        </w:rPr>
      </w:pPr>
      <w:r>
        <w:rPr>
          <w:sz w:val="22"/>
          <w:szCs w:val="22"/>
        </w:rPr>
        <w:t xml:space="preserve">The applicant, the Department and Region 4 air management staff were all motivated to insure that this permit is issued promptly.  This allows the public and the environment to realize the manifold benefits (including lower electric bills) of the project while complying with multiple federal rules at the earliest possible date.  </w:t>
      </w:r>
    </w:p>
    <w:p w:rsidR="00707C29" w:rsidRDefault="00707C29" w:rsidP="00707C29">
      <w:pPr>
        <w:pStyle w:val="BodyText3"/>
        <w:jc w:val="left"/>
        <w:rPr>
          <w:szCs w:val="22"/>
        </w:rPr>
      </w:pPr>
      <w:r w:rsidRPr="00B41AC1">
        <w:rPr>
          <w:szCs w:val="22"/>
        </w:rPr>
        <w:t xml:space="preserve">The final action of the Department is to issue the permit </w:t>
      </w:r>
      <w:r>
        <w:rPr>
          <w:szCs w:val="22"/>
        </w:rPr>
        <w:t>with changes as indicated above.</w:t>
      </w:r>
    </w:p>
    <w:sectPr w:rsidR="00707C29" w:rsidSect="00BB0192">
      <w:headerReference w:type="default" r:id="rId27"/>
      <w:footerReference w:type="default" r:id="rId28"/>
      <w:pgSz w:w="12240" w:h="15840" w:code="1"/>
      <w:pgMar w:top="720" w:right="1080" w:bottom="720" w:left="1080" w:header="720" w:footer="533"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81C" w:rsidRDefault="00D6581C">
      <w:r>
        <w:separator/>
      </w:r>
    </w:p>
  </w:endnote>
  <w:endnote w:type="continuationSeparator" w:id="0">
    <w:p w:rsidR="00D6581C" w:rsidRDefault="00D658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ZWAdobeF">
    <w:panose1 w:val="00000000000000000000"/>
    <w:charset w:val="00"/>
    <w:family w:val="auto"/>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BookAntiqu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81C" w:rsidRPr="00D45DE1" w:rsidRDefault="00D6581C" w:rsidP="004E0D26">
    <w:pPr>
      <w:pBdr>
        <w:top w:val="single" w:sz="6" w:space="1" w:color="auto"/>
      </w:pBdr>
      <w:tabs>
        <w:tab w:val="right" w:pos="10080"/>
      </w:tabs>
      <w:spacing w:before="240"/>
      <w:rPr>
        <w:rStyle w:val="PageNumber"/>
      </w:rPr>
    </w:pPr>
    <w:r>
      <w:rPr>
        <w:rStyle w:val="PageNumber"/>
      </w:rPr>
      <w:t>Anclote Power Plant Units 1 and 2</w:t>
    </w:r>
    <w:r w:rsidRPr="00C761BE">
      <w:rPr>
        <w:rStyle w:val="PageNumber"/>
        <w:color w:val="FF0000"/>
      </w:rPr>
      <w:tab/>
    </w:r>
    <w:r w:rsidRPr="00C761BE">
      <w:rPr>
        <w:rStyle w:val="PageNumber"/>
      </w:rPr>
      <w:t>Air Perm</w:t>
    </w:r>
    <w:r w:rsidRPr="00D45DE1">
      <w:rPr>
        <w:rStyle w:val="PageNumber"/>
      </w:rPr>
      <w:t xml:space="preserve">it No. Project No. </w:t>
    </w:r>
    <w:r w:rsidRPr="00D45DE1">
      <w:t>1010017-013-AC</w:t>
    </w:r>
  </w:p>
  <w:p w:rsidR="00D6581C" w:rsidRPr="00D45DE1" w:rsidRDefault="00D6581C" w:rsidP="004E0D26">
    <w:pPr>
      <w:pBdr>
        <w:top w:val="single" w:sz="6" w:space="1" w:color="auto"/>
      </w:pBdr>
      <w:tabs>
        <w:tab w:val="right" w:pos="10080"/>
      </w:tabs>
    </w:pPr>
    <w:r w:rsidRPr="00D45DE1">
      <w:rPr>
        <w:rStyle w:val="PageNumber"/>
      </w:rPr>
      <w:t>Natural Gas Conversion</w:t>
    </w:r>
    <w:r w:rsidRPr="00D45DE1">
      <w:rPr>
        <w:rStyle w:val="PageNumber"/>
      </w:rPr>
      <w:tab/>
    </w:r>
    <w:r w:rsidRPr="00D45DE1">
      <w:t>PSD-FL-419</w:t>
    </w:r>
  </w:p>
  <w:p w:rsidR="00D6581C" w:rsidRDefault="00D6581C" w:rsidP="00536E44">
    <w:pPr>
      <w:tabs>
        <w:tab w:val="left" w:pos="7344"/>
      </w:tabs>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97248F">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7248F">
      <w:rPr>
        <w:rStyle w:val="PageNumber"/>
        <w:noProof/>
      </w:rPr>
      <w:t>13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81C" w:rsidRDefault="00D6581C">
      <w:r>
        <w:separator/>
      </w:r>
    </w:p>
  </w:footnote>
  <w:footnote w:type="continuationSeparator" w:id="0">
    <w:p w:rsidR="00D6581C" w:rsidRDefault="00D658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81C" w:rsidRPr="00454197" w:rsidRDefault="00D6581C"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427D9"/>
    <w:multiLevelType w:val="hybridMultilevel"/>
    <w:tmpl w:val="DE60B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E170CA"/>
    <w:multiLevelType w:val="hybridMultilevel"/>
    <w:tmpl w:val="6DEEBB30"/>
    <w:lvl w:ilvl="0" w:tplc="8D9AB69E">
      <w:start w:val="1"/>
      <w:numFmt w:val="decimal"/>
      <w:lvlText w:val="%1."/>
      <w:lvlJc w:val="left"/>
      <w:pPr>
        <w:ind w:left="720" w:hanging="360"/>
      </w:pPr>
      <w:rPr>
        <w:rFonts w:hint="default"/>
        <w:sz w:val="22"/>
        <w:szCs w:val="18"/>
      </w:rPr>
    </w:lvl>
    <w:lvl w:ilvl="1" w:tplc="025CE6A8">
      <w:start w:val="1"/>
      <w:numFmt w:val="lowerLetter"/>
      <w:lvlText w:val="%2."/>
      <w:lvlJc w:val="left"/>
      <w:pPr>
        <w:ind w:left="1800" w:hanging="720"/>
      </w:pPr>
      <w:rPr>
        <w:rFonts w:hint="default"/>
        <w:sz w:val="22"/>
        <w:vertAlign w:val="baseli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A42B4"/>
    <w:multiLevelType w:val="hybridMultilevel"/>
    <w:tmpl w:val="D1DCA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A78D7"/>
    <w:multiLevelType w:val="hybridMultilevel"/>
    <w:tmpl w:val="7C1265F2"/>
    <w:lvl w:ilvl="0" w:tplc="AC664908">
      <w:start w:val="6"/>
      <w:numFmt w:val="lowerLetter"/>
      <w:lvlText w:val="%1."/>
      <w:lvlJc w:val="left"/>
      <w:pPr>
        <w:tabs>
          <w:tab w:val="num" w:pos="2020"/>
        </w:tabs>
        <w:ind w:left="2020" w:hanging="940"/>
      </w:pPr>
      <w:rPr>
        <w:rFonts w:hint="default"/>
        <w:u w:val="double"/>
      </w:rPr>
    </w:lvl>
    <w:lvl w:ilvl="1" w:tplc="690EAC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30282D"/>
    <w:multiLevelType w:val="hybridMultilevel"/>
    <w:tmpl w:val="1ACA0F3A"/>
    <w:lvl w:ilvl="0" w:tplc="52864A8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1B70DC"/>
    <w:multiLevelType w:val="hybridMultilevel"/>
    <w:tmpl w:val="F76EECDA"/>
    <w:lvl w:ilvl="0" w:tplc="8FCC0A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5D4F5F"/>
    <w:multiLevelType w:val="hybridMultilevel"/>
    <w:tmpl w:val="68620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D0D251B"/>
    <w:multiLevelType w:val="hybridMultilevel"/>
    <w:tmpl w:val="5EF09F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274ACB"/>
    <w:multiLevelType w:val="hybridMultilevel"/>
    <w:tmpl w:val="215E96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FD5704A"/>
    <w:multiLevelType w:val="hybridMultilevel"/>
    <w:tmpl w:val="1E6A0F38"/>
    <w:lvl w:ilvl="0" w:tplc="7FA8DD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0C341B"/>
    <w:multiLevelType w:val="hybridMultilevel"/>
    <w:tmpl w:val="7466E0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3B87FB3"/>
    <w:multiLevelType w:val="hybridMultilevel"/>
    <w:tmpl w:val="7D20A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CAC109B"/>
    <w:multiLevelType w:val="hybridMultilevel"/>
    <w:tmpl w:val="1ACA0F3A"/>
    <w:lvl w:ilvl="0" w:tplc="52864A8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1183511"/>
    <w:multiLevelType w:val="multilevel"/>
    <w:tmpl w:val="00D2F74E"/>
    <w:lvl w:ilvl="0">
      <w:start w:val="1"/>
      <w:numFmt w:val="decimal"/>
      <w:lvlText w:val="C.%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61452AA"/>
    <w:multiLevelType w:val="hybridMultilevel"/>
    <w:tmpl w:val="49D6EA6A"/>
    <w:lvl w:ilvl="0" w:tplc="BCA22394">
      <w:start w:val="1"/>
      <w:numFmt w:val="decimal"/>
      <w:lvlText w:val="%1."/>
      <w:lvlJc w:val="left"/>
      <w:pPr>
        <w:ind w:left="702" w:hanging="360"/>
      </w:pPr>
      <w:rPr>
        <w:rFonts w:hint="default"/>
        <w:sz w:val="18"/>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nsid w:val="398B39B3"/>
    <w:multiLevelType w:val="hybridMultilevel"/>
    <w:tmpl w:val="49D6EA6A"/>
    <w:lvl w:ilvl="0" w:tplc="BCA22394">
      <w:start w:val="1"/>
      <w:numFmt w:val="decimal"/>
      <w:lvlText w:val="%1."/>
      <w:lvlJc w:val="left"/>
      <w:pPr>
        <w:ind w:left="702" w:hanging="360"/>
      </w:pPr>
      <w:rPr>
        <w:rFonts w:hint="default"/>
        <w:sz w:val="18"/>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nsid w:val="3AA92FA6"/>
    <w:multiLevelType w:val="hybridMultilevel"/>
    <w:tmpl w:val="1FC42BE8"/>
    <w:lvl w:ilvl="0" w:tplc="F3D4AAC2">
      <w:start w:val="6"/>
      <w:numFmt w:val="decimal"/>
      <w:lvlText w:val="(%1)."/>
      <w:lvlJc w:val="left"/>
      <w:pPr>
        <w:tabs>
          <w:tab w:val="num" w:pos="2380"/>
        </w:tabs>
        <w:ind w:left="2380" w:hanging="940"/>
      </w:pPr>
      <w:rPr>
        <w:rFonts w:hint="default"/>
        <w:u w:val="none"/>
      </w:rPr>
    </w:lvl>
    <w:lvl w:ilvl="1" w:tplc="6EB4679A">
      <w:start w:val="1"/>
      <w:numFmt w:val="decimal"/>
      <w:lvlText w:val="(%2)"/>
      <w:lvlJc w:val="left"/>
      <w:pPr>
        <w:ind w:left="1440" w:hanging="360"/>
      </w:pPr>
      <w:rPr>
        <w:rFonts w:ascii="Times New Roman" w:hAnsi="Times New Roman" w:hint="default"/>
        <w:b w:val="0"/>
        <w:i/>
        <w:sz w:val="22"/>
        <w:u w:val="doub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DB1DEA"/>
    <w:multiLevelType w:val="hybridMultilevel"/>
    <w:tmpl w:val="DE60B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855AFD"/>
    <w:multiLevelType w:val="hybridMultilevel"/>
    <w:tmpl w:val="B554C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72264E"/>
    <w:multiLevelType w:val="hybridMultilevel"/>
    <w:tmpl w:val="D542BBE4"/>
    <w:lvl w:ilvl="0" w:tplc="0409000F">
      <w:start w:val="1"/>
      <w:numFmt w:val="decimal"/>
      <w:lvlText w:val="%1."/>
      <w:lvlJc w:val="left"/>
      <w:pPr>
        <w:tabs>
          <w:tab w:val="num" w:pos="720"/>
        </w:tabs>
        <w:ind w:left="720" w:hanging="360"/>
      </w:pPr>
    </w:lvl>
    <w:lvl w:ilvl="1" w:tplc="E312AC40">
      <w:start w:val="1"/>
      <w:numFmt w:val="lowerLetter"/>
      <w:lvlText w:val="%2."/>
      <w:lvlJc w:val="left"/>
      <w:pPr>
        <w:tabs>
          <w:tab w:val="num" w:pos="2020"/>
        </w:tabs>
        <w:ind w:left="2020" w:hanging="9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4F3620D7"/>
    <w:multiLevelType w:val="hybridMultilevel"/>
    <w:tmpl w:val="36A01580"/>
    <w:lvl w:ilvl="0" w:tplc="0409000F">
      <w:start w:val="1"/>
      <w:numFmt w:val="decimal"/>
      <w:lvlText w:val="%1."/>
      <w:lvlJc w:val="left"/>
      <w:pPr>
        <w:tabs>
          <w:tab w:val="num" w:pos="720"/>
        </w:tabs>
        <w:ind w:left="720" w:hanging="360"/>
      </w:pPr>
    </w:lvl>
    <w:lvl w:ilvl="1" w:tplc="C8645B50">
      <w:start w:val="1"/>
      <w:numFmt w:val="lowerLetter"/>
      <w:lvlText w:val="%2."/>
      <w:lvlJc w:val="left"/>
      <w:pPr>
        <w:tabs>
          <w:tab w:val="num" w:pos="2020"/>
        </w:tabs>
        <w:ind w:left="2020" w:hanging="940"/>
      </w:pPr>
      <w:rPr>
        <w:rFonts w:hint="default"/>
        <w:u w:val="doub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8696F85"/>
    <w:multiLevelType w:val="hybridMultilevel"/>
    <w:tmpl w:val="103E66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64B12BD5"/>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CF24F65"/>
    <w:multiLevelType w:val="hybridMultilevel"/>
    <w:tmpl w:val="3138A1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3E3A92"/>
    <w:multiLevelType w:val="hybridMultilevel"/>
    <w:tmpl w:val="B554C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E0359A"/>
    <w:multiLevelType w:val="hybridMultilevel"/>
    <w:tmpl w:val="2E049A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7BAA03D6"/>
    <w:multiLevelType w:val="hybridMultilevel"/>
    <w:tmpl w:val="1ACA0F3A"/>
    <w:lvl w:ilvl="0" w:tplc="52864A8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7"/>
  </w:num>
  <w:num w:numId="3">
    <w:abstractNumId w:val="31"/>
  </w:num>
  <w:num w:numId="4">
    <w:abstractNumId w:val="25"/>
  </w:num>
  <w:num w:numId="5">
    <w:abstractNumId w:val="18"/>
  </w:num>
  <w:num w:numId="6">
    <w:abstractNumId w:val="26"/>
  </w:num>
  <w:num w:numId="7">
    <w:abstractNumId w:val="27"/>
  </w:num>
  <w:num w:numId="8">
    <w:abstractNumId w:val="24"/>
  </w:num>
  <w:num w:numId="9">
    <w:abstractNumId w:val="19"/>
  </w:num>
  <w:num w:numId="10">
    <w:abstractNumId w:val="13"/>
  </w:num>
  <w:num w:numId="11">
    <w:abstractNumId w:val="28"/>
  </w:num>
  <w:num w:numId="12">
    <w:abstractNumId w:val="2"/>
  </w:num>
  <w:num w:numId="13">
    <w:abstractNumId w:val="9"/>
  </w:num>
  <w:num w:numId="14">
    <w:abstractNumId w:val="21"/>
  </w:num>
  <w:num w:numId="15">
    <w:abstractNumId w:val="23"/>
  </w:num>
  <w:num w:numId="16">
    <w:abstractNumId w:val="3"/>
  </w:num>
  <w:num w:numId="17">
    <w:abstractNumId w:val="16"/>
  </w:num>
  <w:num w:numId="18">
    <w:abstractNumId w:val="10"/>
  </w:num>
  <w:num w:numId="19">
    <w:abstractNumId w:val="29"/>
  </w:num>
  <w:num w:numId="20">
    <w:abstractNumId w:val="14"/>
  </w:num>
  <w:num w:numId="21">
    <w:abstractNumId w:val="15"/>
  </w:num>
  <w:num w:numId="22">
    <w:abstractNumId w:val="0"/>
  </w:num>
  <w:num w:numId="23">
    <w:abstractNumId w:val="8"/>
  </w:num>
  <w:num w:numId="24">
    <w:abstractNumId w:val="6"/>
  </w:num>
  <w:num w:numId="25">
    <w:abstractNumId w:val="7"/>
  </w:num>
  <w:num w:numId="26">
    <w:abstractNumId w:val="11"/>
  </w:num>
  <w:num w:numId="27">
    <w:abstractNumId w:val="20"/>
  </w:num>
  <w:num w:numId="28">
    <w:abstractNumId w:val="5"/>
  </w:num>
  <w:num w:numId="29">
    <w:abstractNumId w:val="1"/>
  </w:num>
  <w:num w:numId="30">
    <w:abstractNumId w:val="4"/>
  </w:num>
  <w:num w:numId="31">
    <w:abstractNumId w:val="12"/>
  </w:num>
  <w:num w:numId="32">
    <w:abstractNumId w:val="32"/>
  </w:num>
  <w:num w:numId="3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20"/>
  <w:drawingGridHorizontalSpacing w:val="100"/>
  <w:drawingGridVerticalSpacing w:val="299"/>
  <w:displayHorizontalDrawingGridEvery w:val="0"/>
  <w:noPunctuationKerning/>
  <w:characterSpacingControl w:val="doNotCompress"/>
  <w:hdrShapeDefaults>
    <o:shapedefaults v:ext="edit" spidmax="66561"/>
  </w:hdrShapeDefaults>
  <w:footnotePr>
    <w:footnote w:id="-1"/>
    <w:footnote w:id="0"/>
  </w:footnotePr>
  <w:endnotePr>
    <w:endnote w:id="-1"/>
    <w:endnote w:id="0"/>
  </w:endnotePr>
  <w:compat/>
  <w:rsids>
    <w:rsidRoot w:val="002D3E91"/>
    <w:rsid w:val="00002A1F"/>
    <w:rsid w:val="00004C59"/>
    <w:rsid w:val="0000528C"/>
    <w:rsid w:val="00010BCF"/>
    <w:rsid w:val="000136B4"/>
    <w:rsid w:val="000216E0"/>
    <w:rsid w:val="00022918"/>
    <w:rsid w:val="00055A85"/>
    <w:rsid w:val="00055D34"/>
    <w:rsid w:val="00057DE7"/>
    <w:rsid w:val="00064AC8"/>
    <w:rsid w:val="00065048"/>
    <w:rsid w:val="00074F20"/>
    <w:rsid w:val="0008322C"/>
    <w:rsid w:val="00085AB4"/>
    <w:rsid w:val="000950A2"/>
    <w:rsid w:val="00096136"/>
    <w:rsid w:val="000A0D20"/>
    <w:rsid w:val="000A1577"/>
    <w:rsid w:val="000A6CF7"/>
    <w:rsid w:val="000C0C57"/>
    <w:rsid w:val="000C4844"/>
    <w:rsid w:val="000C5D7B"/>
    <w:rsid w:val="000D0795"/>
    <w:rsid w:val="000D1932"/>
    <w:rsid w:val="000D1F2D"/>
    <w:rsid w:val="000D280E"/>
    <w:rsid w:val="000D5061"/>
    <w:rsid w:val="000D6E87"/>
    <w:rsid w:val="000D7A5C"/>
    <w:rsid w:val="000F0094"/>
    <w:rsid w:val="000F3FF0"/>
    <w:rsid w:val="000F6507"/>
    <w:rsid w:val="00102D41"/>
    <w:rsid w:val="00103CB1"/>
    <w:rsid w:val="00106B44"/>
    <w:rsid w:val="001220BF"/>
    <w:rsid w:val="00125671"/>
    <w:rsid w:val="00127F85"/>
    <w:rsid w:val="001327DE"/>
    <w:rsid w:val="00132BEA"/>
    <w:rsid w:val="0013323B"/>
    <w:rsid w:val="00137C87"/>
    <w:rsid w:val="00143046"/>
    <w:rsid w:val="0014348B"/>
    <w:rsid w:val="001453E2"/>
    <w:rsid w:val="00145EF7"/>
    <w:rsid w:val="001546C9"/>
    <w:rsid w:val="0015671E"/>
    <w:rsid w:val="00164037"/>
    <w:rsid w:val="0017088D"/>
    <w:rsid w:val="00180C20"/>
    <w:rsid w:val="00183990"/>
    <w:rsid w:val="00183ABC"/>
    <w:rsid w:val="001841D1"/>
    <w:rsid w:val="00190FE1"/>
    <w:rsid w:val="001958DD"/>
    <w:rsid w:val="001A5A72"/>
    <w:rsid w:val="001A659A"/>
    <w:rsid w:val="001C288C"/>
    <w:rsid w:val="001C3C6E"/>
    <w:rsid w:val="001D0772"/>
    <w:rsid w:val="001D6374"/>
    <w:rsid w:val="001E2D3E"/>
    <w:rsid w:val="00202068"/>
    <w:rsid w:val="00215D36"/>
    <w:rsid w:val="00220F73"/>
    <w:rsid w:val="0022686A"/>
    <w:rsid w:val="002307EF"/>
    <w:rsid w:val="00240C72"/>
    <w:rsid w:val="002508A7"/>
    <w:rsid w:val="0025697A"/>
    <w:rsid w:val="00266E97"/>
    <w:rsid w:val="00285C0B"/>
    <w:rsid w:val="00285C6A"/>
    <w:rsid w:val="00287C1F"/>
    <w:rsid w:val="002B6663"/>
    <w:rsid w:val="002C004F"/>
    <w:rsid w:val="002C3C77"/>
    <w:rsid w:val="002D3E91"/>
    <w:rsid w:val="002D64D5"/>
    <w:rsid w:val="002D79FA"/>
    <w:rsid w:val="002D7CF2"/>
    <w:rsid w:val="002F3505"/>
    <w:rsid w:val="002F62B7"/>
    <w:rsid w:val="00302553"/>
    <w:rsid w:val="0031277F"/>
    <w:rsid w:val="00312982"/>
    <w:rsid w:val="00313B1D"/>
    <w:rsid w:val="00317FDD"/>
    <w:rsid w:val="00333CC8"/>
    <w:rsid w:val="003360FE"/>
    <w:rsid w:val="0033748C"/>
    <w:rsid w:val="00356426"/>
    <w:rsid w:val="00367557"/>
    <w:rsid w:val="003769ED"/>
    <w:rsid w:val="003770F2"/>
    <w:rsid w:val="00380760"/>
    <w:rsid w:val="00390400"/>
    <w:rsid w:val="003905A0"/>
    <w:rsid w:val="003932D3"/>
    <w:rsid w:val="0039595D"/>
    <w:rsid w:val="003A08F9"/>
    <w:rsid w:val="003A0E83"/>
    <w:rsid w:val="003A5DA0"/>
    <w:rsid w:val="003A7F0D"/>
    <w:rsid w:val="003B4124"/>
    <w:rsid w:val="003B5EB9"/>
    <w:rsid w:val="003B7339"/>
    <w:rsid w:val="003B7591"/>
    <w:rsid w:val="003B76E8"/>
    <w:rsid w:val="003B7916"/>
    <w:rsid w:val="003C45DD"/>
    <w:rsid w:val="003D37E7"/>
    <w:rsid w:val="003E3D62"/>
    <w:rsid w:val="003E71A1"/>
    <w:rsid w:val="003E774A"/>
    <w:rsid w:val="003F6A5E"/>
    <w:rsid w:val="003F7A39"/>
    <w:rsid w:val="00401C11"/>
    <w:rsid w:val="00447FEE"/>
    <w:rsid w:val="00452409"/>
    <w:rsid w:val="00454197"/>
    <w:rsid w:val="0045661D"/>
    <w:rsid w:val="00466FDB"/>
    <w:rsid w:val="00467E64"/>
    <w:rsid w:val="00474923"/>
    <w:rsid w:val="00484651"/>
    <w:rsid w:val="00493023"/>
    <w:rsid w:val="004A1D32"/>
    <w:rsid w:val="004B22A0"/>
    <w:rsid w:val="004B4E5C"/>
    <w:rsid w:val="004B5EEC"/>
    <w:rsid w:val="004B71AD"/>
    <w:rsid w:val="004C0D10"/>
    <w:rsid w:val="004C2C91"/>
    <w:rsid w:val="004C7238"/>
    <w:rsid w:val="004C78F4"/>
    <w:rsid w:val="004D14DF"/>
    <w:rsid w:val="004D5D3D"/>
    <w:rsid w:val="004D71B8"/>
    <w:rsid w:val="004E0D26"/>
    <w:rsid w:val="004E2FB2"/>
    <w:rsid w:val="004E611C"/>
    <w:rsid w:val="00513414"/>
    <w:rsid w:val="0051448A"/>
    <w:rsid w:val="00535566"/>
    <w:rsid w:val="00536E44"/>
    <w:rsid w:val="00542833"/>
    <w:rsid w:val="00544E0F"/>
    <w:rsid w:val="005510CF"/>
    <w:rsid w:val="00554424"/>
    <w:rsid w:val="00555C20"/>
    <w:rsid w:val="00557816"/>
    <w:rsid w:val="005606AE"/>
    <w:rsid w:val="005655F7"/>
    <w:rsid w:val="0057146F"/>
    <w:rsid w:val="0057254D"/>
    <w:rsid w:val="00575FC1"/>
    <w:rsid w:val="0057746C"/>
    <w:rsid w:val="00592D4A"/>
    <w:rsid w:val="00594B65"/>
    <w:rsid w:val="005A3CCF"/>
    <w:rsid w:val="005A4A38"/>
    <w:rsid w:val="005B32B4"/>
    <w:rsid w:val="005B66CB"/>
    <w:rsid w:val="005C17D8"/>
    <w:rsid w:val="005C3481"/>
    <w:rsid w:val="005D6BFF"/>
    <w:rsid w:val="005E447D"/>
    <w:rsid w:val="005E5089"/>
    <w:rsid w:val="005E56F0"/>
    <w:rsid w:val="005F348F"/>
    <w:rsid w:val="00603A4B"/>
    <w:rsid w:val="00604619"/>
    <w:rsid w:val="00606378"/>
    <w:rsid w:val="00620B6A"/>
    <w:rsid w:val="00621396"/>
    <w:rsid w:val="006221C1"/>
    <w:rsid w:val="006401DC"/>
    <w:rsid w:val="00640A18"/>
    <w:rsid w:val="00643AD5"/>
    <w:rsid w:val="00643F19"/>
    <w:rsid w:val="006554FD"/>
    <w:rsid w:val="00663145"/>
    <w:rsid w:val="00667AC9"/>
    <w:rsid w:val="006706AA"/>
    <w:rsid w:val="00676307"/>
    <w:rsid w:val="00681FB8"/>
    <w:rsid w:val="006840AC"/>
    <w:rsid w:val="006C6FE1"/>
    <w:rsid w:val="006C7D69"/>
    <w:rsid w:val="006E7773"/>
    <w:rsid w:val="006E78E2"/>
    <w:rsid w:val="007047E4"/>
    <w:rsid w:val="00707C29"/>
    <w:rsid w:val="007122C7"/>
    <w:rsid w:val="00715C2F"/>
    <w:rsid w:val="00722DCC"/>
    <w:rsid w:val="0072633A"/>
    <w:rsid w:val="00726365"/>
    <w:rsid w:val="00745219"/>
    <w:rsid w:val="00752B7B"/>
    <w:rsid w:val="00771635"/>
    <w:rsid w:val="007865AB"/>
    <w:rsid w:val="0079539C"/>
    <w:rsid w:val="007A0C35"/>
    <w:rsid w:val="007A1395"/>
    <w:rsid w:val="007A2671"/>
    <w:rsid w:val="007B348C"/>
    <w:rsid w:val="007D1CB1"/>
    <w:rsid w:val="007D2E2C"/>
    <w:rsid w:val="007E0174"/>
    <w:rsid w:val="007E42EE"/>
    <w:rsid w:val="007E5572"/>
    <w:rsid w:val="007F0E05"/>
    <w:rsid w:val="008011E4"/>
    <w:rsid w:val="00801AAA"/>
    <w:rsid w:val="00806676"/>
    <w:rsid w:val="0081286C"/>
    <w:rsid w:val="00820C4F"/>
    <w:rsid w:val="008228AE"/>
    <w:rsid w:val="00836F59"/>
    <w:rsid w:val="00837007"/>
    <w:rsid w:val="008403AF"/>
    <w:rsid w:val="00840B62"/>
    <w:rsid w:val="00840D8A"/>
    <w:rsid w:val="00841806"/>
    <w:rsid w:val="0084732C"/>
    <w:rsid w:val="00852FD6"/>
    <w:rsid w:val="00874DA9"/>
    <w:rsid w:val="008823E1"/>
    <w:rsid w:val="00890EB6"/>
    <w:rsid w:val="008A5660"/>
    <w:rsid w:val="008B3816"/>
    <w:rsid w:val="008C0E31"/>
    <w:rsid w:val="008C15D3"/>
    <w:rsid w:val="008E197B"/>
    <w:rsid w:val="008E6AD6"/>
    <w:rsid w:val="008F3912"/>
    <w:rsid w:val="008F42E9"/>
    <w:rsid w:val="00900669"/>
    <w:rsid w:val="00901924"/>
    <w:rsid w:val="00910297"/>
    <w:rsid w:val="009120D1"/>
    <w:rsid w:val="00913AD4"/>
    <w:rsid w:val="0091563B"/>
    <w:rsid w:val="009234D8"/>
    <w:rsid w:val="00925AC3"/>
    <w:rsid w:val="009308FC"/>
    <w:rsid w:val="00931532"/>
    <w:rsid w:val="00932068"/>
    <w:rsid w:val="0093416B"/>
    <w:rsid w:val="0093655D"/>
    <w:rsid w:val="00947C01"/>
    <w:rsid w:val="009534F6"/>
    <w:rsid w:val="009535A6"/>
    <w:rsid w:val="00961574"/>
    <w:rsid w:val="00962D66"/>
    <w:rsid w:val="00963CB0"/>
    <w:rsid w:val="00970E27"/>
    <w:rsid w:val="0097248F"/>
    <w:rsid w:val="00973978"/>
    <w:rsid w:val="00974EC4"/>
    <w:rsid w:val="009B1934"/>
    <w:rsid w:val="009B19E9"/>
    <w:rsid w:val="009B7C40"/>
    <w:rsid w:val="009C59C2"/>
    <w:rsid w:val="009D35D8"/>
    <w:rsid w:val="009D4442"/>
    <w:rsid w:val="009D5695"/>
    <w:rsid w:val="009D67C3"/>
    <w:rsid w:val="009E3C86"/>
    <w:rsid w:val="009E4BB2"/>
    <w:rsid w:val="009F7444"/>
    <w:rsid w:val="00A00B26"/>
    <w:rsid w:val="00A0169E"/>
    <w:rsid w:val="00A0309B"/>
    <w:rsid w:val="00A05957"/>
    <w:rsid w:val="00A12691"/>
    <w:rsid w:val="00A23AEA"/>
    <w:rsid w:val="00A27E51"/>
    <w:rsid w:val="00A317A5"/>
    <w:rsid w:val="00A37E6E"/>
    <w:rsid w:val="00A41597"/>
    <w:rsid w:val="00A51C20"/>
    <w:rsid w:val="00A5261A"/>
    <w:rsid w:val="00A54D7E"/>
    <w:rsid w:val="00A56BF8"/>
    <w:rsid w:val="00A670BC"/>
    <w:rsid w:val="00A8540B"/>
    <w:rsid w:val="00A94F87"/>
    <w:rsid w:val="00AB461A"/>
    <w:rsid w:val="00AC7766"/>
    <w:rsid w:val="00AD35B1"/>
    <w:rsid w:val="00AD4200"/>
    <w:rsid w:val="00AD4E88"/>
    <w:rsid w:val="00AD5E8E"/>
    <w:rsid w:val="00AD67A4"/>
    <w:rsid w:val="00AE3661"/>
    <w:rsid w:val="00AE599C"/>
    <w:rsid w:val="00AE654F"/>
    <w:rsid w:val="00AF0DB7"/>
    <w:rsid w:val="00AF37A1"/>
    <w:rsid w:val="00AF3D2C"/>
    <w:rsid w:val="00AF5ADA"/>
    <w:rsid w:val="00B03113"/>
    <w:rsid w:val="00B16753"/>
    <w:rsid w:val="00B212AF"/>
    <w:rsid w:val="00B212CC"/>
    <w:rsid w:val="00B25A4C"/>
    <w:rsid w:val="00B364BF"/>
    <w:rsid w:val="00B36724"/>
    <w:rsid w:val="00B456A7"/>
    <w:rsid w:val="00B46271"/>
    <w:rsid w:val="00B54F36"/>
    <w:rsid w:val="00B552FD"/>
    <w:rsid w:val="00B56E85"/>
    <w:rsid w:val="00B607D5"/>
    <w:rsid w:val="00B67B94"/>
    <w:rsid w:val="00B67DA2"/>
    <w:rsid w:val="00B726CD"/>
    <w:rsid w:val="00B869EF"/>
    <w:rsid w:val="00B9323B"/>
    <w:rsid w:val="00BA630A"/>
    <w:rsid w:val="00BB0192"/>
    <w:rsid w:val="00BB04E2"/>
    <w:rsid w:val="00BB349C"/>
    <w:rsid w:val="00BB5B78"/>
    <w:rsid w:val="00BB73DB"/>
    <w:rsid w:val="00BC4D72"/>
    <w:rsid w:val="00BD2EA9"/>
    <w:rsid w:val="00C00B2E"/>
    <w:rsid w:val="00C01CA7"/>
    <w:rsid w:val="00C066D1"/>
    <w:rsid w:val="00C13452"/>
    <w:rsid w:val="00C13661"/>
    <w:rsid w:val="00C25499"/>
    <w:rsid w:val="00C520A7"/>
    <w:rsid w:val="00C60B6D"/>
    <w:rsid w:val="00C63E8B"/>
    <w:rsid w:val="00C6409A"/>
    <w:rsid w:val="00C67614"/>
    <w:rsid w:val="00C807D0"/>
    <w:rsid w:val="00C80E3B"/>
    <w:rsid w:val="00C824C7"/>
    <w:rsid w:val="00C902F3"/>
    <w:rsid w:val="00C92F80"/>
    <w:rsid w:val="00C96F6B"/>
    <w:rsid w:val="00CA0433"/>
    <w:rsid w:val="00CA0E83"/>
    <w:rsid w:val="00CA555E"/>
    <w:rsid w:val="00CB4C99"/>
    <w:rsid w:val="00CC097B"/>
    <w:rsid w:val="00CC359D"/>
    <w:rsid w:val="00CD0499"/>
    <w:rsid w:val="00CD3DC3"/>
    <w:rsid w:val="00CD3EC2"/>
    <w:rsid w:val="00CD5E3D"/>
    <w:rsid w:val="00CD7901"/>
    <w:rsid w:val="00CE0095"/>
    <w:rsid w:val="00CE495B"/>
    <w:rsid w:val="00D003C4"/>
    <w:rsid w:val="00D06D3C"/>
    <w:rsid w:val="00D12F31"/>
    <w:rsid w:val="00D1713A"/>
    <w:rsid w:val="00D24EB3"/>
    <w:rsid w:val="00D262E3"/>
    <w:rsid w:val="00D33BCA"/>
    <w:rsid w:val="00D36E0F"/>
    <w:rsid w:val="00D47CEC"/>
    <w:rsid w:val="00D57FE4"/>
    <w:rsid w:val="00D64B3D"/>
    <w:rsid w:val="00D6581C"/>
    <w:rsid w:val="00D8261E"/>
    <w:rsid w:val="00D93BA9"/>
    <w:rsid w:val="00DA0307"/>
    <w:rsid w:val="00DA0E7A"/>
    <w:rsid w:val="00DA12AA"/>
    <w:rsid w:val="00DA1B39"/>
    <w:rsid w:val="00DB5441"/>
    <w:rsid w:val="00DC115B"/>
    <w:rsid w:val="00DC4784"/>
    <w:rsid w:val="00DD69E1"/>
    <w:rsid w:val="00DE25CD"/>
    <w:rsid w:val="00DE7927"/>
    <w:rsid w:val="00DF318D"/>
    <w:rsid w:val="00E03B96"/>
    <w:rsid w:val="00E22DE9"/>
    <w:rsid w:val="00E254EE"/>
    <w:rsid w:val="00E25651"/>
    <w:rsid w:val="00E32A27"/>
    <w:rsid w:val="00E3654B"/>
    <w:rsid w:val="00E41047"/>
    <w:rsid w:val="00E45286"/>
    <w:rsid w:val="00E45DA4"/>
    <w:rsid w:val="00E4653B"/>
    <w:rsid w:val="00E47C85"/>
    <w:rsid w:val="00E50CF4"/>
    <w:rsid w:val="00E64414"/>
    <w:rsid w:val="00E64C85"/>
    <w:rsid w:val="00E714F4"/>
    <w:rsid w:val="00E8727D"/>
    <w:rsid w:val="00E977BA"/>
    <w:rsid w:val="00EB05FB"/>
    <w:rsid w:val="00EB33DE"/>
    <w:rsid w:val="00EB78C7"/>
    <w:rsid w:val="00EC2D57"/>
    <w:rsid w:val="00ED220B"/>
    <w:rsid w:val="00EE4BA2"/>
    <w:rsid w:val="00EF0D34"/>
    <w:rsid w:val="00EF5053"/>
    <w:rsid w:val="00EF61DD"/>
    <w:rsid w:val="00EF7EE8"/>
    <w:rsid w:val="00F05C8E"/>
    <w:rsid w:val="00F064D1"/>
    <w:rsid w:val="00F07298"/>
    <w:rsid w:val="00F073BB"/>
    <w:rsid w:val="00F11A4C"/>
    <w:rsid w:val="00F130F8"/>
    <w:rsid w:val="00F23A4F"/>
    <w:rsid w:val="00F338FA"/>
    <w:rsid w:val="00F34F0E"/>
    <w:rsid w:val="00F657CC"/>
    <w:rsid w:val="00F71B58"/>
    <w:rsid w:val="00F761EE"/>
    <w:rsid w:val="00F77A18"/>
    <w:rsid w:val="00F82A20"/>
    <w:rsid w:val="00F85E1C"/>
    <w:rsid w:val="00FB6F1B"/>
    <w:rsid w:val="00FB7AC6"/>
    <w:rsid w:val="00FD3760"/>
    <w:rsid w:val="00FF76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2409"/>
  </w:style>
  <w:style w:type="paragraph" w:styleId="Heading1">
    <w:name w:val="heading 1"/>
    <w:basedOn w:val="Normal"/>
    <w:next w:val="Normal"/>
    <w:qFormat/>
    <w:rsid w:val="00452409"/>
    <w:pPr>
      <w:keepNext/>
      <w:spacing w:before="120" w:after="120"/>
      <w:outlineLvl w:val="0"/>
    </w:pPr>
    <w:rPr>
      <w:b/>
      <w:sz w:val="22"/>
    </w:rPr>
  </w:style>
  <w:style w:type="paragraph" w:styleId="Heading2">
    <w:name w:val="heading 2"/>
    <w:basedOn w:val="Normal"/>
    <w:next w:val="Normal"/>
    <w:link w:val="Heading2Char"/>
    <w:semiHidden/>
    <w:unhideWhenUsed/>
    <w:qFormat/>
    <w:rsid w:val="0000528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qFormat/>
    <w:rsid w:val="00452409"/>
    <w:pPr>
      <w:keepNext/>
      <w:spacing w:after="120"/>
      <w:jc w:val="both"/>
      <w:outlineLvl w:val="3"/>
    </w:pPr>
    <w:rPr>
      <w:rFonts w:eastAsia="Arial Unicode MS"/>
      <w:sz w:val="22"/>
      <w:u w:val="single"/>
    </w:rPr>
  </w:style>
  <w:style w:type="paragraph" w:styleId="Heading5">
    <w:name w:val="heading 5"/>
    <w:basedOn w:val="Normal"/>
    <w:next w:val="Normal"/>
    <w:qFormat/>
    <w:rsid w:val="00452409"/>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52409"/>
    <w:pPr>
      <w:tabs>
        <w:tab w:val="center" w:pos="4320"/>
        <w:tab w:val="right" w:pos="8640"/>
      </w:tabs>
    </w:pPr>
  </w:style>
  <w:style w:type="paragraph" w:styleId="Footer">
    <w:name w:val="footer"/>
    <w:basedOn w:val="Normal"/>
    <w:rsid w:val="00452409"/>
    <w:pPr>
      <w:tabs>
        <w:tab w:val="center" w:pos="4320"/>
        <w:tab w:val="right" w:pos="8640"/>
      </w:tabs>
    </w:pPr>
  </w:style>
  <w:style w:type="paragraph" w:styleId="BodyText2">
    <w:name w:val="Body Text 2"/>
    <w:basedOn w:val="Normal"/>
    <w:rsid w:val="00452409"/>
    <w:pPr>
      <w:spacing w:after="120"/>
      <w:jc w:val="both"/>
    </w:pPr>
    <w:rPr>
      <w:i/>
      <w:iCs/>
      <w:sz w:val="22"/>
    </w:rPr>
  </w:style>
  <w:style w:type="character" w:styleId="PageNumber">
    <w:name w:val="page number"/>
    <w:basedOn w:val="DefaultParagraphFont"/>
    <w:rsid w:val="00452409"/>
  </w:style>
  <w:style w:type="paragraph" w:styleId="BodyText">
    <w:name w:val="Body Text"/>
    <w:aliases w:val="SCA Body Text,SCA Body Text1,SCA Body Text2,SCA Body Text11"/>
    <w:basedOn w:val="Normal"/>
    <w:rsid w:val="00452409"/>
    <w:pPr>
      <w:spacing w:after="120"/>
    </w:pPr>
    <w:rPr>
      <w:sz w:val="22"/>
    </w:rPr>
  </w:style>
  <w:style w:type="paragraph" w:styleId="BodyText3">
    <w:name w:val="Body Text 3"/>
    <w:basedOn w:val="Normal"/>
    <w:link w:val="BodyText3Char"/>
    <w:rsid w:val="00452409"/>
    <w:pPr>
      <w:spacing w:after="120"/>
      <w:jc w:val="both"/>
    </w:pPr>
    <w:rPr>
      <w:sz w:val="22"/>
    </w:rPr>
  </w:style>
  <w:style w:type="paragraph" w:styleId="Caption">
    <w:name w:val="caption"/>
    <w:basedOn w:val="Normal"/>
    <w:next w:val="Normal"/>
    <w:qFormat/>
    <w:rsid w:val="00E32A27"/>
    <w:pPr>
      <w:spacing w:before="360" w:after="120"/>
    </w:pPr>
    <w:rPr>
      <w:b/>
      <w:caps/>
      <w:sz w:val="22"/>
    </w:rPr>
  </w:style>
  <w:style w:type="paragraph" w:customStyle="1" w:styleId="Default">
    <w:name w:val="Default"/>
    <w:rsid w:val="0039595D"/>
    <w:pPr>
      <w:autoSpaceDE w:val="0"/>
      <w:autoSpaceDN w:val="0"/>
      <w:adjustRightInd w:val="0"/>
    </w:pPr>
    <w:rPr>
      <w:color w:val="000000"/>
      <w:sz w:val="24"/>
      <w:szCs w:val="24"/>
    </w:rPr>
  </w:style>
  <w:style w:type="paragraph" w:styleId="BalloonText">
    <w:name w:val="Balloon Text"/>
    <w:basedOn w:val="Normal"/>
    <w:link w:val="BalloonTextChar"/>
    <w:rsid w:val="00F77A18"/>
    <w:rPr>
      <w:rFonts w:ascii="Tahoma" w:hAnsi="Tahoma" w:cs="Tahoma"/>
      <w:sz w:val="16"/>
      <w:szCs w:val="16"/>
    </w:rPr>
  </w:style>
  <w:style w:type="character" w:customStyle="1" w:styleId="BalloonTextChar">
    <w:name w:val="Balloon Text Char"/>
    <w:basedOn w:val="DefaultParagraphFont"/>
    <w:link w:val="BalloonText"/>
    <w:rsid w:val="00F77A18"/>
    <w:rPr>
      <w:rFonts w:ascii="Tahoma" w:hAnsi="Tahoma" w:cs="Tahoma"/>
      <w:sz w:val="16"/>
      <w:szCs w:val="16"/>
    </w:rPr>
  </w:style>
  <w:style w:type="table" w:styleId="TableGrid">
    <w:name w:val="Table Grid"/>
    <w:basedOn w:val="TableNormal"/>
    <w:rsid w:val="00874D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82A20"/>
    <w:rPr>
      <w:color w:val="0000FF" w:themeColor="hyperlink"/>
      <w:u w:val="single"/>
    </w:rPr>
  </w:style>
  <w:style w:type="character" w:styleId="FollowedHyperlink">
    <w:name w:val="FollowedHyperlink"/>
    <w:basedOn w:val="DefaultParagraphFont"/>
    <w:rsid w:val="00F82A20"/>
    <w:rPr>
      <w:color w:val="800080" w:themeColor="followedHyperlink"/>
      <w:u w:val="single"/>
    </w:rPr>
  </w:style>
  <w:style w:type="paragraph" w:styleId="ListParagraph">
    <w:name w:val="List Paragraph"/>
    <w:basedOn w:val="Normal"/>
    <w:uiPriority w:val="34"/>
    <w:qFormat/>
    <w:rsid w:val="003E3D62"/>
    <w:pPr>
      <w:ind w:left="720"/>
      <w:contextualSpacing/>
    </w:pPr>
  </w:style>
  <w:style w:type="paragraph" w:styleId="BodyTextIndent3">
    <w:name w:val="Body Text Indent 3"/>
    <w:basedOn w:val="Normal"/>
    <w:link w:val="BodyTextIndent3Char"/>
    <w:rsid w:val="008228AE"/>
    <w:pPr>
      <w:spacing w:after="120"/>
      <w:ind w:left="360"/>
    </w:pPr>
    <w:rPr>
      <w:sz w:val="16"/>
      <w:szCs w:val="16"/>
    </w:rPr>
  </w:style>
  <w:style w:type="character" w:customStyle="1" w:styleId="BodyTextIndent3Char">
    <w:name w:val="Body Text Indent 3 Char"/>
    <w:basedOn w:val="DefaultParagraphFont"/>
    <w:link w:val="BodyTextIndent3"/>
    <w:rsid w:val="008228AE"/>
    <w:rPr>
      <w:sz w:val="16"/>
      <w:szCs w:val="16"/>
    </w:rPr>
  </w:style>
  <w:style w:type="character" w:customStyle="1" w:styleId="Heading2Char">
    <w:name w:val="Heading 2 Char"/>
    <w:basedOn w:val="DefaultParagraphFont"/>
    <w:link w:val="Heading2"/>
    <w:semiHidden/>
    <w:rsid w:val="0000528C"/>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rsid w:val="004B71AD"/>
    <w:pPr>
      <w:spacing w:after="120"/>
      <w:ind w:left="360"/>
    </w:pPr>
  </w:style>
  <w:style w:type="character" w:customStyle="1" w:styleId="BodyTextIndentChar">
    <w:name w:val="Body Text Indent Char"/>
    <w:basedOn w:val="DefaultParagraphFont"/>
    <w:link w:val="BodyTextIndent"/>
    <w:rsid w:val="004B71AD"/>
  </w:style>
  <w:style w:type="character" w:customStyle="1" w:styleId="BodyText3Char">
    <w:name w:val="Body Text 3 Char"/>
    <w:basedOn w:val="DefaultParagraphFont"/>
    <w:link w:val="BodyText3"/>
    <w:rsid w:val="00707C29"/>
    <w:rPr>
      <w:sz w:val="22"/>
    </w:rPr>
  </w:style>
</w:styles>
</file>

<file path=word/webSettings.xml><?xml version="1.0" encoding="utf-8"?>
<w:webSettings xmlns:r="http://schemas.openxmlformats.org/officeDocument/2006/relationships" xmlns:w="http://schemas.openxmlformats.org/wordprocessingml/2006/main">
  <w:divs>
    <w:div w:id="208910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m-permit2k.dep.state.fl.us/psd/1010017/U00000419.pdf" TargetMode="External"/><Relationship Id="rId13" Type="http://schemas.openxmlformats.org/officeDocument/2006/relationships/hyperlink" Target="http://www.annualreports.com/HostedData/AnnualReports/PDF/CNL2011.pdf" TargetMode="External"/><Relationship Id="rId18" Type="http://schemas.openxmlformats.org/officeDocument/2006/relationships/hyperlink" Target="http://www.deq.virginia.gov/Portals/0/DEQ/Air/Permitting/TitleVPermits/70225tvmod.10.pdf" TargetMode="External"/><Relationship Id="rId26" Type="http://schemas.openxmlformats.org/officeDocument/2006/relationships/hyperlink" Target="http://www.energy.ca.gov/sitingcases/southbay/documents/applicants/afc/SBRP%20AFC%20Volume%202/Appendix%208.1/Appendix%208.1C%20BACT.pdf" TargetMode="External"/><Relationship Id="rId3" Type="http://schemas.openxmlformats.org/officeDocument/2006/relationships/styles" Target="styles.xml"/><Relationship Id="rId21" Type="http://schemas.openxmlformats.org/officeDocument/2006/relationships/hyperlink" Target="http://www.aqmd.gov/bact/427061-aes-huntington-beach-rev.pdf" TargetMode="External"/><Relationship Id="rId7" Type="http://schemas.openxmlformats.org/officeDocument/2006/relationships/endnotes" Target="endnotes.xml"/><Relationship Id="rId12" Type="http://schemas.openxmlformats.org/officeDocument/2006/relationships/hyperlink" Target="http://www.epa.gov/region4/air/permits/lngpermits/portdolphin/2011_12_1_Port_Dolphin_LNG_Permit.pdf" TargetMode="External"/><Relationship Id="rId17" Type="http://schemas.openxmlformats.org/officeDocument/2006/relationships/hyperlink" Target="http://www.deq.virginia.gov/Portals/0/DEQ/Air/Permitting/TitleVPermits/70225SBR10.pdf" TargetMode="External"/><Relationship Id="rId25" Type="http://schemas.openxmlformats.org/officeDocument/2006/relationships/hyperlink" Target="http://www.whitehouse.gov/sites/default/files/omb/assets/oira_2060/2060_11092011b-4.pdf" TargetMode="External"/><Relationship Id="rId2" Type="http://schemas.openxmlformats.org/officeDocument/2006/relationships/numbering" Target="numbering.xml"/><Relationship Id="rId16" Type="http://schemas.openxmlformats.org/officeDocument/2006/relationships/hyperlink" Target="http://www.epa.gov/compliance/resources/decrees/civil/caa/vepcocd.pdf" TargetMode="External"/><Relationship Id="rId20" Type="http://schemas.openxmlformats.org/officeDocument/2006/relationships/hyperlink" Target="http://www.energy.ca.gov/sitingcases/huntingtonbeach/documents/2001-05-11_HB_COMMISSION_DECISION.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gov/region4/air/permits/lngpermits/portdolphin/PortDolphin_PD_10-13-11.pdf" TargetMode="External"/><Relationship Id="rId24" Type="http://schemas.openxmlformats.org/officeDocument/2006/relationships/hyperlink" Target="http://www.psc.state.fl.us/library/FILINGS/12/04483-12/04483-12.pdf" TargetMode="External"/><Relationship Id="rId5" Type="http://schemas.openxmlformats.org/officeDocument/2006/relationships/webSettings" Target="webSettings.xml"/><Relationship Id="rId15" Type="http://schemas.openxmlformats.org/officeDocument/2006/relationships/hyperlink" Target="http://www.ct.gov/pura/cwp/view.asp?a=3354&amp;q=415186" TargetMode="External"/><Relationship Id="rId23" Type="http://schemas.openxmlformats.org/officeDocument/2006/relationships/hyperlink" Target="http://www.aescalifornia.com/content/new-projects"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arm-permit2k.dep.state.fl.us/psd/1010017/U00000431.PDF" TargetMode="External"/><Relationship Id="rId14" Type="http://schemas.openxmlformats.org/officeDocument/2006/relationships/hyperlink" Target="http://www.ct.gov/dep/lib/dep/public_notice_attachments/draft_permits/2010jan28montvillepowerdraftpermit107-0056.pdf" TargetMode="External"/><Relationship Id="rId22" Type="http://schemas.openxmlformats.org/officeDocument/2006/relationships/hyperlink" Target="http://www.esaenergy.com/downloads/huntington_beach.pdf"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63896-BE0B-4466-8551-B26513E05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13</Pages>
  <Words>6908</Words>
  <Characters>38722</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45539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lastModifiedBy>arif_s</cp:lastModifiedBy>
  <cp:revision>22</cp:revision>
  <cp:lastPrinted>2001-06-12T20:12:00Z</cp:lastPrinted>
  <dcterms:created xsi:type="dcterms:W3CDTF">2012-09-08T18:06:00Z</dcterms:created>
  <dcterms:modified xsi:type="dcterms:W3CDTF">2012-09-13T20:39:00Z</dcterms:modified>
</cp:coreProperties>
</file>