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B5B37" w:rsidRPr="00852BAA" w:rsidRDefault="00A72BE6" w:rsidP="004E5AE2">
      <w:pPr>
        <w:widowControl w:val="0"/>
        <w:spacing w:after="360"/>
        <w:jc w:val="center"/>
        <w:rPr>
          <w:sz w:val="22"/>
          <w:szCs w:val="22"/>
        </w:rPr>
      </w:pPr>
      <w:bookmarkStart w:id="0" w:name="_Ref239042325"/>
      <w:r>
        <w:rPr>
          <w:noProof/>
          <w:sz w:val="32"/>
          <w:szCs w:val="20"/>
        </w:rPr>
        <w:drawing>
          <wp:inline distT="0" distB="0" distL="0" distR="0">
            <wp:extent cx="1719580" cy="1125855"/>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 cstate="print"/>
                    <a:srcRect/>
                    <a:stretch>
                      <a:fillRect/>
                    </a:stretch>
                  </pic:blipFill>
                  <pic:spPr bwMode="auto">
                    <a:xfrm>
                      <a:off x="0" y="0"/>
                      <a:ext cx="1719580" cy="1125855"/>
                    </a:xfrm>
                    <a:prstGeom prst="rect">
                      <a:avLst/>
                    </a:prstGeom>
                    <a:noFill/>
                    <a:ln w="9525">
                      <a:noFill/>
                      <a:miter lim="800000"/>
                      <a:headEnd/>
                      <a:tailEnd/>
                    </a:ln>
                  </pic:spPr>
                </pic:pic>
              </a:graphicData>
            </a:graphic>
          </wp:inline>
        </w:drawing>
      </w:r>
    </w:p>
    <w:p w:rsidR="004E5AE2" w:rsidRPr="004E5AE2" w:rsidRDefault="004E5AE2" w:rsidP="004A4267">
      <w:pPr>
        <w:widowControl w:val="0"/>
        <w:spacing w:after="120"/>
        <w:jc w:val="center"/>
        <w:outlineLvl w:val="2"/>
        <w:rPr>
          <w:b/>
          <w:sz w:val="28"/>
          <w:szCs w:val="28"/>
        </w:rPr>
      </w:pPr>
      <w:r w:rsidRPr="004E5AE2">
        <w:rPr>
          <w:b/>
          <w:sz w:val="28"/>
          <w:szCs w:val="28"/>
        </w:rPr>
        <w:t>TECHNICAL EVALUATION</w:t>
      </w:r>
    </w:p>
    <w:p w:rsidR="004E5AE2" w:rsidRPr="004E5AE2" w:rsidRDefault="004E5AE2" w:rsidP="004A4267">
      <w:pPr>
        <w:widowControl w:val="0"/>
        <w:spacing w:after="120"/>
        <w:jc w:val="center"/>
        <w:rPr>
          <w:b/>
          <w:sz w:val="28"/>
          <w:szCs w:val="28"/>
        </w:rPr>
      </w:pPr>
      <w:r w:rsidRPr="004E5AE2">
        <w:rPr>
          <w:b/>
          <w:sz w:val="28"/>
          <w:szCs w:val="28"/>
        </w:rPr>
        <w:t>&amp;</w:t>
      </w:r>
    </w:p>
    <w:p w:rsidR="004E5AE2" w:rsidRPr="004E5AE2" w:rsidRDefault="004E5AE2" w:rsidP="004A4267">
      <w:pPr>
        <w:widowControl w:val="0"/>
        <w:spacing w:after="600"/>
        <w:jc w:val="center"/>
        <w:rPr>
          <w:b/>
          <w:sz w:val="28"/>
          <w:szCs w:val="28"/>
        </w:rPr>
      </w:pPr>
      <w:r w:rsidRPr="004E5AE2">
        <w:rPr>
          <w:b/>
          <w:sz w:val="28"/>
          <w:szCs w:val="28"/>
        </w:rPr>
        <w:t>PRELIMINARY DETERMINATION</w:t>
      </w:r>
    </w:p>
    <w:p w:rsidR="00BB5B37" w:rsidRPr="00852BAA" w:rsidRDefault="00BB5B37" w:rsidP="004A4267">
      <w:pPr>
        <w:widowControl w:val="0"/>
        <w:spacing w:after="120"/>
        <w:jc w:val="center"/>
        <w:outlineLvl w:val="3"/>
        <w:rPr>
          <w:b/>
          <w:bCs/>
          <w:sz w:val="22"/>
          <w:szCs w:val="22"/>
        </w:rPr>
      </w:pPr>
      <w:r w:rsidRPr="00852BAA">
        <w:rPr>
          <w:b/>
          <w:bCs/>
          <w:sz w:val="22"/>
          <w:szCs w:val="22"/>
        </w:rPr>
        <w:t>APPLICANT</w:t>
      </w:r>
    </w:p>
    <w:p w:rsidR="00BB5B37" w:rsidRPr="00852BAA" w:rsidRDefault="004268AD" w:rsidP="004A4267">
      <w:pPr>
        <w:widowControl w:val="0"/>
        <w:jc w:val="center"/>
        <w:rPr>
          <w:sz w:val="22"/>
          <w:szCs w:val="22"/>
        </w:rPr>
      </w:pPr>
      <w:r w:rsidRPr="004268AD">
        <w:rPr>
          <w:sz w:val="22"/>
          <w:szCs w:val="22"/>
        </w:rPr>
        <w:t>Gainesville Renewable Energy Center</w:t>
      </w:r>
      <w:r w:rsidR="006A110E" w:rsidRPr="006A110E">
        <w:rPr>
          <w:sz w:val="22"/>
          <w:szCs w:val="22"/>
        </w:rPr>
        <w:t>, LLC</w:t>
      </w:r>
    </w:p>
    <w:p w:rsidR="00BB5B37" w:rsidRPr="006A110E" w:rsidRDefault="006A110E" w:rsidP="004A4267">
      <w:pPr>
        <w:widowControl w:val="0"/>
        <w:jc w:val="center"/>
        <w:rPr>
          <w:sz w:val="22"/>
          <w:szCs w:val="22"/>
        </w:rPr>
      </w:pPr>
      <w:r w:rsidRPr="006A110E">
        <w:rPr>
          <w:bCs/>
          <w:sz w:val="22"/>
          <w:szCs w:val="22"/>
        </w:rPr>
        <w:t>20 Park Plaza, Suite 320</w:t>
      </w:r>
    </w:p>
    <w:p w:rsidR="00BB5B37" w:rsidRDefault="006A110E" w:rsidP="004A4267">
      <w:pPr>
        <w:widowControl w:val="0"/>
        <w:spacing w:after="480"/>
        <w:jc w:val="center"/>
        <w:rPr>
          <w:sz w:val="22"/>
          <w:szCs w:val="22"/>
        </w:rPr>
      </w:pPr>
      <w:r>
        <w:rPr>
          <w:sz w:val="22"/>
          <w:szCs w:val="22"/>
        </w:rPr>
        <w:t>Boston</w:t>
      </w:r>
      <w:r w:rsidR="00973C54" w:rsidRPr="00973C54">
        <w:rPr>
          <w:sz w:val="22"/>
          <w:szCs w:val="22"/>
        </w:rPr>
        <w:t xml:space="preserve">, </w:t>
      </w:r>
      <w:r w:rsidRPr="006A110E">
        <w:rPr>
          <w:sz w:val="22"/>
          <w:szCs w:val="22"/>
        </w:rPr>
        <w:t>Massachusetts</w:t>
      </w:r>
      <w:r>
        <w:rPr>
          <w:sz w:val="22"/>
          <w:szCs w:val="22"/>
        </w:rPr>
        <w:t xml:space="preserve"> </w:t>
      </w:r>
      <w:r w:rsidRPr="006A110E">
        <w:rPr>
          <w:bCs/>
          <w:sz w:val="22"/>
          <w:szCs w:val="22"/>
        </w:rPr>
        <w:t>02116</w:t>
      </w:r>
    </w:p>
    <w:p w:rsidR="004A4267" w:rsidRPr="00746205" w:rsidRDefault="004A4267" w:rsidP="004A4267">
      <w:pPr>
        <w:widowControl w:val="0"/>
        <w:spacing w:before="120"/>
        <w:jc w:val="center"/>
        <w:rPr>
          <w:sz w:val="22"/>
          <w:szCs w:val="22"/>
        </w:rPr>
      </w:pPr>
      <w:r>
        <w:rPr>
          <w:sz w:val="22"/>
          <w:szCs w:val="22"/>
        </w:rPr>
        <w:t>Gainesville Renewable Energy Center</w:t>
      </w:r>
    </w:p>
    <w:p w:rsidR="004A4267" w:rsidRDefault="004A4267" w:rsidP="004A4267">
      <w:pPr>
        <w:widowControl w:val="0"/>
        <w:spacing w:after="360"/>
        <w:jc w:val="center"/>
        <w:rPr>
          <w:sz w:val="22"/>
          <w:szCs w:val="22"/>
        </w:rPr>
      </w:pPr>
      <w:r w:rsidRPr="00746205">
        <w:rPr>
          <w:sz w:val="22"/>
          <w:szCs w:val="22"/>
        </w:rPr>
        <w:t xml:space="preserve">ARMS Facility ID No. </w:t>
      </w:r>
      <w:r>
        <w:rPr>
          <w:sz w:val="22"/>
          <w:szCs w:val="22"/>
        </w:rPr>
        <w:t>0010131</w:t>
      </w:r>
    </w:p>
    <w:p w:rsidR="00BB5B37" w:rsidRPr="00852BAA" w:rsidRDefault="00BB5B37" w:rsidP="004A4267">
      <w:pPr>
        <w:widowControl w:val="0"/>
        <w:spacing w:after="120"/>
        <w:jc w:val="center"/>
        <w:outlineLvl w:val="3"/>
        <w:rPr>
          <w:b/>
          <w:bCs/>
          <w:sz w:val="22"/>
          <w:szCs w:val="22"/>
        </w:rPr>
      </w:pPr>
      <w:r w:rsidRPr="00852BAA">
        <w:rPr>
          <w:b/>
          <w:bCs/>
          <w:sz w:val="22"/>
          <w:szCs w:val="22"/>
        </w:rPr>
        <w:t>PROJECT</w:t>
      </w:r>
    </w:p>
    <w:p w:rsidR="00BB5B37" w:rsidRDefault="008F020D" w:rsidP="004A4267">
      <w:pPr>
        <w:widowControl w:val="0"/>
        <w:jc w:val="center"/>
        <w:outlineLvl w:val="0"/>
        <w:rPr>
          <w:sz w:val="22"/>
          <w:szCs w:val="22"/>
        </w:rPr>
      </w:pPr>
      <w:r>
        <w:rPr>
          <w:sz w:val="22"/>
          <w:szCs w:val="22"/>
        </w:rPr>
        <w:t xml:space="preserve">DEP File </w:t>
      </w:r>
      <w:r w:rsidR="00BB5B37" w:rsidRPr="00852BAA">
        <w:rPr>
          <w:sz w:val="22"/>
          <w:szCs w:val="22"/>
        </w:rPr>
        <w:t xml:space="preserve">No. </w:t>
      </w:r>
      <w:r w:rsidR="00973C54">
        <w:rPr>
          <w:sz w:val="22"/>
          <w:szCs w:val="22"/>
        </w:rPr>
        <w:t>0010131</w:t>
      </w:r>
      <w:r w:rsidR="00BB5B37" w:rsidRPr="00852BAA">
        <w:rPr>
          <w:sz w:val="22"/>
          <w:szCs w:val="22"/>
        </w:rPr>
        <w:t>-00</w:t>
      </w:r>
      <w:r w:rsidR="004A4267">
        <w:rPr>
          <w:sz w:val="22"/>
          <w:szCs w:val="22"/>
        </w:rPr>
        <w:t>2</w:t>
      </w:r>
      <w:r w:rsidR="00BB5B37" w:rsidRPr="00852BAA">
        <w:rPr>
          <w:sz w:val="22"/>
          <w:szCs w:val="22"/>
        </w:rPr>
        <w:t>-AC</w:t>
      </w:r>
      <w:r>
        <w:rPr>
          <w:sz w:val="22"/>
          <w:szCs w:val="22"/>
        </w:rPr>
        <w:t xml:space="preserve"> (PSD-FL-411</w:t>
      </w:r>
      <w:r w:rsidR="004A4267">
        <w:rPr>
          <w:sz w:val="22"/>
          <w:szCs w:val="22"/>
        </w:rPr>
        <w:t>A</w:t>
      </w:r>
      <w:r>
        <w:rPr>
          <w:sz w:val="22"/>
          <w:szCs w:val="22"/>
        </w:rPr>
        <w:t>)</w:t>
      </w:r>
    </w:p>
    <w:p w:rsidR="00BB5B37" w:rsidRPr="00852BAA" w:rsidRDefault="004A4267" w:rsidP="004A4267">
      <w:pPr>
        <w:widowControl w:val="0"/>
        <w:spacing w:after="720"/>
        <w:jc w:val="center"/>
        <w:rPr>
          <w:sz w:val="22"/>
          <w:szCs w:val="22"/>
        </w:rPr>
      </w:pPr>
      <w:r>
        <w:rPr>
          <w:sz w:val="22"/>
          <w:szCs w:val="22"/>
        </w:rPr>
        <w:t>Addition of NESHAP Subpart DDDDD Requirements</w:t>
      </w:r>
    </w:p>
    <w:p w:rsidR="00BB5B37" w:rsidRPr="00852BAA" w:rsidRDefault="00BB5B37" w:rsidP="004A4267">
      <w:pPr>
        <w:widowControl w:val="0"/>
        <w:spacing w:after="120"/>
        <w:jc w:val="center"/>
        <w:outlineLvl w:val="3"/>
        <w:rPr>
          <w:b/>
          <w:bCs/>
          <w:sz w:val="22"/>
          <w:szCs w:val="22"/>
        </w:rPr>
      </w:pPr>
      <w:r w:rsidRPr="00852BAA">
        <w:rPr>
          <w:b/>
          <w:bCs/>
          <w:sz w:val="22"/>
          <w:szCs w:val="22"/>
        </w:rPr>
        <w:t>COUNTY</w:t>
      </w:r>
    </w:p>
    <w:p w:rsidR="00BB5B37" w:rsidRPr="00852BAA" w:rsidRDefault="00973C54" w:rsidP="004A4267">
      <w:pPr>
        <w:widowControl w:val="0"/>
        <w:spacing w:after="840"/>
        <w:jc w:val="center"/>
        <w:rPr>
          <w:sz w:val="22"/>
          <w:szCs w:val="22"/>
        </w:rPr>
      </w:pPr>
      <w:smartTag w:uri="urn:schemas-microsoft-com:office:smarttags" w:element="place">
        <w:smartTag w:uri="urn:schemas-microsoft-com:office:smarttags" w:element="City">
          <w:r>
            <w:rPr>
              <w:sz w:val="22"/>
              <w:szCs w:val="22"/>
            </w:rPr>
            <w:t>Alachua</w:t>
          </w:r>
          <w:r w:rsidR="00BB5B37" w:rsidRPr="00852BAA">
            <w:rPr>
              <w:sz w:val="22"/>
              <w:szCs w:val="22"/>
            </w:rPr>
            <w:t xml:space="preserve"> County</w:t>
          </w:r>
        </w:smartTag>
        <w:r w:rsidR="00BB5B37" w:rsidRPr="00852BAA">
          <w:rPr>
            <w:sz w:val="22"/>
            <w:szCs w:val="22"/>
          </w:rPr>
          <w:t xml:space="preserve">, </w:t>
        </w:r>
        <w:smartTag w:uri="urn:schemas-microsoft-com:office:smarttags" w:element="State">
          <w:r w:rsidR="00BB5B37" w:rsidRPr="00852BAA">
            <w:rPr>
              <w:sz w:val="22"/>
              <w:szCs w:val="22"/>
            </w:rPr>
            <w:t>Florida</w:t>
          </w:r>
        </w:smartTag>
      </w:smartTag>
    </w:p>
    <w:p w:rsidR="004A4267" w:rsidRPr="004A4267" w:rsidRDefault="004A4267" w:rsidP="004A4267">
      <w:pPr>
        <w:widowControl w:val="0"/>
        <w:spacing w:after="120"/>
        <w:jc w:val="center"/>
        <w:outlineLvl w:val="7"/>
        <w:rPr>
          <w:b/>
          <w:caps/>
          <w:sz w:val="22"/>
          <w:szCs w:val="20"/>
        </w:rPr>
      </w:pPr>
      <w:r w:rsidRPr="004A4267">
        <w:rPr>
          <w:b/>
          <w:caps/>
          <w:sz w:val="22"/>
          <w:szCs w:val="20"/>
        </w:rPr>
        <w:t>PERMITTING AUTHORITY</w:t>
      </w:r>
    </w:p>
    <w:p w:rsidR="004A4267" w:rsidRPr="004A4267" w:rsidRDefault="004A4267" w:rsidP="004A4267">
      <w:pPr>
        <w:widowControl w:val="0"/>
        <w:jc w:val="center"/>
        <w:rPr>
          <w:sz w:val="22"/>
          <w:szCs w:val="22"/>
        </w:rPr>
      </w:pPr>
      <w:r w:rsidRPr="004A4267">
        <w:rPr>
          <w:sz w:val="22"/>
          <w:szCs w:val="22"/>
        </w:rPr>
        <w:t>Florida Department of Environmental Protection</w:t>
      </w:r>
    </w:p>
    <w:p w:rsidR="004A4267" w:rsidRPr="004A4267" w:rsidRDefault="004A4267" w:rsidP="004A4267">
      <w:pPr>
        <w:widowControl w:val="0"/>
        <w:jc w:val="center"/>
        <w:rPr>
          <w:sz w:val="22"/>
          <w:szCs w:val="22"/>
        </w:rPr>
      </w:pPr>
      <w:r w:rsidRPr="004A4267">
        <w:rPr>
          <w:sz w:val="22"/>
          <w:szCs w:val="22"/>
        </w:rPr>
        <w:t>Division of Air Resource Management</w:t>
      </w:r>
    </w:p>
    <w:p w:rsidR="004A4267" w:rsidRPr="004A4267" w:rsidRDefault="004A4267" w:rsidP="004A4267">
      <w:pPr>
        <w:widowControl w:val="0"/>
        <w:jc w:val="center"/>
        <w:rPr>
          <w:sz w:val="22"/>
          <w:szCs w:val="22"/>
        </w:rPr>
      </w:pPr>
      <w:r w:rsidRPr="004A4267">
        <w:rPr>
          <w:sz w:val="22"/>
          <w:szCs w:val="22"/>
        </w:rPr>
        <w:t>Office of Permitting and Compliance</w:t>
      </w:r>
    </w:p>
    <w:p w:rsidR="004A4267" w:rsidRPr="004A4267" w:rsidRDefault="004A4267" w:rsidP="004A4267">
      <w:pPr>
        <w:widowControl w:val="0"/>
        <w:jc w:val="center"/>
        <w:rPr>
          <w:sz w:val="22"/>
          <w:szCs w:val="22"/>
        </w:rPr>
      </w:pPr>
      <w:r w:rsidRPr="004A4267">
        <w:rPr>
          <w:sz w:val="22"/>
          <w:szCs w:val="22"/>
        </w:rPr>
        <w:t>2600 Blair Stone Road, MS#5505</w:t>
      </w:r>
    </w:p>
    <w:p w:rsidR="004A4267" w:rsidRPr="004A4267" w:rsidRDefault="004A4267" w:rsidP="004A4267">
      <w:pPr>
        <w:widowControl w:val="0"/>
        <w:spacing w:after="1200"/>
        <w:jc w:val="center"/>
        <w:rPr>
          <w:sz w:val="22"/>
          <w:szCs w:val="22"/>
        </w:rPr>
      </w:pPr>
      <w:smartTag w:uri="urn:schemas-microsoft-com:office:smarttags" w:element="place">
        <w:smartTag w:uri="urn:schemas-microsoft-com:office:smarttags" w:element="City">
          <w:r w:rsidRPr="004A4267">
            <w:rPr>
              <w:sz w:val="22"/>
              <w:szCs w:val="22"/>
            </w:rPr>
            <w:t>Tallahassee</w:t>
          </w:r>
        </w:smartTag>
        <w:r w:rsidRPr="004A4267">
          <w:rPr>
            <w:sz w:val="22"/>
            <w:szCs w:val="22"/>
          </w:rPr>
          <w:t xml:space="preserve">, </w:t>
        </w:r>
        <w:smartTag w:uri="urn:schemas-microsoft-com:office:smarttags" w:element="State">
          <w:r w:rsidRPr="004A4267">
            <w:rPr>
              <w:sz w:val="22"/>
              <w:szCs w:val="22"/>
            </w:rPr>
            <w:t>Florida</w:t>
          </w:r>
        </w:smartTag>
        <w:r w:rsidRPr="004A4267">
          <w:rPr>
            <w:sz w:val="22"/>
            <w:szCs w:val="22"/>
          </w:rPr>
          <w:t xml:space="preserve">  </w:t>
        </w:r>
        <w:smartTag w:uri="urn:schemas-microsoft-com:office:smarttags" w:element="PostalCode">
          <w:r w:rsidRPr="004A4267">
            <w:rPr>
              <w:sz w:val="22"/>
              <w:szCs w:val="22"/>
            </w:rPr>
            <w:t>32399-2400</w:t>
          </w:r>
        </w:smartTag>
      </w:smartTag>
    </w:p>
    <w:p w:rsidR="00776138" w:rsidRDefault="004A4267" w:rsidP="00776138">
      <w:pPr>
        <w:widowControl w:val="0"/>
        <w:jc w:val="center"/>
        <w:rPr>
          <w:sz w:val="22"/>
          <w:szCs w:val="22"/>
          <w:highlight w:val="yellow"/>
        </w:rPr>
        <w:sectPr w:rsidR="00776138" w:rsidSect="005123A2">
          <w:endnotePr>
            <w:numFmt w:val="decimal"/>
          </w:endnotePr>
          <w:type w:val="continuous"/>
          <w:pgSz w:w="12240" w:h="15840"/>
          <w:pgMar w:top="1267" w:right="1440" w:bottom="1260" w:left="1440" w:header="720" w:footer="354" w:gutter="0"/>
          <w:cols w:space="720"/>
          <w:docGrid w:linePitch="360"/>
        </w:sectPr>
      </w:pPr>
      <w:r w:rsidRPr="00132318">
        <w:rPr>
          <w:sz w:val="22"/>
          <w:szCs w:val="22"/>
        </w:rPr>
        <w:t xml:space="preserve">October </w:t>
      </w:r>
      <w:r w:rsidR="00636F78">
        <w:rPr>
          <w:sz w:val="22"/>
          <w:szCs w:val="22"/>
        </w:rPr>
        <w:t>8</w:t>
      </w:r>
      <w:r w:rsidR="003951E9" w:rsidRPr="00132318">
        <w:rPr>
          <w:sz w:val="22"/>
          <w:szCs w:val="22"/>
        </w:rPr>
        <w:t>, 20</w:t>
      </w:r>
      <w:r w:rsidR="00973C54" w:rsidRPr="00132318">
        <w:rPr>
          <w:sz w:val="22"/>
          <w:szCs w:val="22"/>
        </w:rPr>
        <w:t>1</w:t>
      </w:r>
      <w:r w:rsidRPr="00132318">
        <w:rPr>
          <w:sz w:val="22"/>
          <w:szCs w:val="22"/>
        </w:rPr>
        <w:t>3</w:t>
      </w:r>
    </w:p>
    <w:p w:rsidR="00BB5B37" w:rsidRPr="001D47D5" w:rsidRDefault="004A4267" w:rsidP="00776138">
      <w:pPr>
        <w:numPr>
          <w:ilvl w:val="0"/>
          <w:numId w:val="5"/>
        </w:numPr>
        <w:tabs>
          <w:tab w:val="left" w:pos="720"/>
        </w:tabs>
        <w:spacing w:after="120"/>
        <w:ind w:left="720" w:hanging="720"/>
        <w:outlineLvl w:val="0"/>
        <w:rPr>
          <w:b/>
          <w:sz w:val="22"/>
          <w:szCs w:val="22"/>
        </w:rPr>
      </w:pPr>
      <w:r w:rsidRPr="003A38A7">
        <w:rPr>
          <w:b/>
          <w:caps/>
          <w:sz w:val="22"/>
          <w:szCs w:val="22"/>
        </w:rPr>
        <w:lastRenderedPageBreak/>
        <w:t>General Project INFORMATION</w:t>
      </w:r>
    </w:p>
    <w:p w:rsidR="00BB5B37" w:rsidRPr="001D47D5" w:rsidRDefault="004A4267" w:rsidP="004A4267">
      <w:pPr>
        <w:numPr>
          <w:ilvl w:val="1"/>
          <w:numId w:val="5"/>
        </w:numPr>
        <w:tabs>
          <w:tab w:val="left" w:pos="720"/>
        </w:tabs>
        <w:spacing w:after="120"/>
        <w:ind w:left="720" w:hanging="720"/>
        <w:outlineLvl w:val="0"/>
        <w:rPr>
          <w:b/>
          <w:sz w:val="22"/>
          <w:szCs w:val="22"/>
        </w:rPr>
      </w:pPr>
      <w:r w:rsidRPr="00327342">
        <w:rPr>
          <w:b/>
          <w:bCs/>
          <w:sz w:val="22"/>
          <w:szCs w:val="22"/>
        </w:rPr>
        <w:t>Facility Description and Location</w:t>
      </w:r>
    </w:p>
    <w:p w:rsidR="00A10374" w:rsidRDefault="004268AD" w:rsidP="005D28D1">
      <w:pPr>
        <w:spacing w:after="120"/>
        <w:rPr>
          <w:sz w:val="22"/>
          <w:szCs w:val="22"/>
        </w:rPr>
      </w:pPr>
      <w:r w:rsidRPr="004268AD">
        <w:rPr>
          <w:sz w:val="22"/>
          <w:szCs w:val="22"/>
        </w:rPr>
        <w:t>Gainesville Renewable Energy Center</w:t>
      </w:r>
      <w:r w:rsidR="006A110E" w:rsidRPr="006A110E">
        <w:rPr>
          <w:sz w:val="22"/>
          <w:szCs w:val="22"/>
        </w:rPr>
        <w:t>, LLC</w:t>
      </w:r>
      <w:r>
        <w:rPr>
          <w:sz w:val="22"/>
          <w:szCs w:val="22"/>
        </w:rPr>
        <w:t xml:space="preserve"> (GREC, LLC)</w:t>
      </w:r>
      <w:r w:rsidR="006A110E">
        <w:rPr>
          <w:sz w:val="22"/>
          <w:szCs w:val="22"/>
        </w:rPr>
        <w:t xml:space="preserve"> operates t</w:t>
      </w:r>
      <w:r w:rsidR="00A10374">
        <w:rPr>
          <w:sz w:val="22"/>
          <w:szCs w:val="22"/>
        </w:rPr>
        <w:t xml:space="preserve">he </w:t>
      </w:r>
      <w:r w:rsidR="00A10374" w:rsidRPr="00F95381">
        <w:rPr>
          <w:sz w:val="22"/>
          <w:szCs w:val="22"/>
        </w:rPr>
        <w:t>GREC</w:t>
      </w:r>
      <w:r w:rsidR="006A110E">
        <w:rPr>
          <w:sz w:val="22"/>
          <w:szCs w:val="22"/>
        </w:rPr>
        <w:t>.  GREC</w:t>
      </w:r>
      <w:r w:rsidR="004A4267">
        <w:rPr>
          <w:sz w:val="22"/>
          <w:szCs w:val="22"/>
        </w:rPr>
        <w:t xml:space="preserve"> is a recently </w:t>
      </w:r>
      <w:r w:rsidR="00C53B8E">
        <w:rPr>
          <w:sz w:val="22"/>
          <w:szCs w:val="22"/>
        </w:rPr>
        <w:t>constructed</w:t>
      </w:r>
      <w:r w:rsidR="004A4267">
        <w:rPr>
          <w:sz w:val="22"/>
          <w:szCs w:val="22"/>
        </w:rPr>
        <w:t xml:space="preserve"> </w:t>
      </w:r>
      <w:r w:rsidR="00384338" w:rsidRPr="00CF2878">
        <w:rPr>
          <w:sz w:val="22"/>
          <w:szCs w:val="22"/>
        </w:rPr>
        <w:t>biomass</w:t>
      </w:r>
      <w:r w:rsidR="00384338">
        <w:rPr>
          <w:sz w:val="22"/>
          <w:szCs w:val="22"/>
        </w:rPr>
        <w:t>-fueled</w:t>
      </w:r>
      <w:r w:rsidR="00384338" w:rsidRPr="00CF2878">
        <w:rPr>
          <w:sz w:val="22"/>
          <w:szCs w:val="22"/>
        </w:rPr>
        <w:t xml:space="preserve"> electric power plant</w:t>
      </w:r>
      <w:r w:rsidR="006A110E">
        <w:rPr>
          <w:sz w:val="22"/>
          <w:szCs w:val="22"/>
        </w:rPr>
        <w:t xml:space="preserve"> capable of generating</w:t>
      </w:r>
      <w:r w:rsidR="00384338">
        <w:rPr>
          <w:sz w:val="22"/>
          <w:szCs w:val="22"/>
        </w:rPr>
        <w:t xml:space="preserve"> 100 megawatts-net (MW-net) of electrical power</w:t>
      </w:r>
      <w:r w:rsidR="004A4267">
        <w:rPr>
          <w:sz w:val="22"/>
          <w:szCs w:val="22"/>
        </w:rPr>
        <w:t xml:space="preserve">.  The </w:t>
      </w:r>
      <w:r w:rsidR="00384338">
        <w:rPr>
          <w:sz w:val="22"/>
          <w:szCs w:val="22"/>
        </w:rPr>
        <w:t>plant</w:t>
      </w:r>
      <w:r w:rsidR="004A4267">
        <w:rPr>
          <w:sz w:val="22"/>
          <w:szCs w:val="22"/>
        </w:rPr>
        <w:t xml:space="preserve"> </w:t>
      </w:r>
      <w:r w:rsidR="00C53B8E">
        <w:rPr>
          <w:sz w:val="22"/>
          <w:szCs w:val="22"/>
        </w:rPr>
        <w:t>is</w:t>
      </w:r>
      <w:r w:rsidR="00A10374">
        <w:rPr>
          <w:sz w:val="22"/>
          <w:szCs w:val="22"/>
        </w:rPr>
        <w:t xml:space="preserve"> </w:t>
      </w:r>
      <w:r w:rsidR="00A10374" w:rsidRPr="00F95381">
        <w:rPr>
          <w:sz w:val="22"/>
          <w:szCs w:val="22"/>
        </w:rPr>
        <w:t xml:space="preserve">located </w:t>
      </w:r>
      <w:r w:rsidR="00A10374">
        <w:rPr>
          <w:sz w:val="22"/>
          <w:szCs w:val="22"/>
        </w:rPr>
        <w:t xml:space="preserve">on </w:t>
      </w:r>
      <w:r w:rsidR="00EA1DD4">
        <w:rPr>
          <w:sz w:val="22"/>
          <w:szCs w:val="22"/>
        </w:rPr>
        <w:t xml:space="preserve">the </w:t>
      </w:r>
      <w:r w:rsidR="00A10374">
        <w:rPr>
          <w:sz w:val="22"/>
          <w:szCs w:val="22"/>
        </w:rPr>
        <w:t>131 acres</w:t>
      </w:r>
      <w:r w:rsidR="00C53B8E">
        <w:rPr>
          <w:sz w:val="22"/>
          <w:szCs w:val="22"/>
        </w:rPr>
        <w:t xml:space="preserve"> within t</w:t>
      </w:r>
      <w:r w:rsidR="00A72BE6">
        <w:rPr>
          <w:sz w:val="22"/>
          <w:szCs w:val="22"/>
        </w:rPr>
        <w:t>he boundary of the Gainesville R</w:t>
      </w:r>
      <w:r w:rsidR="00C53B8E">
        <w:rPr>
          <w:sz w:val="22"/>
          <w:szCs w:val="22"/>
        </w:rPr>
        <w:t>egional Utilities (GRU) Deerhaven Generation Station (DGS) in Alachua County, Florida.  The footprint of GREC within the GRU DGS is</w:t>
      </w:r>
      <w:r w:rsidR="00716E0F">
        <w:rPr>
          <w:sz w:val="22"/>
          <w:szCs w:val="22"/>
        </w:rPr>
        <w:t xml:space="preserve"> </w:t>
      </w:r>
      <w:r w:rsidR="00C53B8E">
        <w:rPr>
          <w:sz w:val="22"/>
          <w:szCs w:val="22"/>
        </w:rPr>
        <w:t xml:space="preserve">delineated </w:t>
      </w:r>
      <w:r w:rsidR="00716E0F">
        <w:rPr>
          <w:sz w:val="22"/>
          <w:szCs w:val="22"/>
        </w:rPr>
        <w:t>by the red outline in</w:t>
      </w:r>
      <w:r w:rsidR="00C53B8E">
        <w:rPr>
          <w:sz w:val="22"/>
          <w:szCs w:val="22"/>
        </w:rPr>
        <w:t xml:space="preserve"> </w:t>
      </w:r>
      <w:r w:rsidR="00BE3454">
        <w:rPr>
          <w:sz w:val="22"/>
          <w:szCs w:val="22"/>
        </w:rPr>
        <w:fldChar w:fldCharType="begin"/>
      </w:r>
      <w:r w:rsidR="00C53B8E">
        <w:rPr>
          <w:sz w:val="22"/>
          <w:szCs w:val="22"/>
        </w:rPr>
        <w:instrText xml:space="preserve"> REF _Ref367944586 \h </w:instrText>
      </w:r>
      <w:r w:rsidR="00BE3454">
        <w:rPr>
          <w:sz w:val="22"/>
          <w:szCs w:val="22"/>
        </w:rPr>
      </w:r>
      <w:r w:rsidR="00BE3454">
        <w:rPr>
          <w:sz w:val="22"/>
          <w:szCs w:val="22"/>
        </w:rPr>
        <w:fldChar w:fldCharType="separate"/>
      </w:r>
      <w:r w:rsidR="00AF47D7" w:rsidRPr="00C53B8E">
        <w:rPr>
          <w:color w:val="000000" w:themeColor="text1"/>
          <w:sz w:val="22"/>
          <w:szCs w:val="22"/>
        </w:rPr>
        <w:t xml:space="preserve">Figure </w:t>
      </w:r>
      <w:r w:rsidR="00AF47D7">
        <w:rPr>
          <w:noProof/>
          <w:color w:val="000000" w:themeColor="text1"/>
          <w:sz w:val="22"/>
          <w:szCs w:val="22"/>
        </w:rPr>
        <w:t>1</w:t>
      </w:r>
      <w:r w:rsidR="00BE3454">
        <w:rPr>
          <w:sz w:val="22"/>
          <w:szCs w:val="22"/>
        </w:rPr>
        <w:fldChar w:fldCharType="end"/>
      </w:r>
      <w:r>
        <w:rPr>
          <w:sz w:val="22"/>
          <w:szCs w:val="22"/>
        </w:rPr>
        <w:t xml:space="preserve">, while the boundary of the GRU DGS is delineated </w:t>
      </w:r>
      <w:r w:rsidR="008223BE">
        <w:rPr>
          <w:sz w:val="22"/>
          <w:szCs w:val="22"/>
        </w:rPr>
        <w:t xml:space="preserve">by the blue outline </w:t>
      </w:r>
      <w:r>
        <w:rPr>
          <w:sz w:val="22"/>
          <w:szCs w:val="22"/>
        </w:rPr>
        <w:t xml:space="preserve">in </w:t>
      </w:r>
      <w:r w:rsidR="00BE3454">
        <w:rPr>
          <w:sz w:val="22"/>
          <w:szCs w:val="22"/>
        </w:rPr>
        <w:fldChar w:fldCharType="begin"/>
      </w:r>
      <w:r>
        <w:rPr>
          <w:sz w:val="22"/>
          <w:szCs w:val="22"/>
        </w:rPr>
        <w:instrText xml:space="preserve"> REF _Ref367944586 \h </w:instrText>
      </w:r>
      <w:r w:rsidR="00BE3454">
        <w:rPr>
          <w:sz w:val="22"/>
          <w:szCs w:val="22"/>
        </w:rPr>
      </w:r>
      <w:r w:rsidR="00BE3454">
        <w:rPr>
          <w:sz w:val="22"/>
          <w:szCs w:val="22"/>
        </w:rPr>
        <w:fldChar w:fldCharType="separate"/>
      </w:r>
      <w:r w:rsidRPr="00C53B8E">
        <w:rPr>
          <w:color w:val="000000" w:themeColor="text1"/>
          <w:sz w:val="22"/>
          <w:szCs w:val="22"/>
        </w:rPr>
        <w:t xml:space="preserve">Figure </w:t>
      </w:r>
      <w:r>
        <w:rPr>
          <w:noProof/>
          <w:color w:val="000000" w:themeColor="text1"/>
          <w:sz w:val="22"/>
          <w:szCs w:val="22"/>
        </w:rPr>
        <w:t>1</w:t>
      </w:r>
      <w:r w:rsidR="00BE3454">
        <w:rPr>
          <w:sz w:val="22"/>
          <w:szCs w:val="22"/>
        </w:rPr>
        <w:fldChar w:fldCharType="end"/>
      </w:r>
      <w:r>
        <w:rPr>
          <w:sz w:val="22"/>
          <w:szCs w:val="22"/>
        </w:rPr>
        <w:t xml:space="preserve">.  </w:t>
      </w:r>
      <w:r w:rsidR="00EA1DD4" w:rsidRPr="00EA1DD4">
        <w:rPr>
          <w:sz w:val="22"/>
          <w:szCs w:val="22"/>
        </w:rPr>
        <w:t>GREC</w:t>
      </w:r>
      <w:r w:rsidR="00A72BE6">
        <w:rPr>
          <w:sz w:val="22"/>
          <w:szCs w:val="22"/>
        </w:rPr>
        <w:t>,</w:t>
      </w:r>
      <w:r w:rsidR="00EA1DD4" w:rsidRPr="00EA1DD4">
        <w:rPr>
          <w:sz w:val="22"/>
          <w:szCs w:val="22"/>
        </w:rPr>
        <w:t xml:space="preserve"> LLC has a long-term lease from the City of Gainesville for this parcel. </w:t>
      </w:r>
      <w:r w:rsidR="00EA1DD4">
        <w:rPr>
          <w:sz w:val="22"/>
          <w:szCs w:val="22"/>
        </w:rPr>
        <w:t xml:space="preserve"> </w:t>
      </w:r>
      <w:r w:rsidR="00C53B8E">
        <w:rPr>
          <w:sz w:val="22"/>
          <w:szCs w:val="22"/>
        </w:rPr>
        <w:t>The location of Alachua County and the</w:t>
      </w:r>
      <w:r w:rsidR="00A10374">
        <w:rPr>
          <w:sz w:val="22"/>
          <w:szCs w:val="22"/>
        </w:rPr>
        <w:t xml:space="preserve"> GRU DGS</w:t>
      </w:r>
      <w:r w:rsidR="00C53B8E">
        <w:rPr>
          <w:sz w:val="22"/>
          <w:szCs w:val="22"/>
        </w:rPr>
        <w:t xml:space="preserve"> within the county</w:t>
      </w:r>
      <w:r w:rsidR="00A10374">
        <w:rPr>
          <w:sz w:val="22"/>
          <w:szCs w:val="22"/>
        </w:rPr>
        <w:t xml:space="preserve"> </w:t>
      </w:r>
      <w:r w:rsidR="000C4E13">
        <w:rPr>
          <w:sz w:val="22"/>
          <w:szCs w:val="22"/>
        </w:rPr>
        <w:t>is shown in</w:t>
      </w:r>
      <w:r w:rsidR="00C53B8E">
        <w:rPr>
          <w:sz w:val="22"/>
          <w:szCs w:val="22"/>
        </w:rPr>
        <w:t xml:space="preserve"> </w:t>
      </w:r>
      <w:r w:rsidR="00BE3454">
        <w:rPr>
          <w:sz w:val="22"/>
          <w:szCs w:val="22"/>
        </w:rPr>
        <w:fldChar w:fldCharType="begin"/>
      </w:r>
      <w:r w:rsidR="00C53B8E">
        <w:rPr>
          <w:sz w:val="22"/>
          <w:szCs w:val="22"/>
        </w:rPr>
        <w:instrText xml:space="preserve"> REF _Ref367944695 \h </w:instrText>
      </w:r>
      <w:r w:rsidR="00BE3454">
        <w:rPr>
          <w:sz w:val="22"/>
          <w:szCs w:val="22"/>
        </w:rPr>
      </w:r>
      <w:r w:rsidR="00BE3454">
        <w:rPr>
          <w:sz w:val="22"/>
          <w:szCs w:val="22"/>
        </w:rPr>
        <w:fldChar w:fldCharType="separate"/>
      </w:r>
      <w:r w:rsidR="00AF47D7" w:rsidRPr="00C53B8E">
        <w:rPr>
          <w:color w:val="000000" w:themeColor="text1"/>
          <w:sz w:val="22"/>
          <w:szCs w:val="22"/>
        </w:rPr>
        <w:t xml:space="preserve">Figure </w:t>
      </w:r>
      <w:r w:rsidR="00AF47D7">
        <w:rPr>
          <w:noProof/>
          <w:color w:val="000000" w:themeColor="text1"/>
          <w:sz w:val="22"/>
          <w:szCs w:val="22"/>
        </w:rPr>
        <w:t>2</w:t>
      </w:r>
      <w:r w:rsidR="00BE3454">
        <w:rPr>
          <w:sz w:val="22"/>
          <w:szCs w:val="22"/>
        </w:rPr>
        <w:fldChar w:fldCharType="end"/>
      </w:r>
      <w:r w:rsidR="00C53B8E">
        <w:rPr>
          <w:sz w:val="22"/>
          <w:szCs w:val="22"/>
        </w:rPr>
        <w:t>.  The address of the GRU DGS is</w:t>
      </w:r>
      <w:r w:rsidR="000C4E13">
        <w:rPr>
          <w:sz w:val="22"/>
          <w:szCs w:val="22"/>
        </w:rPr>
        <w:t xml:space="preserve"> </w:t>
      </w:r>
      <w:r w:rsidR="00A10374" w:rsidRPr="00ED214A">
        <w:rPr>
          <w:sz w:val="22"/>
          <w:szCs w:val="22"/>
        </w:rPr>
        <w:t>10001 N</w:t>
      </w:r>
      <w:r w:rsidR="00A10374">
        <w:rPr>
          <w:sz w:val="22"/>
          <w:szCs w:val="22"/>
        </w:rPr>
        <w:t>orthwest</w:t>
      </w:r>
      <w:r w:rsidR="00A10374" w:rsidRPr="00ED214A">
        <w:rPr>
          <w:sz w:val="22"/>
          <w:szCs w:val="22"/>
        </w:rPr>
        <w:t xml:space="preserve"> 13</w:t>
      </w:r>
      <w:r w:rsidR="00A10374" w:rsidRPr="00ED214A">
        <w:rPr>
          <w:sz w:val="22"/>
          <w:szCs w:val="22"/>
          <w:vertAlign w:val="superscript"/>
        </w:rPr>
        <w:t>th</w:t>
      </w:r>
      <w:r w:rsidR="00A10374" w:rsidRPr="00ED214A">
        <w:rPr>
          <w:sz w:val="22"/>
          <w:szCs w:val="22"/>
        </w:rPr>
        <w:t xml:space="preserve"> Street </w:t>
      </w:r>
      <w:r w:rsidR="00A10374">
        <w:rPr>
          <w:sz w:val="22"/>
          <w:szCs w:val="22"/>
        </w:rPr>
        <w:t xml:space="preserve">(U.S. Highway 441) </w:t>
      </w:r>
      <w:r w:rsidR="00A10374" w:rsidRPr="00ED214A">
        <w:rPr>
          <w:sz w:val="22"/>
          <w:szCs w:val="22"/>
        </w:rPr>
        <w:t xml:space="preserve">in Gainesville, </w:t>
      </w:r>
      <w:r w:rsidR="00A10374">
        <w:rPr>
          <w:sz w:val="22"/>
          <w:szCs w:val="22"/>
        </w:rPr>
        <w:t xml:space="preserve">Alachua County, </w:t>
      </w:r>
      <w:r w:rsidR="00A10374" w:rsidRPr="00ED214A">
        <w:rPr>
          <w:sz w:val="22"/>
          <w:szCs w:val="22"/>
        </w:rPr>
        <w:t>Florida</w:t>
      </w:r>
      <w:r w:rsidR="00A10374">
        <w:rPr>
          <w:sz w:val="22"/>
          <w:szCs w:val="22"/>
        </w:rPr>
        <w:t xml:space="preserve">.  </w:t>
      </w:r>
      <w:r w:rsidR="000425AD" w:rsidRPr="000425AD">
        <w:rPr>
          <w:sz w:val="22"/>
          <w:szCs w:val="22"/>
        </w:rPr>
        <w:t xml:space="preserve">The UTM coordinates are Zone 17; 365.0 kilometers (km) East </w:t>
      </w:r>
      <w:r w:rsidR="00A10374" w:rsidRPr="000425AD">
        <w:rPr>
          <w:sz w:val="22"/>
          <w:szCs w:val="22"/>
        </w:rPr>
        <w:t>and 3,293.8 km North</w:t>
      </w:r>
      <w:r w:rsidR="00A10374" w:rsidRPr="001D47D5">
        <w:rPr>
          <w:sz w:val="22"/>
          <w:szCs w:val="22"/>
        </w:rPr>
        <w:t>.</w:t>
      </w:r>
      <w:r w:rsidR="00A10374">
        <w:rPr>
          <w:sz w:val="22"/>
          <w:szCs w:val="22"/>
        </w:rPr>
        <w:t xml:space="preserve">  </w:t>
      </w:r>
    </w:p>
    <w:p w:rsidR="00BB5B37" w:rsidRDefault="00BE3454" w:rsidP="00A10374">
      <w:pPr>
        <w:tabs>
          <w:tab w:val="left" w:pos="4680"/>
        </w:tabs>
        <w:spacing w:after="120"/>
        <w:rPr>
          <w:sz w:val="22"/>
          <w:szCs w:val="22"/>
        </w:rPr>
      </w:pPr>
      <w:r w:rsidRPr="00BE3454">
        <w:rPr>
          <w:b/>
          <w:noProof/>
          <w:sz w:val="22"/>
          <w:szCs w:val="22"/>
        </w:rPr>
        <w:pict>
          <v:shapetype id="_x0000_t202" coordsize="21600,21600" o:spt="202" path="m,l,21600r21600,l21600,xe">
            <v:stroke joinstyle="miter"/>
            <v:path gradientshapeok="t" o:connecttype="rect"/>
          </v:shapetype>
          <v:shape id="_x0000_s1105" type="#_x0000_t202" style="position:absolute;margin-left:102pt;margin-top:114.3pt;width:48pt;height:33.9pt;z-index:251619328" filled="f" stroked="f">
            <v:textbox style="mso-next-textbox:#_x0000_s1105">
              <w:txbxContent>
                <w:p w:rsidR="00395EB3" w:rsidRPr="00BA3A0C" w:rsidRDefault="00395EB3" w:rsidP="00BA3A0C">
                  <w:pPr>
                    <w:rPr>
                      <w:rFonts w:ascii="Arial" w:hAnsi="Arial"/>
                      <w:b/>
                      <w:color w:val="FFCC00"/>
                      <w:sz w:val="20"/>
                      <w:szCs w:val="20"/>
                    </w:rPr>
                  </w:pPr>
                  <w:r w:rsidRPr="00BA3A0C">
                    <w:rPr>
                      <w:rFonts w:ascii="Arial" w:hAnsi="Arial"/>
                      <w:b/>
                      <w:color w:val="FFCC00"/>
                      <w:sz w:val="20"/>
                      <w:szCs w:val="20"/>
                    </w:rPr>
                    <w:t>GR</w:t>
                  </w:r>
                  <w:r>
                    <w:rPr>
                      <w:rFonts w:ascii="Arial" w:hAnsi="Arial"/>
                      <w:b/>
                      <w:color w:val="FFCC00"/>
                      <w:sz w:val="20"/>
                      <w:szCs w:val="20"/>
                    </w:rPr>
                    <w:t>U</w:t>
                  </w:r>
                  <w:r>
                    <w:rPr>
                      <w:rFonts w:ascii="Arial" w:hAnsi="Arial"/>
                      <w:b/>
                      <w:color w:val="FFCC00"/>
                      <w:sz w:val="20"/>
                      <w:szCs w:val="20"/>
                    </w:rPr>
                    <w:br/>
                    <w:t>DGS</w:t>
                  </w:r>
                </w:p>
              </w:txbxContent>
            </v:textbox>
          </v:shape>
        </w:pict>
      </w:r>
      <w:r w:rsidRPr="00BE3454">
        <w:rPr>
          <w:b/>
          <w:noProof/>
          <w:sz w:val="22"/>
          <w:szCs w:val="22"/>
        </w:rPr>
        <w:pict>
          <v:shape id="_x0000_s1104" type="#_x0000_t202" style="position:absolute;margin-left:60pt;margin-top:42.3pt;width:48pt;height:27pt;z-index:251618304" filled="f" stroked="f">
            <v:textbox style="mso-next-textbox:#_x0000_s1104">
              <w:txbxContent>
                <w:p w:rsidR="00395EB3" w:rsidRPr="00BA3A0C" w:rsidRDefault="00395EB3">
                  <w:pPr>
                    <w:rPr>
                      <w:rFonts w:ascii="Arial" w:hAnsi="Arial"/>
                      <w:b/>
                      <w:color w:val="FF0000"/>
                      <w:sz w:val="20"/>
                      <w:szCs w:val="20"/>
                    </w:rPr>
                  </w:pPr>
                  <w:r w:rsidRPr="00BA3A0C">
                    <w:rPr>
                      <w:rFonts w:ascii="Arial" w:hAnsi="Arial"/>
                      <w:b/>
                      <w:color w:val="FF0000"/>
                      <w:sz w:val="20"/>
                      <w:szCs w:val="20"/>
                    </w:rPr>
                    <w:t>GREC</w:t>
                  </w:r>
                </w:p>
              </w:txbxContent>
            </v:textbox>
          </v:shape>
        </w:pict>
      </w:r>
      <w:r w:rsidR="00A72BE6">
        <w:rPr>
          <w:b/>
          <w:noProof/>
          <w:sz w:val="22"/>
          <w:szCs w:val="22"/>
        </w:rPr>
        <w:drawing>
          <wp:inline distT="0" distB="0" distL="0" distR="0">
            <wp:extent cx="2907030" cy="3439160"/>
            <wp:effectExtent l="19050" t="0" r="7620" b="0"/>
            <wp:docPr id="2" name="Picture 2" descr="GREC PSD Fig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C PSD Figure 2-3"/>
                    <pic:cNvPicPr>
                      <a:picLocks noChangeAspect="1" noChangeArrowheads="1"/>
                    </pic:cNvPicPr>
                  </pic:nvPicPr>
                  <pic:blipFill>
                    <a:blip r:embed="rId9" cstate="print"/>
                    <a:srcRect l="10194" t="4875" r="4207" b="16522"/>
                    <a:stretch>
                      <a:fillRect/>
                    </a:stretch>
                  </pic:blipFill>
                  <pic:spPr bwMode="auto">
                    <a:xfrm>
                      <a:off x="0" y="0"/>
                      <a:ext cx="2907030" cy="3439160"/>
                    </a:xfrm>
                    <a:prstGeom prst="rect">
                      <a:avLst/>
                    </a:prstGeom>
                    <a:noFill/>
                    <a:ln w="9525">
                      <a:noFill/>
                      <a:miter lim="800000"/>
                      <a:headEnd/>
                      <a:tailEnd/>
                    </a:ln>
                  </pic:spPr>
                </pic:pic>
              </a:graphicData>
            </a:graphic>
          </wp:inline>
        </w:drawing>
      </w:r>
      <w:r w:rsidR="00716E0F">
        <w:rPr>
          <w:b/>
          <w:sz w:val="22"/>
          <w:szCs w:val="22"/>
        </w:rPr>
        <w:tab/>
      </w:r>
      <w:r w:rsidR="00A72BE6">
        <w:rPr>
          <w:b/>
          <w:noProof/>
          <w:sz w:val="22"/>
          <w:szCs w:val="22"/>
        </w:rPr>
        <w:drawing>
          <wp:inline distT="0" distB="0" distL="0" distR="0">
            <wp:extent cx="2907030" cy="3473450"/>
            <wp:effectExtent l="19050" t="0" r="7620" b="0"/>
            <wp:docPr id="3" name="Picture 3" descr="GREC PSD Fig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REC PSD Figure 2-1"/>
                    <pic:cNvPicPr>
                      <a:picLocks noChangeAspect="1" noChangeArrowheads="1"/>
                    </pic:cNvPicPr>
                  </pic:nvPicPr>
                  <pic:blipFill>
                    <a:blip r:embed="rId10" cstate="print"/>
                    <a:srcRect l="8649" t="3755" r="3946" b="16197"/>
                    <a:stretch>
                      <a:fillRect/>
                    </a:stretch>
                  </pic:blipFill>
                  <pic:spPr bwMode="auto">
                    <a:xfrm>
                      <a:off x="0" y="0"/>
                      <a:ext cx="2907030" cy="3473450"/>
                    </a:xfrm>
                    <a:prstGeom prst="rect">
                      <a:avLst/>
                    </a:prstGeom>
                    <a:noFill/>
                    <a:ln w="9525">
                      <a:noFill/>
                      <a:miter lim="800000"/>
                      <a:headEnd/>
                      <a:tailEnd/>
                    </a:ln>
                  </pic:spPr>
                </pic:pic>
              </a:graphicData>
            </a:graphic>
          </wp:inline>
        </w:drawing>
      </w:r>
      <w:r w:rsidR="00A10374">
        <w:rPr>
          <w:b/>
          <w:sz w:val="22"/>
          <w:szCs w:val="22"/>
        </w:rPr>
        <w:tab/>
      </w:r>
    </w:p>
    <w:p w:rsidR="00BB5B37" w:rsidRPr="00C53B8E" w:rsidRDefault="00C53B8E" w:rsidP="00A72BE6">
      <w:pPr>
        <w:pStyle w:val="Caption"/>
        <w:tabs>
          <w:tab w:val="left" w:pos="4860"/>
        </w:tabs>
        <w:ind w:left="720"/>
        <w:rPr>
          <w:color w:val="000000" w:themeColor="text1"/>
          <w:sz w:val="22"/>
          <w:szCs w:val="22"/>
        </w:rPr>
      </w:pPr>
      <w:bookmarkStart w:id="1" w:name="_Ref367944586"/>
      <w:r w:rsidRPr="00C53B8E">
        <w:rPr>
          <w:color w:val="000000" w:themeColor="text1"/>
          <w:sz w:val="22"/>
          <w:szCs w:val="22"/>
        </w:rPr>
        <w:t xml:space="preserve">Figure </w:t>
      </w:r>
      <w:r w:rsidR="00BE3454" w:rsidRPr="00C53B8E">
        <w:rPr>
          <w:color w:val="000000" w:themeColor="text1"/>
          <w:sz w:val="22"/>
          <w:szCs w:val="22"/>
        </w:rPr>
        <w:fldChar w:fldCharType="begin"/>
      </w:r>
      <w:r w:rsidRPr="00C53B8E">
        <w:rPr>
          <w:color w:val="000000" w:themeColor="text1"/>
          <w:sz w:val="22"/>
          <w:szCs w:val="22"/>
        </w:rPr>
        <w:instrText xml:space="preserve"> SEQ Figure \* ARABIC </w:instrText>
      </w:r>
      <w:r w:rsidR="00BE3454" w:rsidRPr="00C53B8E">
        <w:rPr>
          <w:color w:val="000000" w:themeColor="text1"/>
          <w:sz w:val="22"/>
          <w:szCs w:val="22"/>
        </w:rPr>
        <w:fldChar w:fldCharType="separate"/>
      </w:r>
      <w:r w:rsidR="00AF47D7">
        <w:rPr>
          <w:noProof/>
          <w:color w:val="000000" w:themeColor="text1"/>
          <w:sz w:val="22"/>
          <w:szCs w:val="22"/>
        </w:rPr>
        <w:t>1</w:t>
      </w:r>
      <w:r w:rsidR="00BE3454" w:rsidRPr="00C53B8E">
        <w:rPr>
          <w:color w:val="000000" w:themeColor="text1"/>
          <w:sz w:val="22"/>
          <w:szCs w:val="22"/>
        </w:rPr>
        <w:fldChar w:fldCharType="end"/>
      </w:r>
      <w:bookmarkEnd w:id="1"/>
      <w:r w:rsidRPr="00C53B8E">
        <w:rPr>
          <w:color w:val="000000" w:themeColor="text1"/>
          <w:sz w:val="22"/>
          <w:szCs w:val="22"/>
        </w:rPr>
        <w:t xml:space="preserve"> </w:t>
      </w:r>
      <w:r w:rsidR="00611343" w:rsidRPr="00C53B8E">
        <w:rPr>
          <w:color w:val="000000" w:themeColor="text1"/>
          <w:sz w:val="22"/>
          <w:szCs w:val="22"/>
        </w:rPr>
        <w:t>–</w:t>
      </w:r>
      <w:r w:rsidR="00BB5B37" w:rsidRPr="00C53B8E">
        <w:rPr>
          <w:color w:val="000000" w:themeColor="text1"/>
          <w:sz w:val="22"/>
          <w:szCs w:val="22"/>
        </w:rPr>
        <w:t xml:space="preserve"> </w:t>
      </w:r>
      <w:r w:rsidR="000425AD" w:rsidRPr="00C53B8E">
        <w:rPr>
          <w:color w:val="000000" w:themeColor="text1"/>
          <w:sz w:val="22"/>
          <w:szCs w:val="22"/>
        </w:rPr>
        <w:t>GREC</w:t>
      </w:r>
      <w:r w:rsidR="004E045F" w:rsidRPr="00C53B8E">
        <w:rPr>
          <w:color w:val="000000" w:themeColor="text1"/>
          <w:sz w:val="22"/>
          <w:szCs w:val="22"/>
        </w:rPr>
        <w:t xml:space="preserve"> </w:t>
      </w:r>
      <w:r>
        <w:rPr>
          <w:color w:val="000000" w:themeColor="text1"/>
          <w:sz w:val="22"/>
          <w:szCs w:val="22"/>
        </w:rPr>
        <w:t>Boundary.</w:t>
      </w:r>
      <w:r w:rsidR="00A10374" w:rsidRPr="00C53B8E">
        <w:rPr>
          <w:bCs w:val="0"/>
          <w:color w:val="auto"/>
          <w:sz w:val="22"/>
          <w:szCs w:val="22"/>
        </w:rPr>
        <w:tab/>
      </w:r>
      <w:bookmarkStart w:id="2" w:name="_Ref367944695"/>
      <w:r>
        <w:rPr>
          <w:bCs w:val="0"/>
          <w:color w:val="auto"/>
          <w:sz w:val="22"/>
          <w:szCs w:val="22"/>
        </w:rPr>
        <w:tab/>
      </w:r>
      <w:r w:rsidRPr="00C53B8E">
        <w:rPr>
          <w:color w:val="000000" w:themeColor="text1"/>
          <w:sz w:val="22"/>
          <w:szCs w:val="22"/>
        </w:rPr>
        <w:t xml:space="preserve">Figure </w:t>
      </w:r>
      <w:r w:rsidR="00BE3454" w:rsidRPr="00C53B8E">
        <w:rPr>
          <w:color w:val="000000" w:themeColor="text1"/>
          <w:sz w:val="22"/>
          <w:szCs w:val="22"/>
        </w:rPr>
        <w:fldChar w:fldCharType="begin"/>
      </w:r>
      <w:r w:rsidRPr="00C53B8E">
        <w:rPr>
          <w:color w:val="000000" w:themeColor="text1"/>
          <w:sz w:val="22"/>
          <w:szCs w:val="22"/>
        </w:rPr>
        <w:instrText xml:space="preserve"> SEQ Figure \* ARABIC </w:instrText>
      </w:r>
      <w:r w:rsidR="00BE3454" w:rsidRPr="00C53B8E">
        <w:rPr>
          <w:color w:val="000000" w:themeColor="text1"/>
          <w:sz w:val="22"/>
          <w:szCs w:val="22"/>
        </w:rPr>
        <w:fldChar w:fldCharType="separate"/>
      </w:r>
      <w:r w:rsidR="00AF47D7">
        <w:rPr>
          <w:noProof/>
          <w:color w:val="000000" w:themeColor="text1"/>
          <w:sz w:val="22"/>
          <w:szCs w:val="22"/>
        </w:rPr>
        <w:t>2</w:t>
      </w:r>
      <w:r w:rsidR="00BE3454" w:rsidRPr="00C53B8E">
        <w:rPr>
          <w:color w:val="000000" w:themeColor="text1"/>
          <w:sz w:val="22"/>
          <w:szCs w:val="22"/>
        </w:rPr>
        <w:fldChar w:fldCharType="end"/>
      </w:r>
      <w:bookmarkEnd w:id="2"/>
      <w:r w:rsidR="00611343">
        <w:rPr>
          <w:color w:val="000000" w:themeColor="text1"/>
          <w:sz w:val="22"/>
          <w:szCs w:val="22"/>
        </w:rPr>
        <w:t xml:space="preserve"> </w:t>
      </w:r>
      <w:r w:rsidR="00A10374" w:rsidRPr="00C53B8E">
        <w:rPr>
          <w:color w:val="000000" w:themeColor="text1"/>
          <w:sz w:val="22"/>
          <w:szCs w:val="22"/>
        </w:rPr>
        <w:t xml:space="preserve">– </w:t>
      </w:r>
      <w:r>
        <w:rPr>
          <w:color w:val="000000" w:themeColor="text1"/>
          <w:sz w:val="22"/>
          <w:szCs w:val="22"/>
        </w:rPr>
        <w:t xml:space="preserve">Alachua County and </w:t>
      </w:r>
      <w:r w:rsidR="00A10374" w:rsidRPr="00C53B8E">
        <w:rPr>
          <w:color w:val="000000" w:themeColor="text1"/>
          <w:sz w:val="22"/>
          <w:szCs w:val="22"/>
        </w:rPr>
        <w:t>Site</w:t>
      </w:r>
      <w:r>
        <w:rPr>
          <w:color w:val="000000" w:themeColor="text1"/>
          <w:sz w:val="22"/>
          <w:szCs w:val="22"/>
        </w:rPr>
        <w:t xml:space="preserve"> Location.</w:t>
      </w:r>
    </w:p>
    <w:p w:rsidR="00551748" w:rsidRDefault="00BA0CD7" w:rsidP="00CB2963">
      <w:pPr>
        <w:autoSpaceDE w:val="0"/>
        <w:autoSpaceDN w:val="0"/>
        <w:adjustRightInd w:val="0"/>
        <w:spacing w:after="120"/>
        <w:rPr>
          <w:rFonts w:ascii="TimesNewRoman" w:hAnsi="TimesNewRoman" w:cs="TimesNewRoman"/>
          <w:sz w:val="22"/>
          <w:szCs w:val="22"/>
        </w:rPr>
      </w:pPr>
      <w:r w:rsidRPr="00BA0CD7">
        <w:rPr>
          <w:rFonts w:ascii="TimesNewRoman" w:hAnsi="TimesNewRoman" w:cs="TimesNewRoman"/>
          <w:sz w:val="22"/>
          <w:szCs w:val="22"/>
        </w:rPr>
        <w:t>The nearest Prevention of Significant Deterioration (PSD) Class I areas are the Okefenokee</w:t>
      </w:r>
      <w:r>
        <w:rPr>
          <w:rFonts w:ascii="TimesNewRoman" w:hAnsi="TimesNewRoman" w:cs="TimesNewRoman"/>
          <w:sz w:val="22"/>
          <w:szCs w:val="22"/>
        </w:rPr>
        <w:t xml:space="preserve"> National Wildlife Area (NWA) located approximately 93 km north of GREC and the </w:t>
      </w:r>
      <w:r w:rsidRPr="00BA0CD7">
        <w:rPr>
          <w:rFonts w:ascii="TimesNewRoman" w:hAnsi="TimesNewRoman" w:cs="TimesNewRoman"/>
          <w:sz w:val="22"/>
          <w:szCs w:val="22"/>
        </w:rPr>
        <w:t xml:space="preserve">Chassahowitzka NWA </w:t>
      </w:r>
      <w:r>
        <w:rPr>
          <w:rFonts w:ascii="TimesNewRoman" w:hAnsi="TimesNewRoman" w:cs="TimesNewRoman"/>
          <w:sz w:val="22"/>
          <w:szCs w:val="22"/>
        </w:rPr>
        <w:t xml:space="preserve">located approximately </w:t>
      </w:r>
      <w:r w:rsidRPr="00BA0CD7">
        <w:rPr>
          <w:rFonts w:ascii="TimesNewRoman" w:hAnsi="TimesNewRoman" w:cs="TimesNewRoman"/>
          <w:sz w:val="22"/>
          <w:szCs w:val="22"/>
        </w:rPr>
        <w:t>110 km southwest of GREC.</w:t>
      </w:r>
    </w:p>
    <w:p w:rsidR="00611343" w:rsidRDefault="00611343" w:rsidP="005858D6">
      <w:pPr>
        <w:autoSpaceDE w:val="0"/>
        <w:autoSpaceDN w:val="0"/>
        <w:adjustRightInd w:val="0"/>
        <w:spacing w:after="120"/>
        <w:rPr>
          <w:rFonts w:ascii="TimesNewRoman" w:hAnsi="TimesNewRoman" w:cs="TimesNewRoman"/>
          <w:sz w:val="22"/>
          <w:szCs w:val="22"/>
        </w:rPr>
      </w:pPr>
      <w:r>
        <w:rPr>
          <w:rFonts w:ascii="TimesNewRoman" w:hAnsi="TimesNewRoman" w:cs="TimesNewRoman"/>
          <w:sz w:val="22"/>
          <w:szCs w:val="22"/>
        </w:rPr>
        <w:t xml:space="preserve">A satellite view of the GREC facility </w:t>
      </w:r>
      <w:r w:rsidR="00F43C32">
        <w:rPr>
          <w:rFonts w:ascii="TimesNewRoman" w:hAnsi="TimesNewRoman" w:cs="TimesNewRoman"/>
          <w:sz w:val="22"/>
          <w:szCs w:val="22"/>
        </w:rPr>
        <w:t xml:space="preserve">under construction </w:t>
      </w:r>
      <w:r>
        <w:rPr>
          <w:rFonts w:ascii="TimesNewRoman" w:hAnsi="TimesNewRoman" w:cs="TimesNewRoman"/>
          <w:sz w:val="22"/>
          <w:szCs w:val="22"/>
        </w:rPr>
        <w:t>is shown in</w:t>
      </w:r>
      <w:r w:rsidR="00F43C32">
        <w:rPr>
          <w:rFonts w:ascii="TimesNewRoman" w:hAnsi="TimesNewRoman" w:cs="TimesNewRoman"/>
          <w:sz w:val="22"/>
          <w:szCs w:val="22"/>
        </w:rPr>
        <w:t xml:space="preserve"> </w:t>
      </w:r>
      <w:r w:rsidR="00BE3454">
        <w:rPr>
          <w:rFonts w:ascii="TimesNewRoman" w:hAnsi="TimesNewRoman" w:cs="TimesNewRoman"/>
          <w:sz w:val="22"/>
          <w:szCs w:val="22"/>
        </w:rPr>
        <w:fldChar w:fldCharType="begin"/>
      </w:r>
      <w:r w:rsidR="00F43C32">
        <w:rPr>
          <w:rFonts w:ascii="TimesNewRoman" w:hAnsi="TimesNewRoman" w:cs="TimesNewRoman"/>
          <w:sz w:val="22"/>
          <w:szCs w:val="22"/>
        </w:rPr>
        <w:instrText xml:space="preserve"> REF _Ref367946880 \h </w:instrText>
      </w:r>
      <w:r w:rsidR="00BE3454">
        <w:rPr>
          <w:rFonts w:ascii="TimesNewRoman" w:hAnsi="TimesNewRoman" w:cs="TimesNewRoman"/>
          <w:sz w:val="22"/>
          <w:szCs w:val="22"/>
        </w:rPr>
      </w:r>
      <w:r w:rsidR="00BE3454">
        <w:rPr>
          <w:rFonts w:ascii="TimesNewRoman" w:hAnsi="TimesNewRoman" w:cs="TimesNewRoman"/>
          <w:sz w:val="22"/>
          <w:szCs w:val="22"/>
        </w:rPr>
        <w:fldChar w:fldCharType="separate"/>
      </w:r>
      <w:r w:rsidR="00AF47D7" w:rsidRPr="00F43C32">
        <w:rPr>
          <w:color w:val="000000" w:themeColor="text1"/>
          <w:sz w:val="22"/>
          <w:szCs w:val="22"/>
        </w:rPr>
        <w:t xml:space="preserve">Figure </w:t>
      </w:r>
      <w:r w:rsidR="00AF47D7">
        <w:rPr>
          <w:noProof/>
          <w:color w:val="000000" w:themeColor="text1"/>
          <w:sz w:val="22"/>
          <w:szCs w:val="22"/>
        </w:rPr>
        <w:t>3</w:t>
      </w:r>
      <w:r w:rsidR="00BE3454">
        <w:rPr>
          <w:rFonts w:ascii="TimesNewRoman" w:hAnsi="TimesNewRoman" w:cs="TimesNewRoman"/>
          <w:sz w:val="22"/>
          <w:szCs w:val="22"/>
        </w:rPr>
        <w:fldChar w:fldCharType="end"/>
      </w:r>
      <w:r w:rsidR="00F43C32">
        <w:rPr>
          <w:rFonts w:ascii="TimesNewRoman" w:hAnsi="TimesNewRoman" w:cs="TimesNewRoman"/>
          <w:sz w:val="22"/>
          <w:szCs w:val="22"/>
        </w:rPr>
        <w:t xml:space="preserve">. </w:t>
      </w:r>
      <w:r>
        <w:rPr>
          <w:rFonts w:ascii="TimesNewRoman" w:hAnsi="TimesNewRoman" w:cs="TimesNewRoman"/>
          <w:sz w:val="22"/>
          <w:szCs w:val="22"/>
        </w:rPr>
        <w:t xml:space="preserve"> </w:t>
      </w:r>
      <w:r w:rsidR="00A72BE6">
        <w:rPr>
          <w:rFonts w:ascii="TimesNewRoman" w:hAnsi="TimesNewRoman" w:cs="TimesNewRoman"/>
          <w:sz w:val="22"/>
          <w:szCs w:val="22"/>
        </w:rPr>
        <w:t xml:space="preserve">A view </w:t>
      </w:r>
      <w:r w:rsidR="00C77965">
        <w:rPr>
          <w:rFonts w:ascii="TimesNewRoman" w:hAnsi="TimesNewRoman" w:cs="TimesNewRoman"/>
          <w:sz w:val="22"/>
          <w:szCs w:val="22"/>
        </w:rPr>
        <w:t>GRU D</w:t>
      </w:r>
      <w:r w:rsidR="00EA1DD4">
        <w:rPr>
          <w:rFonts w:ascii="TimesNewRoman" w:hAnsi="TimesNewRoman" w:cs="TimesNewRoman"/>
          <w:sz w:val="22"/>
          <w:szCs w:val="22"/>
        </w:rPr>
        <w:t>G</w:t>
      </w:r>
      <w:r w:rsidR="00C77965">
        <w:rPr>
          <w:rFonts w:ascii="TimesNewRoman" w:hAnsi="TimesNewRoman" w:cs="TimesNewRoman"/>
          <w:sz w:val="22"/>
          <w:szCs w:val="22"/>
        </w:rPr>
        <w:t xml:space="preserve">S Units 1 and 2 </w:t>
      </w:r>
      <w:r w:rsidR="00A72BE6">
        <w:rPr>
          <w:rFonts w:ascii="TimesNewRoman" w:hAnsi="TimesNewRoman" w:cs="TimesNewRoman"/>
          <w:sz w:val="22"/>
          <w:szCs w:val="22"/>
        </w:rPr>
        <w:t>from the GREC site is</w:t>
      </w:r>
      <w:r w:rsidR="00C77965">
        <w:rPr>
          <w:rFonts w:ascii="TimesNewRoman" w:hAnsi="TimesNewRoman" w:cs="TimesNewRoman"/>
          <w:sz w:val="22"/>
          <w:szCs w:val="22"/>
        </w:rPr>
        <w:t xml:space="preserve"> shown in </w:t>
      </w:r>
      <w:r w:rsidR="00BE3454">
        <w:rPr>
          <w:rFonts w:ascii="TimesNewRoman" w:hAnsi="TimesNewRoman" w:cs="TimesNewRoman"/>
          <w:sz w:val="22"/>
          <w:szCs w:val="22"/>
        </w:rPr>
        <w:fldChar w:fldCharType="begin"/>
      </w:r>
      <w:r>
        <w:rPr>
          <w:rFonts w:ascii="TimesNewRoman" w:hAnsi="TimesNewRoman" w:cs="TimesNewRoman"/>
          <w:sz w:val="22"/>
          <w:szCs w:val="22"/>
        </w:rPr>
        <w:instrText xml:space="preserve"> REF _Ref367945661 \h </w:instrText>
      </w:r>
      <w:r w:rsidR="00BE3454">
        <w:rPr>
          <w:rFonts w:ascii="TimesNewRoman" w:hAnsi="TimesNewRoman" w:cs="TimesNewRoman"/>
          <w:sz w:val="22"/>
          <w:szCs w:val="22"/>
        </w:rPr>
      </w:r>
      <w:r w:rsidR="00BE3454">
        <w:rPr>
          <w:rFonts w:ascii="TimesNewRoman" w:hAnsi="TimesNewRoman" w:cs="TimesNewRoman"/>
          <w:sz w:val="22"/>
          <w:szCs w:val="22"/>
        </w:rPr>
        <w:fldChar w:fldCharType="separate"/>
      </w:r>
      <w:r w:rsidR="00AF47D7" w:rsidRPr="00611343">
        <w:rPr>
          <w:color w:val="000000" w:themeColor="text1"/>
          <w:sz w:val="22"/>
          <w:szCs w:val="22"/>
        </w:rPr>
        <w:t xml:space="preserve">Figure </w:t>
      </w:r>
      <w:r w:rsidR="00AF47D7">
        <w:rPr>
          <w:noProof/>
          <w:color w:val="000000" w:themeColor="text1"/>
          <w:sz w:val="22"/>
          <w:szCs w:val="22"/>
        </w:rPr>
        <w:t>4</w:t>
      </w:r>
      <w:r w:rsidR="00BE3454">
        <w:rPr>
          <w:rFonts w:ascii="TimesNewRoman" w:hAnsi="TimesNewRoman" w:cs="TimesNewRoman"/>
          <w:sz w:val="22"/>
          <w:szCs w:val="22"/>
        </w:rPr>
        <w:fldChar w:fldCharType="end"/>
      </w:r>
      <w:r w:rsidR="00C77965">
        <w:rPr>
          <w:rFonts w:ascii="TimesNewRoman" w:hAnsi="TimesNewRoman" w:cs="TimesNewRoman"/>
          <w:sz w:val="22"/>
          <w:szCs w:val="22"/>
        </w:rPr>
        <w:t xml:space="preserve"> below.  The stack on the right hand side belongs to </w:t>
      </w:r>
      <w:r w:rsidR="005858D6">
        <w:rPr>
          <w:rFonts w:ascii="TimesNewRoman" w:hAnsi="TimesNewRoman" w:cs="TimesNewRoman"/>
          <w:sz w:val="22"/>
          <w:szCs w:val="22"/>
        </w:rPr>
        <w:t xml:space="preserve">gas and oil-fueled </w:t>
      </w:r>
      <w:r w:rsidR="00C77965">
        <w:rPr>
          <w:rFonts w:ascii="TimesNewRoman" w:hAnsi="TimesNewRoman" w:cs="TimesNewRoman"/>
          <w:sz w:val="22"/>
          <w:szCs w:val="22"/>
        </w:rPr>
        <w:t xml:space="preserve">Unit 1, which </w:t>
      </w:r>
      <w:r w:rsidR="005858D6">
        <w:rPr>
          <w:rFonts w:ascii="TimesNewRoman" w:hAnsi="TimesNewRoman" w:cs="TimesNewRoman"/>
          <w:sz w:val="22"/>
          <w:szCs w:val="22"/>
        </w:rPr>
        <w:t>has a generating capacity of approximately 75 MW</w:t>
      </w:r>
      <w:r w:rsidR="00A72BE6">
        <w:rPr>
          <w:rFonts w:ascii="TimesNewRoman" w:hAnsi="TimesNewRoman" w:cs="TimesNewRoman"/>
          <w:sz w:val="22"/>
          <w:szCs w:val="22"/>
        </w:rPr>
        <w:t>, while t</w:t>
      </w:r>
      <w:r w:rsidR="00C77965">
        <w:rPr>
          <w:rFonts w:ascii="TimesNewRoman" w:hAnsi="TimesNewRoman" w:cs="TimesNewRoman"/>
          <w:sz w:val="22"/>
          <w:szCs w:val="22"/>
        </w:rPr>
        <w:t>he taller, wider stack on the left hand side belongs to Unit 2</w:t>
      </w:r>
      <w:r w:rsidR="005858D6">
        <w:rPr>
          <w:rFonts w:ascii="TimesNewRoman" w:hAnsi="TimesNewRoman" w:cs="TimesNewRoman"/>
          <w:sz w:val="22"/>
          <w:szCs w:val="22"/>
        </w:rPr>
        <w:t>,</w:t>
      </w:r>
      <w:r w:rsidR="00C77965">
        <w:rPr>
          <w:rFonts w:ascii="TimesNewRoman" w:hAnsi="TimesNewRoman" w:cs="TimesNewRoman"/>
          <w:sz w:val="22"/>
          <w:szCs w:val="22"/>
        </w:rPr>
        <w:t xml:space="preserve"> which is primarily a coal-fueled unit with an approximate generating capacity of 251 </w:t>
      </w:r>
      <w:r w:rsidR="00CB2963">
        <w:rPr>
          <w:rFonts w:ascii="TimesNewRoman" w:hAnsi="TimesNewRoman" w:cs="TimesNewRoman"/>
          <w:sz w:val="22"/>
          <w:szCs w:val="22"/>
        </w:rPr>
        <w:t>MW</w:t>
      </w:r>
      <w:r w:rsidR="00C77965">
        <w:rPr>
          <w:rFonts w:ascii="TimesNewRoman" w:hAnsi="TimesNewRoman" w:cs="TimesNewRoman"/>
          <w:sz w:val="22"/>
          <w:szCs w:val="22"/>
        </w:rPr>
        <w:t xml:space="preserve">.  </w:t>
      </w:r>
      <w:r w:rsidR="00BE3454">
        <w:rPr>
          <w:rFonts w:ascii="TimesNewRoman" w:hAnsi="TimesNewRoman" w:cs="TimesNewRoman"/>
          <w:sz w:val="22"/>
          <w:szCs w:val="22"/>
        </w:rPr>
        <w:fldChar w:fldCharType="begin"/>
      </w:r>
      <w:r>
        <w:rPr>
          <w:rFonts w:ascii="TimesNewRoman" w:hAnsi="TimesNewRoman" w:cs="TimesNewRoman"/>
          <w:sz w:val="22"/>
          <w:szCs w:val="22"/>
        </w:rPr>
        <w:instrText xml:space="preserve"> REF _Ref367945677 \h </w:instrText>
      </w:r>
      <w:r w:rsidR="00BE3454">
        <w:rPr>
          <w:rFonts w:ascii="TimesNewRoman" w:hAnsi="TimesNewRoman" w:cs="TimesNewRoman"/>
          <w:sz w:val="22"/>
          <w:szCs w:val="22"/>
        </w:rPr>
      </w:r>
      <w:r w:rsidR="00BE3454">
        <w:rPr>
          <w:rFonts w:ascii="TimesNewRoman" w:hAnsi="TimesNewRoman" w:cs="TimesNewRoman"/>
          <w:sz w:val="22"/>
          <w:szCs w:val="22"/>
        </w:rPr>
        <w:fldChar w:fldCharType="separate"/>
      </w:r>
      <w:r w:rsidR="00AF47D7" w:rsidRPr="00611343">
        <w:rPr>
          <w:color w:val="000000" w:themeColor="text1"/>
          <w:sz w:val="22"/>
          <w:szCs w:val="22"/>
        </w:rPr>
        <w:t xml:space="preserve">Figure </w:t>
      </w:r>
      <w:r w:rsidR="00AF47D7">
        <w:rPr>
          <w:noProof/>
          <w:color w:val="000000" w:themeColor="text1"/>
          <w:sz w:val="22"/>
          <w:szCs w:val="22"/>
        </w:rPr>
        <w:t>5</w:t>
      </w:r>
      <w:r w:rsidR="00BE3454">
        <w:rPr>
          <w:rFonts w:ascii="TimesNewRoman" w:hAnsi="TimesNewRoman" w:cs="TimesNewRoman"/>
          <w:sz w:val="22"/>
          <w:szCs w:val="22"/>
        </w:rPr>
        <w:fldChar w:fldCharType="end"/>
      </w:r>
      <w:r>
        <w:rPr>
          <w:rFonts w:ascii="TimesNewRoman" w:hAnsi="TimesNewRoman" w:cs="TimesNewRoman"/>
          <w:sz w:val="22"/>
          <w:szCs w:val="22"/>
        </w:rPr>
        <w:t xml:space="preserve"> </w:t>
      </w:r>
      <w:r w:rsidR="005858D6">
        <w:rPr>
          <w:rFonts w:ascii="TimesNewRoman" w:hAnsi="TimesNewRoman" w:cs="TimesNewRoman"/>
          <w:sz w:val="22"/>
          <w:szCs w:val="22"/>
        </w:rPr>
        <w:t xml:space="preserve">is a </w:t>
      </w:r>
      <w:r w:rsidR="00A72BE6">
        <w:rPr>
          <w:rFonts w:ascii="TimesNewRoman" w:hAnsi="TimesNewRoman" w:cs="TimesNewRoman"/>
          <w:sz w:val="22"/>
          <w:szCs w:val="22"/>
        </w:rPr>
        <w:t xml:space="preserve">view of the bubbling fluidized bed (BFB) boiler </w:t>
      </w:r>
      <w:r>
        <w:rPr>
          <w:rFonts w:ascii="TimesNewRoman" w:hAnsi="TimesNewRoman" w:cs="TimesNewRoman"/>
          <w:sz w:val="22"/>
          <w:szCs w:val="22"/>
        </w:rPr>
        <w:t>at</w:t>
      </w:r>
      <w:r w:rsidR="00A72BE6">
        <w:rPr>
          <w:rFonts w:ascii="TimesNewRoman" w:hAnsi="TimesNewRoman" w:cs="TimesNewRoman"/>
          <w:sz w:val="22"/>
          <w:szCs w:val="22"/>
        </w:rPr>
        <w:t xml:space="preserve"> GREC</w:t>
      </w:r>
      <w:r w:rsidR="005858D6">
        <w:rPr>
          <w:rFonts w:ascii="TimesNewRoman" w:hAnsi="TimesNewRoman" w:cs="TimesNewRoman"/>
          <w:sz w:val="22"/>
          <w:szCs w:val="22"/>
        </w:rPr>
        <w:t>.</w:t>
      </w:r>
      <w:r>
        <w:rPr>
          <w:rFonts w:ascii="TimesNewRoman" w:hAnsi="TimesNewRoman" w:cs="TimesNewRoman"/>
          <w:sz w:val="22"/>
          <w:szCs w:val="22"/>
        </w:rPr>
        <w:t xml:space="preserve">  This boiler combusts clean woody biomass to generate steam that is then sent to a steam turbine electrical generator (STEG) to produce a 100 MW</w:t>
      </w:r>
      <w:r w:rsidR="006A110E">
        <w:rPr>
          <w:rFonts w:ascii="TimesNewRoman" w:hAnsi="TimesNewRoman" w:cs="TimesNewRoman"/>
          <w:sz w:val="22"/>
          <w:szCs w:val="22"/>
        </w:rPr>
        <w:t>-net</w:t>
      </w:r>
      <w:r>
        <w:rPr>
          <w:rFonts w:ascii="TimesNewRoman" w:hAnsi="TimesNewRoman" w:cs="TimesNewRoman"/>
          <w:sz w:val="22"/>
          <w:szCs w:val="22"/>
        </w:rPr>
        <w:t xml:space="preserve"> of electrical power for sale to the grid.</w:t>
      </w:r>
    </w:p>
    <w:p w:rsidR="00611343" w:rsidRDefault="00611343">
      <w:pPr>
        <w:rPr>
          <w:rFonts w:ascii="TimesNewRoman" w:hAnsi="TimesNewRoman" w:cs="TimesNewRoman"/>
          <w:sz w:val="22"/>
          <w:szCs w:val="22"/>
        </w:rPr>
      </w:pPr>
      <w:r>
        <w:rPr>
          <w:rFonts w:ascii="TimesNewRoman" w:hAnsi="TimesNewRoman" w:cs="TimesNewRoman"/>
          <w:sz w:val="22"/>
          <w:szCs w:val="22"/>
        </w:rPr>
        <w:br w:type="page"/>
      </w:r>
    </w:p>
    <w:p w:rsidR="00C77965" w:rsidRDefault="00BE3454" w:rsidP="005858D6">
      <w:pPr>
        <w:autoSpaceDE w:val="0"/>
        <w:autoSpaceDN w:val="0"/>
        <w:adjustRightInd w:val="0"/>
        <w:spacing w:after="120"/>
        <w:rPr>
          <w:sz w:val="22"/>
          <w:szCs w:val="22"/>
        </w:rPr>
      </w:pPr>
      <w:r>
        <w:rPr>
          <w:noProof/>
          <w:sz w:val="22"/>
          <w:szCs w:val="22"/>
        </w:rPr>
        <w:lastRenderedPageBreak/>
        <w:pict>
          <v:shapetype id="_x0000_t32" coordsize="21600,21600" o:spt="32" o:oned="t" path="m,l21600,21600e" filled="f">
            <v:path arrowok="t" fillok="f" o:connecttype="none"/>
            <o:lock v:ext="edit" shapetype="t"/>
          </v:shapetype>
          <v:shape id="_x0000_s1273" type="#_x0000_t32" style="position:absolute;margin-left:132.2pt;margin-top:30pt;width:87.55pt;height:95.1pt;z-index:251700224" o:connectortype="straight" strokecolor="#c00000" strokeweight="1pt">
            <v:stroke endarrow="open" endarrowwidth="wide" endarrowlength="long"/>
          </v:shape>
        </w:pict>
      </w:r>
      <w:r>
        <w:rPr>
          <w:noProof/>
          <w:sz w:val="22"/>
          <w:szCs w:val="22"/>
          <w:lang w:eastAsia="zh-TW"/>
        </w:rPr>
        <w:pict>
          <v:shape id="_x0000_s1272" type="#_x0000_t202" style="position:absolute;margin-left:68pt;margin-top:9.7pt;width:117.35pt;height:23pt;z-index:251699200;mso-width-relative:margin;mso-height-relative:margin" filled="f" stroked="f">
            <v:textbox>
              <w:txbxContent>
                <w:p w:rsidR="00395EB3" w:rsidRPr="00F43C32" w:rsidRDefault="00395EB3">
                  <w:pPr>
                    <w:rPr>
                      <w:b/>
                      <w:color w:val="C00000"/>
                      <w:sz w:val="22"/>
                      <w:szCs w:val="22"/>
                    </w:rPr>
                  </w:pPr>
                  <w:r w:rsidRPr="00F43C32">
                    <w:rPr>
                      <w:b/>
                      <w:color w:val="C00000"/>
                      <w:sz w:val="22"/>
                      <w:szCs w:val="22"/>
                    </w:rPr>
                    <w:t>BFB Boiler Location</w:t>
                  </w:r>
                </w:p>
              </w:txbxContent>
            </v:textbox>
          </v:shape>
        </w:pict>
      </w:r>
      <w:r>
        <w:rPr>
          <w:noProof/>
          <w:sz w:val="22"/>
          <w:szCs w:val="22"/>
        </w:rPr>
        <w:pict>
          <v:rect id="_x0000_s1269" style="position:absolute;margin-left:185.35pt;margin-top:125.1pt;width:87.05pt;height:71.45pt;z-index:251697152" filled="f" strokecolor="#c00000" strokeweight="2.25pt">
            <v:stroke dashstyle="dash"/>
          </v:rect>
        </w:pict>
      </w:r>
      <w:r w:rsidR="00F43C32">
        <w:rPr>
          <w:noProof/>
          <w:sz w:val="22"/>
          <w:szCs w:val="22"/>
        </w:rPr>
        <w:drawing>
          <wp:inline distT="0" distB="0" distL="0" distR="0">
            <wp:extent cx="5946742" cy="4879075"/>
            <wp:effectExtent l="1905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1" cstate="print"/>
                    <a:srcRect r="-29" b="10289"/>
                    <a:stretch>
                      <a:fillRect/>
                    </a:stretch>
                  </pic:blipFill>
                  <pic:spPr bwMode="auto">
                    <a:xfrm>
                      <a:off x="0" y="0"/>
                      <a:ext cx="5946742" cy="4879075"/>
                    </a:xfrm>
                    <a:prstGeom prst="rect">
                      <a:avLst/>
                    </a:prstGeom>
                    <a:noFill/>
                    <a:ln w="9525">
                      <a:noFill/>
                      <a:miter lim="800000"/>
                      <a:headEnd/>
                      <a:tailEnd/>
                    </a:ln>
                  </pic:spPr>
                </pic:pic>
              </a:graphicData>
            </a:graphic>
          </wp:inline>
        </w:drawing>
      </w:r>
    </w:p>
    <w:p w:rsidR="00611343" w:rsidRPr="00F43C32" w:rsidRDefault="00F43C32" w:rsidP="00F43C32">
      <w:pPr>
        <w:pStyle w:val="Caption"/>
        <w:jc w:val="center"/>
        <w:rPr>
          <w:color w:val="000000" w:themeColor="text1"/>
          <w:sz w:val="22"/>
          <w:szCs w:val="22"/>
        </w:rPr>
      </w:pPr>
      <w:bookmarkStart w:id="3" w:name="_Ref367946880"/>
      <w:r w:rsidRPr="00F43C32">
        <w:rPr>
          <w:color w:val="000000" w:themeColor="text1"/>
          <w:sz w:val="22"/>
          <w:szCs w:val="22"/>
        </w:rPr>
        <w:t xml:space="preserve">Figure </w:t>
      </w:r>
      <w:r w:rsidR="00BE3454" w:rsidRPr="00F43C32">
        <w:rPr>
          <w:color w:val="000000" w:themeColor="text1"/>
          <w:sz w:val="22"/>
          <w:szCs w:val="22"/>
        </w:rPr>
        <w:fldChar w:fldCharType="begin"/>
      </w:r>
      <w:r w:rsidRPr="00F43C32">
        <w:rPr>
          <w:color w:val="000000" w:themeColor="text1"/>
          <w:sz w:val="22"/>
          <w:szCs w:val="22"/>
        </w:rPr>
        <w:instrText xml:space="preserve"> SEQ Figure \* ARABIC </w:instrText>
      </w:r>
      <w:r w:rsidR="00BE3454" w:rsidRPr="00F43C32">
        <w:rPr>
          <w:color w:val="000000" w:themeColor="text1"/>
          <w:sz w:val="22"/>
          <w:szCs w:val="22"/>
        </w:rPr>
        <w:fldChar w:fldCharType="separate"/>
      </w:r>
      <w:r w:rsidR="00AF47D7">
        <w:rPr>
          <w:noProof/>
          <w:color w:val="000000" w:themeColor="text1"/>
          <w:sz w:val="22"/>
          <w:szCs w:val="22"/>
        </w:rPr>
        <w:t>3</w:t>
      </w:r>
      <w:r w:rsidR="00BE3454" w:rsidRPr="00F43C32">
        <w:rPr>
          <w:color w:val="000000" w:themeColor="text1"/>
          <w:sz w:val="22"/>
          <w:szCs w:val="22"/>
        </w:rPr>
        <w:fldChar w:fldCharType="end"/>
      </w:r>
      <w:bookmarkEnd w:id="3"/>
      <w:r w:rsidRPr="00F43C32">
        <w:rPr>
          <w:color w:val="000000" w:themeColor="text1"/>
          <w:sz w:val="22"/>
          <w:szCs w:val="22"/>
        </w:rPr>
        <w:t xml:space="preserve"> – Satellite View of the GREC Under Construction (BFB Boiler Highlighted).</w:t>
      </w:r>
    </w:p>
    <w:p w:rsidR="00C77965" w:rsidRDefault="00A72BE6" w:rsidP="00611343">
      <w:pPr>
        <w:tabs>
          <w:tab w:val="left" w:pos="4590"/>
        </w:tabs>
        <w:spacing w:after="120"/>
        <w:rPr>
          <w:sz w:val="22"/>
          <w:szCs w:val="22"/>
        </w:rPr>
      </w:pPr>
      <w:r>
        <w:rPr>
          <w:noProof/>
          <w:sz w:val="22"/>
          <w:szCs w:val="22"/>
        </w:rPr>
        <w:drawing>
          <wp:inline distT="0" distB="0" distL="0" distR="0">
            <wp:extent cx="2947130" cy="2122436"/>
            <wp:effectExtent l="19050" t="0" r="5620" b="0"/>
            <wp:docPr id="49" name="Picture 49" descr="O:\OPC\- Permitting Section\Read\Construction\GREC\GREC-FRI-04-2013\P10302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O:\OPC\- Permitting Section\Read\Construction\GREC\GREC-FRI-04-2013\P1030228.JPG"/>
                    <pic:cNvPicPr>
                      <a:picLocks noChangeAspect="1" noChangeArrowheads="1"/>
                    </pic:cNvPicPr>
                  </pic:nvPicPr>
                  <pic:blipFill>
                    <a:blip r:embed="rId12" cstate="print"/>
                    <a:srcRect t="3984"/>
                    <a:stretch>
                      <a:fillRect/>
                    </a:stretch>
                  </pic:blipFill>
                  <pic:spPr bwMode="auto">
                    <a:xfrm>
                      <a:off x="0" y="0"/>
                      <a:ext cx="2947741" cy="2122876"/>
                    </a:xfrm>
                    <a:prstGeom prst="rect">
                      <a:avLst/>
                    </a:prstGeom>
                    <a:noFill/>
                    <a:ln w="9525">
                      <a:noFill/>
                      <a:miter lim="800000"/>
                      <a:headEnd/>
                      <a:tailEnd/>
                    </a:ln>
                  </pic:spPr>
                </pic:pic>
              </a:graphicData>
            </a:graphic>
          </wp:inline>
        </w:drawing>
      </w:r>
      <w:r>
        <w:rPr>
          <w:sz w:val="22"/>
          <w:szCs w:val="22"/>
        </w:rPr>
        <w:tab/>
      </w:r>
      <w:r>
        <w:rPr>
          <w:noProof/>
          <w:sz w:val="22"/>
          <w:szCs w:val="22"/>
        </w:rPr>
        <w:drawing>
          <wp:inline distT="0" distB="0" distL="0" distR="0">
            <wp:extent cx="2823260" cy="2115404"/>
            <wp:effectExtent l="19050" t="0" r="0" b="0"/>
            <wp:docPr id="58" name="Picture 58" descr="O:\OPC\- Permitting Section\Read\Construction\GREC\GREC-FRI-04-2013\P10302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O:\OPC\- Permitting Section\Read\Construction\GREC\GREC-FRI-04-2013\P1030218.JPG"/>
                    <pic:cNvPicPr>
                      <a:picLocks noChangeAspect="1" noChangeArrowheads="1"/>
                    </pic:cNvPicPr>
                  </pic:nvPicPr>
                  <pic:blipFill>
                    <a:blip r:embed="rId13" cstate="print"/>
                    <a:srcRect/>
                    <a:stretch>
                      <a:fillRect/>
                    </a:stretch>
                  </pic:blipFill>
                  <pic:spPr bwMode="auto">
                    <a:xfrm>
                      <a:off x="0" y="0"/>
                      <a:ext cx="2827724" cy="2118748"/>
                    </a:xfrm>
                    <a:prstGeom prst="rect">
                      <a:avLst/>
                    </a:prstGeom>
                    <a:noFill/>
                    <a:ln w="9525">
                      <a:noFill/>
                      <a:miter lim="800000"/>
                      <a:headEnd/>
                      <a:tailEnd/>
                    </a:ln>
                  </pic:spPr>
                </pic:pic>
              </a:graphicData>
            </a:graphic>
          </wp:inline>
        </w:drawing>
      </w:r>
    </w:p>
    <w:p w:rsidR="00C77965" w:rsidRPr="00611343" w:rsidRDefault="00611343" w:rsidP="00611343">
      <w:pPr>
        <w:pStyle w:val="Caption"/>
        <w:tabs>
          <w:tab w:val="left" w:pos="5220"/>
        </w:tabs>
        <w:rPr>
          <w:color w:val="000000" w:themeColor="text1"/>
          <w:sz w:val="22"/>
          <w:szCs w:val="22"/>
        </w:rPr>
      </w:pPr>
      <w:bookmarkStart w:id="4" w:name="_Ref367945661"/>
      <w:r w:rsidRPr="00611343">
        <w:rPr>
          <w:color w:val="000000" w:themeColor="text1"/>
          <w:sz w:val="22"/>
          <w:szCs w:val="22"/>
        </w:rPr>
        <w:t xml:space="preserve">Figure </w:t>
      </w:r>
      <w:r w:rsidR="00BE3454" w:rsidRPr="00611343">
        <w:rPr>
          <w:color w:val="000000" w:themeColor="text1"/>
          <w:sz w:val="22"/>
          <w:szCs w:val="22"/>
        </w:rPr>
        <w:fldChar w:fldCharType="begin"/>
      </w:r>
      <w:r w:rsidRPr="00611343">
        <w:rPr>
          <w:color w:val="000000" w:themeColor="text1"/>
          <w:sz w:val="22"/>
          <w:szCs w:val="22"/>
        </w:rPr>
        <w:instrText xml:space="preserve"> SEQ Figure \* ARABIC </w:instrText>
      </w:r>
      <w:r w:rsidR="00BE3454" w:rsidRPr="00611343">
        <w:rPr>
          <w:color w:val="000000" w:themeColor="text1"/>
          <w:sz w:val="22"/>
          <w:szCs w:val="22"/>
        </w:rPr>
        <w:fldChar w:fldCharType="separate"/>
      </w:r>
      <w:r w:rsidR="00AF47D7">
        <w:rPr>
          <w:noProof/>
          <w:color w:val="000000" w:themeColor="text1"/>
          <w:sz w:val="22"/>
          <w:szCs w:val="22"/>
        </w:rPr>
        <w:t>4</w:t>
      </w:r>
      <w:r w:rsidR="00BE3454" w:rsidRPr="00611343">
        <w:rPr>
          <w:color w:val="000000" w:themeColor="text1"/>
          <w:sz w:val="22"/>
          <w:szCs w:val="22"/>
        </w:rPr>
        <w:fldChar w:fldCharType="end"/>
      </w:r>
      <w:bookmarkEnd w:id="4"/>
      <w:r>
        <w:rPr>
          <w:color w:val="000000" w:themeColor="text1"/>
          <w:sz w:val="22"/>
          <w:szCs w:val="22"/>
        </w:rPr>
        <w:t xml:space="preserve"> </w:t>
      </w:r>
      <w:r w:rsidR="00C77965" w:rsidRPr="00611343">
        <w:rPr>
          <w:color w:val="000000" w:themeColor="text1"/>
          <w:sz w:val="22"/>
          <w:szCs w:val="22"/>
        </w:rPr>
        <w:t xml:space="preserve">– </w:t>
      </w:r>
      <w:r w:rsidR="00A72BE6" w:rsidRPr="00611343">
        <w:rPr>
          <w:color w:val="000000" w:themeColor="text1"/>
          <w:sz w:val="22"/>
          <w:szCs w:val="22"/>
        </w:rPr>
        <w:t xml:space="preserve">View of </w:t>
      </w:r>
      <w:r w:rsidR="00C77965" w:rsidRPr="00611343">
        <w:rPr>
          <w:color w:val="000000" w:themeColor="text1"/>
          <w:sz w:val="22"/>
          <w:szCs w:val="22"/>
        </w:rPr>
        <w:t>GRU DHS Units 1 and 2</w:t>
      </w:r>
      <w:r w:rsidR="00A72BE6" w:rsidRPr="00611343">
        <w:rPr>
          <w:color w:val="000000" w:themeColor="text1"/>
          <w:sz w:val="22"/>
          <w:szCs w:val="22"/>
        </w:rPr>
        <w:t>.</w:t>
      </w:r>
      <w:r w:rsidR="00C77965" w:rsidRPr="00611343">
        <w:rPr>
          <w:color w:val="000000" w:themeColor="text1"/>
          <w:sz w:val="22"/>
          <w:szCs w:val="22"/>
        </w:rPr>
        <w:tab/>
      </w:r>
      <w:bookmarkStart w:id="5" w:name="_Ref367945677"/>
      <w:r w:rsidRPr="00611343">
        <w:rPr>
          <w:color w:val="000000" w:themeColor="text1"/>
          <w:sz w:val="22"/>
          <w:szCs w:val="22"/>
        </w:rPr>
        <w:t xml:space="preserve">Figure </w:t>
      </w:r>
      <w:r w:rsidR="00BE3454" w:rsidRPr="00611343">
        <w:rPr>
          <w:color w:val="000000" w:themeColor="text1"/>
          <w:sz w:val="22"/>
          <w:szCs w:val="22"/>
        </w:rPr>
        <w:fldChar w:fldCharType="begin"/>
      </w:r>
      <w:r w:rsidRPr="00611343">
        <w:rPr>
          <w:color w:val="000000" w:themeColor="text1"/>
          <w:sz w:val="22"/>
          <w:szCs w:val="22"/>
        </w:rPr>
        <w:instrText xml:space="preserve"> SEQ Figure \* ARABIC </w:instrText>
      </w:r>
      <w:r w:rsidR="00BE3454" w:rsidRPr="00611343">
        <w:rPr>
          <w:color w:val="000000" w:themeColor="text1"/>
          <w:sz w:val="22"/>
          <w:szCs w:val="22"/>
        </w:rPr>
        <w:fldChar w:fldCharType="separate"/>
      </w:r>
      <w:r w:rsidR="00AF47D7">
        <w:rPr>
          <w:noProof/>
          <w:color w:val="000000" w:themeColor="text1"/>
          <w:sz w:val="22"/>
          <w:szCs w:val="22"/>
        </w:rPr>
        <w:t>5</w:t>
      </w:r>
      <w:r w:rsidR="00BE3454" w:rsidRPr="00611343">
        <w:rPr>
          <w:color w:val="000000" w:themeColor="text1"/>
          <w:sz w:val="22"/>
          <w:szCs w:val="22"/>
        </w:rPr>
        <w:fldChar w:fldCharType="end"/>
      </w:r>
      <w:bookmarkEnd w:id="5"/>
      <w:r>
        <w:rPr>
          <w:color w:val="000000" w:themeColor="text1"/>
          <w:sz w:val="22"/>
          <w:szCs w:val="22"/>
        </w:rPr>
        <w:t xml:space="preserve"> </w:t>
      </w:r>
      <w:r w:rsidR="00C77965" w:rsidRPr="00611343">
        <w:rPr>
          <w:color w:val="000000" w:themeColor="text1"/>
          <w:sz w:val="22"/>
          <w:szCs w:val="22"/>
        </w:rPr>
        <w:t xml:space="preserve">– </w:t>
      </w:r>
      <w:r>
        <w:rPr>
          <w:color w:val="000000" w:themeColor="text1"/>
          <w:sz w:val="22"/>
          <w:szCs w:val="22"/>
        </w:rPr>
        <w:t>View of GREC BFB Boiler.</w:t>
      </w:r>
    </w:p>
    <w:p w:rsidR="006F2F08" w:rsidRDefault="00BE3454" w:rsidP="006F2F08">
      <w:pPr>
        <w:tabs>
          <w:tab w:val="left" w:pos="4680"/>
        </w:tabs>
        <w:spacing w:before="120" w:after="120"/>
        <w:ind w:right="-120"/>
        <w:rPr>
          <w:sz w:val="22"/>
          <w:szCs w:val="22"/>
        </w:rPr>
      </w:pPr>
      <w:r>
        <w:rPr>
          <w:sz w:val="22"/>
          <w:szCs w:val="22"/>
        </w:rPr>
        <w:fldChar w:fldCharType="begin"/>
      </w:r>
      <w:r w:rsidR="00913054">
        <w:rPr>
          <w:sz w:val="22"/>
          <w:szCs w:val="22"/>
        </w:rPr>
        <w:instrText xml:space="preserve"> REF _Ref367947792 \h </w:instrText>
      </w:r>
      <w:r>
        <w:rPr>
          <w:sz w:val="22"/>
          <w:szCs w:val="22"/>
        </w:rPr>
      </w:r>
      <w:r>
        <w:rPr>
          <w:sz w:val="22"/>
          <w:szCs w:val="22"/>
        </w:rPr>
        <w:fldChar w:fldCharType="separate"/>
      </w:r>
      <w:r w:rsidR="00AF47D7" w:rsidRPr="00913054">
        <w:rPr>
          <w:color w:val="000000" w:themeColor="text1"/>
          <w:sz w:val="22"/>
          <w:szCs w:val="22"/>
        </w:rPr>
        <w:t xml:space="preserve">Figure </w:t>
      </w:r>
      <w:r w:rsidR="00AF47D7">
        <w:rPr>
          <w:noProof/>
          <w:color w:val="000000" w:themeColor="text1"/>
          <w:sz w:val="22"/>
          <w:szCs w:val="22"/>
        </w:rPr>
        <w:t>6</w:t>
      </w:r>
      <w:r>
        <w:rPr>
          <w:sz w:val="22"/>
          <w:szCs w:val="22"/>
        </w:rPr>
        <w:fldChar w:fldCharType="end"/>
      </w:r>
      <w:r w:rsidR="00913054">
        <w:rPr>
          <w:sz w:val="22"/>
          <w:szCs w:val="22"/>
        </w:rPr>
        <w:t xml:space="preserve"> shows a view of the conveyor system used to transport the biomass fuel to the BFB boiler</w:t>
      </w:r>
      <w:r w:rsidR="005858D6">
        <w:rPr>
          <w:sz w:val="22"/>
          <w:szCs w:val="22"/>
        </w:rPr>
        <w:t xml:space="preserve">.  </w:t>
      </w:r>
      <w:r>
        <w:rPr>
          <w:sz w:val="22"/>
          <w:szCs w:val="22"/>
        </w:rPr>
        <w:fldChar w:fldCharType="begin"/>
      </w:r>
      <w:r w:rsidR="006F2F08">
        <w:rPr>
          <w:sz w:val="22"/>
          <w:szCs w:val="22"/>
        </w:rPr>
        <w:instrText xml:space="preserve"> REF _Ref367947940 \h </w:instrText>
      </w:r>
      <w:r>
        <w:rPr>
          <w:sz w:val="22"/>
          <w:szCs w:val="22"/>
        </w:rPr>
      </w:r>
      <w:r>
        <w:rPr>
          <w:sz w:val="22"/>
          <w:szCs w:val="22"/>
        </w:rPr>
        <w:fldChar w:fldCharType="separate"/>
      </w:r>
      <w:r w:rsidR="00AF47D7" w:rsidRPr="006F2F08">
        <w:rPr>
          <w:color w:val="000000" w:themeColor="text1"/>
          <w:sz w:val="22"/>
          <w:szCs w:val="22"/>
        </w:rPr>
        <w:t xml:space="preserve">Figure </w:t>
      </w:r>
      <w:r w:rsidR="00AF47D7">
        <w:rPr>
          <w:noProof/>
          <w:color w:val="000000" w:themeColor="text1"/>
          <w:sz w:val="22"/>
          <w:szCs w:val="22"/>
        </w:rPr>
        <w:t>7</w:t>
      </w:r>
      <w:r>
        <w:rPr>
          <w:sz w:val="22"/>
          <w:szCs w:val="22"/>
        </w:rPr>
        <w:fldChar w:fldCharType="end"/>
      </w:r>
      <w:r w:rsidR="005858D6">
        <w:rPr>
          <w:sz w:val="22"/>
          <w:szCs w:val="22"/>
        </w:rPr>
        <w:t xml:space="preserve"> </w:t>
      </w:r>
      <w:r w:rsidR="006F2F08">
        <w:rPr>
          <w:sz w:val="22"/>
          <w:szCs w:val="22"/>
        </w:rPr>
        <w:t>shows a close-up of the drag line used to take biomass from the storage piles and place it into the conveyor system.</w:t>
      </w:r>
      <w:r w:rsidR="006F2F08">
        <w:rPr>
          <w:sz w:val="22"/>
          <w:szCs w:val="22"/>
        </w:rPr>
        <w:br w:type="page"/>
      </w:r>
    </w:p>
    <w:p w:rsidR="005858D6" w:rsidRPr="005858D6" w:rsidRDefault="005858D6" w:rsidP="00C77965">
      <w:pPr>
        <w:tabs>
          <w:tab w:val="left" w:pos="4680"/>
        </w:tabs>
        <w:spacing w:before="120" w:after="120"/>
        <w:ind w:right="-120"/>
        <w:rPr>
          <w:sz w:val="22"/>
          <w:szCs w:val="22"/>
        </w:rPr>
      </w:pPr>
    </w:p>
    <w:p w:rsidR="00031B53" w:rsidRDefault="00913054" w:rsidP="00913054">
      <w:pPr>
        <w:tabs>
          <w:tab w:val="left" w:pos="4680"/>
        </w:tabs>
        <w:spacing w:after="120"/>
        <w:rPr>
          <w:sz w:val="22"/>
          <w:szCs w:val="22"/>
        </w:rPr>
      </w:pPr>
      <w:r>
        <w:rPr>
          <w:noProof/>
          <w:sz w:val="22"/>
          <w:szCs w:val="22"/>
        </w:rPr>
        <w:drawing>
          <wp:inline distT="0" distB="0" distL="0" distR="0">
            <wp:extent cx="2846980" cy="2135496"/>
            <wp:effectExtent l="19050" t="0" r="0" b="0"/>
            <wp:docPr id="71" name="Picture 71" descr="C:\Users\read_d\AppData\Local\Microsoft\Windows\Temporary Internet Files\Content.Outlook\3FNOCKI3\ph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Users\read_d\AppData\Local\Microsoft\Windows\Temporary Internet Files\Content.Outlook\3FNOCKI3\photo.JPG"/>
                    <pic:cNvPicPr>
                      <a:picLocks noChangeAspect="1" noChangeArrowheads="1"/>
                    </pic:cNvPicPr>
                  </pic:nvPicPr>
                  <pic:blipFill>
                    <a:blip r:embed="rId14" cstate="print"/>
                    <a:srcRect/>
                    <a:stretch>
                      <a:fillRect/>
                    </a:stretch>
                  </pic:blipFill>
                  <pic:spPr bwMode="auto">
                    <a:xfrm rot="10800000">
                      <a:off x="0" y="0"/>
                      <a:ext cx="2851687" cy="2139027"/>
                    </a:xfrm>
                    <a:prstGeom prst="rect">
                      <a:avLst/>
                    </a:prstGeom>
                    <a:noFill/>
                    <a:ln w="9525">
                      <a:noFill/>
                      <a:miter lim="800000"/>
                      <a:headEnd/>
                      <a:tailEnd/>
                    </a:ln>
                  </pic:spPr>
                </pic:pic>
              </a:graphicData>
            </a:graphic>
          </wp:inline>
        </w:drawing>
      </w:r>
      <w:r w:rsidR="00F43C32">
        <w:rPr>
          <w:sz w:val="22"/>
          <w:szCs w:val="22"/>
        </w:rPr>
        <w:tab/>
      </w:r>
      <w:r>
        <w:rPr>
          <w:noProof/>
          <w:sz w:val="22"/>
          <w:szCs w:val="22"/>
        </w:rPr>
        <w:drawing>
          <wp:inline distT="0" distB="0" distL="0" distR="0">
            <wp:extent cx="2846977" cy="2135493"/>
            <wp:effectExtent l="19050" t="0" r="0" b="0"/>
            <wp:docPr id="72" name="Picture 72" descr="C:\Users\read_d\AppData\Local\Microsoft\Windows\Temporary Internet Files\Content.Outlook\3FNOCKI3\photo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Users\read_d\AppData\Local\Microsoft\Windows\Temporary Internet Files\Content.Outlook\3FNOCKI3\photo (2).JPG"/>
                    <pic:cNvPicPr>
                      <a:picLocks noChangeAspect="1" noChangeArrowheads="1"/>
                    </pic:cNvPicPr>
                  </pic:nvPicPr>
                  <pic:blipFill>
                    <a:blip r:embed="rId15" cstate="print"/>
                    <a:srcRect/>
                    <a:stretch>
                      <a:fillRect/>
                    </a:stretch>
                  </pic:blipFill>
                  <pic:spPr bwMode="auto">
                    <a:xfrm rot="10800000">
                      <a:off x="0" y="0"/>
                      <a:ext cx="2849614" cy="2137471"/>
                    </a:xfrm>
                    <a:prstGeom prst="rect">
                      <a:avLst/>
                    </a:prstGeom>
                    <a:noFill/>
                    <a:ln w="9525">
                      <a:noFill/>
                      <a:miter lim="800000"/>
                      <a:headEnd/>
                      <a:tailEnd/>
                    </a:ln>
                  </pic:spPr>
                </pic:pic>
              </a:graphicData>
            </a:graphic>
          </wp:inline>
        </w:drawing>
      </w:r>
    </w:p>
    <w:p w:rsidR="00AC20DA" w:rsidRPr="006F2F08" w:rsidRDefault="00913054" w:rsidP="00384338">
      <w:pPr>
        <w:pStyle w:val="Caption"/>
        <w:tabs>
          <w:tab w:val="left" w:pos="5580"/>
        </w:tabs>
        <w:spacing w:after="120"/>
        <w:rPr>
          <w:color w:val="000000" w:themeColor="text1"/>
          <w:sz w:val="22"/>
          <w:szCs w:val="22"/>
        </w:rPr>
      </w:pPr>
      <w:bookmarkStart w:id="6" w:name="_Ref367947792"/>
      <w:r w:rsidRPr="00913054">
        <w:rPr>
          <w:color w:val="000000" w:themeColor="text1"/>
          <w:sz w:val="22"/>
          <w:szCs w:val="22"/>
        </w:rPr>
        <w:t xml:space="preserve">Figure </w:t>
      </w:r>
      <w:r w:rsidR="00BE3454" w:rsidRPr="00913054">
        <w:rPr>
          <w:color w:val="000000" w:themeColor="text1"/>
          <w:sz w:val="22"/>
          <w:szCs w:val="22"/>
        </w:rPr>
        <w:fldChar w:fldCharType="begin"/>
      </w:r>
      <w:r w:rsidRPr="00913054">
        <w:rPr>
          <w:color w:val="000000" w:themeColor="text1"/>
          <w:sz w:val="22"/>
          <w:szCs w:val="22"/>
        </w:rPr>
        <w:instrText xml:space="preserve"> SEQ Figure \* ARABIC </w:instrText>
      </w:r>
      <w:r w:rsidR="00BE3454" w:rsidRPr="00913054">
        <w:rPr>
          <w:color w:val="000000" w:themeColor="text1"/>
          <w:sz w:val="22"/>
          <w:szCs w:val="22"/>
        </w:rPr>
        <w:fldChar w:fldCharType="separate"/>
      </w:r>
      <w:r w:rsidR="00AF47D7">
        <w:rPr>
          <w:noProof/>
          <w:color w:val="000000" w:themeColor="text1"/>
          <w:sz w:val="22"/>
          <w:szCs w:val="22"/>
        </w:rPr>
        <w:t>6</w:t>
      </w:r>
      <w:r w:rsidR="00BE3454" w:rsidRPr="00913054">
        <w:rPr>
          <w:color w:val="000000" w:themeColor="text1"/>
          <w:sz w:val="22"/>
          <w:szCs w:val="22"/>
        </w:rPr>
        <w:fldChar w:fldCharType="end"/>
      </w:r>
      <w:bookmarkEnd w:id="6"/>
      <w:r>
        <w:rPr>
          <w:color w:val="000000" w:themeColor="text1"/>
          <w:sz w:val="22"/>
          <w:szCs w:val="22"/>
        </w:rPr>
        <w:t xml:space="preserve"> </w:t>
      </w:r>
      <w:r w:rsidR="00B56455" w:rsidRPr="00913054">
        <w:rPr>
          <w:color w:val="000000" w:themeColor="text1"/>
          <w:sz w:val="22"/>
          <w:szCs w:val="22"/>
        </w:rPr>
        <w:t xml:space="preserve">– </w:t>
      </w:r>
      <w:r>
        <w:rPr>
          <w:color w:val="000000" w:themeColor="text1"/>
          <w:sz w:val="22"/>
          <w:szCs w:val="22"/>
        </w:rPr>
        <w:t>Biomass Conveyor System at GREC.</w:t>
      </w:r>
      <w:r w:rsidR="00B56455" w:rsidRPr="00913054">
        <w:rPr>
          <w:color w:val="000000" w:themeColor="text1"/>
          <w:sz w:val="22"/>
          <w:szCs w:val="22"/>
        </w:rPr>
        <w:tab/>
      </w:r>
      <w:bookmarkStart w:id="7" w:name="_Ref367947940"/>
      <w:r w:rsidR="006F2F08" w:rsidRPr="006F2F08">
        <w:rPr>
          <w:color w:val="000000" w:themeColor="text1"/>
          <w:sz w:val="22"/>
          <w:szCs w:val="22"/>
        </w:rPr>
        <w:t xml:space="preserve">Figure </w:t>
      </w:r>
      <w:r w:rsidR="00BE3454" w:rsidRPr="006F2F08">
        <w:rPr>
          <w:color w:val="000000" w:themeColor="text1"/>
          <w:sz w:val="22"/>
          <w:szCs w:val="22"/>
        </w:rPr>
        <w:fldChar w:fldCharType="begin"/>
      </w:r>
      <w:r w:rsidR="006F2F08" w:rsidRPr="006F2F08">
        <w:rPr>
          <w:color w:val="000000" w:themeColor="text1"/>
          <w:sz w:val="22"/>
          <w:szCs w:val="22"/>
        </w:rPr>
        <w:instrText xml:space="preserve"> SEQ Figure \* ARABIC </w:instrText>
      </w:r>
      <w:r w:rsidR="00BE3454" w:rsidRPr="006F2F08">
        <w:rPr>
          <w:color w:val="000000" w:themeColor="text1"/>
          <w:sz w:val="22"/>
          <w:szCs w:val="22"/>
        </w:rPr>
        <w:fldChar w:fldCharType="separate"/>
      </w:r>
      <w:r w:rsidR="00AF47D7">
        <w:rPr>
          <w:noProof/>
          <w:color w:val="000000" w:themeColor="text1"/>
          <w:sz w:val="22"/>
          <w:szCs w:val="22"/>
        </w:rPr>
        <w:t>7</w:t>
      </w:r>
      <w:r w:rsidR="00BE3454" w:rsidRPr="006F2F08">
        <w:rPr>
          <w:color w:val="000000" w:themeColor="text1"/>
          <w:sz w:val="22"/>
          <w:szCs w:val="22"/>
        </w:rPr>
        <w:fldChar w:fldCharType="end"/>
      </w:r>
      <w:bookmarkEnd w:id="7"/>
      <w:r w:rsidR="00B56455" w:rsidRPr="006F2F08">
        <w:rPr>
          <w:color w:val="000000" w:themeColor="text1"/>
          <w:sz w:val="22"/>
          <w:szCs w:val="22"/>
        </w:rPr>
        <w:t xml:space="preserve">– </w:t>
      </w:r>
      <w:r w:rsidR="006F2F08">
        <w:rPr>
          <w:color w:val="000000" w:themeColor="text1"/>
          <w:sz w:val="22"/>
          <w:szCs w:val="22"/>
        </w:rPr>
        <w:t>Biomass Drag Line.</w:t>
      </w:r>
    </w:p>
    <w:bookmarkEnd w:id="0"/>
    <w:p w:rsidR="00BB5B37" w:rsidRPr="00CF2878" w:rsidRDefault="00BB5B37" w:rsidP="00CB2963">
      <w:pPr>
        <w:spacing w:after="60"/>
        <w:rPr>
          <w:sz w:val="22"/>
          <w:szCs w:val="22"/>
        </w:rPr>
      </w:pPr>
      <w:r w:rsidRPr="00CF2878">
        <w:rPr>
          <w:sz w:val="22"/>
          <w:szCs w:val="22"/>
        </w:rPr>
        <w:t xml:space="preserve">The </w:t>
      </w:r>
      <w:r w:rsidR="00194F56">
        <w:rPr>
          <w:sz w:val="22"/>
          <w:szCs w:val="22"/>
        </w:rPr>
        <w:t xml:space="preserve">GREC </w:t>
      </w:r>
      <w:r w:rsidRPr="00CF2878">
        <w:rPr>
          <w:sz w:val="22"/>
          <w:szCs w:val="22"/>
        </w:rPr>
        <w:t xml:space="preserve">power plant </w:t>
      </w:r>
      <w:r w:rsidR="00384338">
        <w:rPr>
          <w:sz w:val="22"/>
          <w:szCs w:val="22"/>
        </w:rPr>
        <w:t>is</w:t>
      </w:r>
      <w:r w:rsidRPr="00CF2878">
        <w:rPr>
          <w:sz w:val="22"/>
          <w:szCs w:val="22"/>
        </w:rPr>
        <w:t xml:space="preserve"> comprised of </w:t>
      </w:r>
      <w:r w:rsidR="00EA1DD4">
        <w:rPr>
          <w:sz w:val="22"/>
          <w:szCs w:val="22"/>
        </w:rPr>
        <w:t xml:space="preserve">five </w:t>
      </w:r>
      <w:r w:rsidR="00470B04">
        <w:rPr>
          <w:sz w:val="22"/>
          <w:szCs w:val="22"/>
        </w:rPr>
        <w:t xml:space="preserve">major </w:t>
      </w:r>
      <w:r w:rsidRPr="00CF2878">
        <w:rPr>
          <w:sz w:val="22"/>
          <w:szCs w:val="22"/>
        </w:rPr>
        <w:t xml:space="preserve">process areas.  These process areas </w:t>
      </w:r>
      <w:r w:rsidR="00470B04">
        <w:rPr>
          <w:sz w:val="22"/>
          <w:szCs w:val="22"/>
        </w:rPr>
        <w:t>are</w:t>
      </w:r>
      <w:r w:rsidRPr="00CF2878">
        <w:rPr>
          <w:sz w:val="22"/>
          <w:szCs w:val="22"/>
        </w:rPr>
        <w:t>:</w:t>
      </w:r>
    </w:p>
    <w:p w:rsidR="00BB5B37" w:rsidRDefault="00CF4E75" w:rsidP="007D357E">
      <w:pPr>
        <w:numPr>
          <w:ilvl w:val="0"/>
          <w:numId w:val="4"/>
        </w:numPr>
        <w:tabs>
          <w:tab w:val="clear" w:pos="1170"/>
          <w:tab w:val="left" w:pos="360"/>
        </w:tabs>
        <w:spacing w:after="60"/>
        <w:ind w:left="360"/>
        <w:outlineLvl w:val="0"/>
        <w:rPr>
          <w:sz w:val="22"/>
          <w:szCs w:val="22"/>
        </w:rPr>
      </w:pPr>
      <w:r>
        <w:rPr>
          <w:sz w:val="22"/>
          <w:szCs w:val="22"/>
        </w:rPr>
        <w:t>Biomass f</w:t>
      </w:r>
      <w:r w:rsidR="00BB5B37" w:rsidRPr="00CF2878">
        <w:rPr>
          <w:sz w:val="22"/>
          <w:szCs w:val="22"/>
        </w:rPr>
        <w:t xml:space="preserve">uel </w:t>
      </w:r>
      <w:r>
        <w:rPr>
          <w:sz w:val="22"/>
          <w:szCs w:val="22"/>
        </w:rPr>
        <w:t>delivery</w:t>
      </w:r>
      <w:r w:rsidR="00BB5B37" w:rsidRPr="00CF2878">
        <w:rPr>
          <w:sz w:val="22"/>
          <w:szCs w:val="22"/>
        </w:rPr>
        <w:t xml:space="preserve">, </w:t>
      </w:r>
      <w:r>
        <w:rPr>
          <w:sz w:val="22"/>
          <w:szCs w:val="22"/>
        </w:rPr>
        <w:t xml:space="preserve">unloading </w:t>
      </w:r>
      <w:r w:rsidR="00BB5B37" w:rsidRPr="00CF2878">
        <w:rPr>
          <w:sz w:val="22"/>
          <w:szCs w:val="22"/>
        </w:rPr>
        <w:t>and processing;</w:t>
      </w:r>
    </w:p>
    <w:p w:rsidR="00CF4E75" w:rsidRPr="00CF2878" w:rsidRDefault="00CF4E75" w:rsidP="007D357E">
      <w:pPr>
        <w:numPr>
          <w:ilvl w:val="0"/>
          <w:numId w:val="4"/>
        </w:numPr>
        <w:tabs>
          <w:tab w:val="clear" w:pos="1170"/>
          <w:tab w:val="left" w:pos="360"/>
        </w:tabs>
        <w:spacing w:after="60"/>
        <w:ind w:left="360"/>
        <w:outlineLvl w:val="0"/>
        <w:rPr>
          <w:sz w:val="22"/>
          <w:szCs w:val="22"/>
        </w:rPr>
      </w:pPr>
      <w:r>
        <w:rPr>
          <w:sz w:val="22"/>
          <w:szCs w:val="22"/>
        </w:rPr>
        <w:t>Biomass fuel handling and storage;</w:t>
      </w:r>
    </w:p>
    <w:p w:rsidR="00BB5B37" w:rsidRPr="00CF2878" w:rsidRDefault="00BB5B37" w:rsidP="007D357E">
      <w:pPr>
        <w:numPr>
          <w:ilvl w:val="0"/>
          <w:numId w:val="4"/>
        </w:numPr>
        <w:tabs>
          <w:tab w:val="clear" w:pos="1170"/>
          <w:tab w:val="left" w:pos="360"/>
        </w:tabs>
        <w:spacing w:after="60"/>
        <w:ind w:left="360"/>
        <w:outlineLvl w:val="0"/>
        <w:rPr>
          <w:sz w:val="22"/>
          <w:szCs w:val="22"/>
        </w:rPr>
      </w:pPr>
      <w:r w:rsidRPr="00CF2878">
        <w:rPr>
          <w:sz w:val="22"/>
          <w:szCs w:val="22"/>
        </w:rPr>
        <w:t>Power island</w:t>
      </w:r>
      <w:r w:rsidR="00ED536D">
        <w:rPr>
          <w:sz w:val="22"/>
          <w:szCs w:val="22"/>
        </w:rPr>
        <w:t xml:space="preserve"> (steam generating unit)</w:t>
      </w:r>
      <w:r w:rsidRPr="00CF2878">
        <w:rPr>
          <w:sz w:val="22"/>
          <w:szCs w:val="22"/>
        </w:rPr>
        <w:t>, including a BFB boiler</w:t>
      </w:r>
      <w:r w:rsidR="00ED536D">
        <w:rPr>
          <w:sz w:val="22"/>
          <w:szCs w:val="22"/>
        </w:rPr>
        <w:t xml:space="preserve">, </w:t>
      </w:r>
      <w:r w:rsidRPr="00CF2878">
        <w:rPr>
          <w:sz w:val="22"/>
          <w:szCs w:val="22"/>
        </w:rPr>
        <w:t>ST</w:t>
      </w:r>
      <w:r w:rsidR="002234C9">
        <w:rPr>
          <w:sz w:val="22"/>
          <w:szCs w:val="22"/>
        </w:rPr>
        <w:t>E</w:t>
      </w:r>
      <w:r w:rsidRPr="00CF2878">
        <w:rPr>
          <w:sz w:val="22"/>
          <w:szCs w:val="22"/>
        </w:rPr>
        <w:t>G</w:t>
      </w:r>
      <w:r w:rsidR="00133EF0">
        <w:rPr>
          <w:sz w:val="22"/>
          <w:szCs w:val="22"/>
        </w:rPr>
        <w:t xml:space="preserve"> and cooling tower</w:t>
      </w:r>
      <w:r w:rsidRPr="00CF2878">
        <w:rPr>
          <w:sz w:val="22"/>
          <w:szCs w:val="22"/>
        </w:rPr>
        <w:t>;</w:t>
      </w:r>
    </w:p>
    <w:p w:rsidR="00BB5B37" w:rsidRPr="00CF2878" w:rsidRDefault="00BB5B37" w:rsidP="007D357E">
      <w:pPr>
        <w:numPr>
          <w:ilvl w:val="0"/>
          <w:numId w:val="4"/>
        </w:numPr>
        <w:tabs>
          <w:tab w:val="clear" w:pos="1170"/>
          <w:tab w:val="left" w:pos="360"/>
        </w:tabs>
        <w:spacing w:after="60"/>
        <w:ind w:left="360"/>
        <w:outlineLvl w:val="0"/>
        <w:rPr>
          <w:sz w:val="22"/>
          <w:szCs w:val="22"/>
        </w:rPr>
      </w:pPr>
      <w:r w:rsidRPr="00CF2878">
        <w:rPr>
          <w:sz w:val="22"/>
          <w:szCs w:val="22"/>
        </w:rPr>
        <w:t>Ash</w:t>
      </w:r>
      <w:r w:rsidR="00133EF0">
        <w:rPr>
          <w:sz w:val="22"/>
          <w:szCs w:val="22"/>
        </w:rPr>
        <w:t xml:space="preserve"> (bottom and fly)</w:t>
      </w:r>
      <w:r w:rsidRPr="00CF2878">
        <w:rPr>
          <w:sz w:val="22"/>
          <w:szCs w:val="22"/>
        </w:rPr>
        <w:t xml:space="preserve"> handling, storage and shipment; and</w:t>
      </w:r>
    </w:p>
    <w:p w:rsidR="00BB5B37" w:rsidRDefault="00BB5B37" w:rsidP="007D357E">
      <w:pPr>
        <w:numPr>
          <w:ilvl w:val="0"/>
          <w:numId w:val="4"/>
        </w:numPr>
        <w:tabs>
          <w:tab w:val="clear" w:pos="1170"/>
          <w:tab w:val="left" w:pos="360"/>
        </w:tabs>
        <w:spacing w:after="120"/>
        <w:ind w:left="360"/>
        <w:outlineLvl w:val="0"/>
        <w:rPr>
          <w:sz w:val="22"/>
          <w:szCs w:val="22"/>
        </w:rPr>
      </w:pPr>
      <w:r w:rsidRPr="00CF2878">
        <w:rPr>
          <w:sz w:val="22"/>
          <w:szCs w:val="22"/>
        </w:rPr>
        <w:t>Emergency support equipment.</w:t>
      </w:r>
    </w:p>
    <w:p w:rsidR="006E578C" w:rsidRDefault="00BE3454" w:rsidP="003E2086">
      <w:pPr>
        <w:spacing w:after="120"/>
        <w:outlineLvl w:val="0"/>
        <w:rPr>
          <w:sz w:val="22"/>
          <w:szCs w:val="22"/>
        </w:rPr>
      </w:pPr>
      <w:fldSimple w:instr=" REF _Ref367948475 \h  \* MERGEFORMAT ">
        <w:r w:rsidR="00AF47D7" w:rsidRPr="00AF47D7">
          <w:rPr>
            <w:color w:val="000000" w:themeColor="text1"/>
            <w:sz w:val="22"/>
            <w:szCs w:val="22"/>
          </w:rPr>
          <w:t xml:space="preserve">Table </w:t>
        </w:r>
        <w:r w:rsidR="00AF47D7" w:rsidRPr="00AF47D7">
          <w:rPr>
            <w:noProof/>
            <w:color w:val="000000" w:themeColor="text1"/>
            <w:sz w:val="22"/>
            <w:szCs w:val="22"/>
          </w:rPr>
          <w:t>1</w:t>
        </w:r>
      </w:fldSimple>
      <w:r w:rsidR="00594F36">
        <w:rPr>
          <w:sz w:val="22"/>
          <w:szCs w:val="22"/>
        </w:rPr>
        <w:t xml:space="preserve"> </w:t>
      </w:r>
      <w:r w:rsidR="006E578C" w:rsidRPr="006E578C">
        <w:rPr>
          <w:sz w:val="22"/>
          <w:szCs w:val="22"/>
        </w:rPr>
        <w:t xml:space="preserve">indicates </w:t>
      </w:r>
      <w:r w:rsidR="00EA1DD4">
        <w:rPr>
          <w:sz w:val="22"/>
          <w:szCs w:val="22"/>
        </w:rPr>
        <w:t xml:space="preserve">the </w:t>
      </w:r>
      <w:r w:rsidR="006E578C" w:rsidRPr="006E578C">
        <w:rPr>
          <w:sz w:val="22"/>
          <w:szCs w:val="22"/>
        </w:rPr>
        <w:t xml:space="preserve">emissions units (EU) </w:t>
      </w:r>
      <w:r w:rsidR="00384338">
        <w:rPr>
          <w:sz w:val="22"/>
          <w:szCs w:val="22"/>
        </w:rPr>
        <w:t>at the GREC</w:t>
      </w:r>
      <w:r w:rsidR="006E578C" w:rsidRPr="006E578C">
        <w:rPr>
          <w:sz w:val="22"/>
          <w:szCs w:val="22"/>
        </w:rPr>
        <w:t>.</w:t>
      </w:r>
    </w:p>
    <w:p w:rsidR="00470B04" w:rsidRPr="00384338" w:rsidRDefault="00384338" w:rsidP="00594F36">
      <w:pPr>
        <w:pStyle w:val="Caption"/>
        <w:spacing w:after="120"/>
        <w:jc w:val="center"/>
        <w:rPr>
          <w:caps/>
          <w:color w:val="000000" w:themeColor="text1"/>
          <w:sz w:val="22"/>
          <w:szCs w:val="22"/>
        </w:rPr>
      </w:pPr>
      <w:bookmarkStart w:id="8" w:name="_Ref367948475"/>
      <w:r w:rsidRPr="00384338">
        <w:rPr>
          <w:caps/>
          <w:color w:val="000000" w:themeColor="text1"/>
          <w:sz w:val="22"/>
          <w:szCs w:val="22"/>
        </w:rPr>
        <w:t xml:space="preserve">Table </w:t>
      </w:r>
      <w:r w:rsidR="00BE3454" w:rsidRPr="00384338">
        <w:rPr>
          <w:caps/>
          <w:color w:val="000000" w:themeColor="text1"/>
          <w:sz w:val="22"/>
          <w:szCs w:val="22"/>
        </w:rPr>
        <w:fldChar w:fldCharType="begin"/>
      </w:r>
      <w:r w:rsidRPr="00384338">
        <w:rPr>
          <w:caps/>
          <w:color w:val="000000" w:themeColor="text1"/>
          <w:sz w:val="22"/>
          <w:szCs w:val="22"/>
        </w:rPr>
        <w:instrText xml:space="preserve"> SEQ Table \* ARABIC </w:instrText>
      </w:r>
      <w:r w:rsidR="00BE3454" w:rsidRPr="00384338">
        <w:rPr>
          <w:caps/>
          <w:color w:val="000000" w:themeColor="text1"/>
          <w:sz w:val="22"/>
          <w:szCs w:val="22"/>
        </w:rPr>
        <w:fldChar w:fldCharType="separate"/>
      </w:r>
      <w:r w:rsidR="00AF47D7">
        <w:rPr>
          <w:caps/>
          <w:noProof/>
          <w:color w:val="000000" w:themeColor="text1"/>
          <w:sz w:val="22"/>
          <w:szCs w:val="22"/>
        </w:rPr>
        <w:t>1</w:t>
      </w:r>
      <w:r w:rsidR="00BE3454" w:rsidRPr="00384338">
        <w:rPr>
          <w:caps/>
          <w:color w:val="000000" w:themeColor="text1"/>
          <w:sz w:val="22"/>
          <w:szCs w:val="22"/>
        </w:rPr>
        <w:fldChar w:fldCharType="end"/>
      </w:r>
      <w:bookmarkEnd w:id="8"/>
      <w:r>
        <w:rPr>
          <w:caps/>
          <w:color w:val="000000" w:themeColor="text1"/>
          <w:sz w:val="22"/>
          <w:szCs w:val="22"/>
        </w:rPr>
        <w:t xml:space="preserve">  </w:t>
      </w:r>
      <w:r w:rsidR="00470B04" w:rsidRPr="00384338">
        <w:rPr>
          <w:caps/>
          <w:color w:val="000000" w:themeColor="text1"/>
          <w:sz w:val="22"/>
          <w:szCs w:val="22"/>
        </w:rPr>
        <w:t>EU at GREC Facility</w:t>
      </w:r>
      <w:r>
        <w:rPr>
          <w:caps/>
          <w:color w:val="000000" w:themeColor="text1"/>
          <w:sz w:val="22"/>
          <w:szCs w:val="22"/>
        </w:rPr>
        <w:t>.</w:t>
      </w:r>
    </w:p>
    <w:tbl>
      <w:tblPr>
        <w:tblW w:w="927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1350"/>
        <w:gridCol w:w="7920"/>
      </w:tblGrid>
      <w:tr w:rsidR="006E578C" w:rsidRPr="00B72F48" w:rsidTr="00384338">
        <w:tc>
          <w:tcPr>
            <w:tcW w:w="1350" w:type="dxa"/>
            <w:shd w:val="clear" w:color="auto" w:fill="C6D9F1" w:themeFill="text2" w:themeFillTint="33"/>
            <w:vAlign w:val="center"/>
          </w:tcPr>
          <w:p w:rsidR="006E578C" w:rsidRPr="00A4010D" w:rsidRDefault="006E578C" w:rsidP="00384338">
            <w:pPr>
              <w:spacing w:before="60" w:after="60" w:line="210" w:lineRule="exact"/>
              <w:jc w:val="center"/>
              <w:rPr>
                <w:b/>
                <w:sz w:val="22"/>
                <w:szCs w:val="22"/>
              </w:rPr>
            </w:pPr>
            <w:r w:rsidRPr="00A4010D">
              <w:rPr>
                <w:b/>
                <w:sz w:val="22"/>
                <w:szCs w:val="22"/>
              </w:rPr>
              <w:t>EU ID No.</w:t>
            </w:r>
          </w:p>
        </w:tc>
        <w:tc>
          <w:tcPr>
            <w:tcW w:w="7920" w:type="dxa"/>
            <w:shd w:val="clear" w:color="auto" w:fill="C6D9F1" w:themeFill="text2" w:themeFillTint="33"/>
            <w:vAlign w:val="center"/>
          </w:tcPr>
          <w:p w:rsidR="006E578C" w:rsidRPr="00A4010D" w:rsidRDefault="006E578C" w:rsidP="00384338">
            <w:pPr>
              <w:spacing w:before="60" w:after="60" w:line="210" w:lineRule="exact"/>
              <w:jc w:val="center"/>
              <w:rPr>
                <w:sz w:val="22"/>
                <w:szCs w:val="22"/>
              </w:rPr>
            </w:pPr>
            <w:r w:rsidRPr="00A4010D">
              <w:rPr>
                <w:b/>
                <w:sz w:val="22"/>
                <w:szCs w:val="22"/>
              </w:rPr>
              <w:t>Emission Unit Description</w:t>
            </w:r>
          </w:p>
        </w:tc>
      </w:tr>
      <w:tr w:rsidR="006E578C" w:rsidRPr="00B72F48" w:rsidTr="00594F36">
        <w:tc>
          <w:tcPr>
            <w:tcW w:w="1350" w:type="dxa"/>
            <w:vAlign w:val="center"/>
          </w:tcPr>
          <w:p w:rsidR="006E578C" w:rsidRPr="00A4010D" w:rsidRDefault="006E578C" w:rsidP="00594F36">
            <w:pPr>
              <w:spacing w:before="60" w:after="60" w:line="210" w:lineRule="exact"/>
              <w:jc w:val="center"/>
              <w:rPr>
                <w:sz w:val="22"/>
                <w:szCs w:val="22"/>
              </w:rPr>
            </w:pPr>
            <w:r w:rsidRPr="00A4010D">
              <w:rPr>
                <w:sz w:val="22"/>
                <w:szCs w:val="22"/>
              </w:rPr>
              <w:t>001</w:t>
            </w:r>
          </w:p>
        </w:tc>
        <w:tc>
          <w:tcPr>
            <w:tcW w:w="7920" w:type="dxa"/>
            <w:vAlign w:val="center"/>
          </w:tcPr>
          <w:p w:rsidR="006E578C" w:rsidRPr="00A4010D" w:rsidRDefault="006E578C" w:rsidP="00594F36">
            <w:pPr>
              <w:spacing w:before="60" w:after="60" w:line="210" w:lineRule="exact"/>
              <w:rPr>
                <w:b/>
                <w:sz w:val="22"/>
                <w:szCs w:val="22"/>
              </w:rPr>
            </w:pPr>
            <w:r w:rsidRPr="00A4010D">
              <w:rPr>
                <w:sz w:val="22"/>
                <w:szCs w:val="22"/>
              </w:rPr>
              <w:t>Biomass fuel delivery, preparation, storage and handling</w:t>
            </w:r>
          </w:p>
        </w:tc>
      </w:tr>
      <w:tr w:rsidR="006E578C" w:rsidRPr="00B72F48" w:rsidTr="00594F36">
        <w:tc>
          <w:tcPr>
            <w:tcW w:w="1350" w:type="dxa"/>
            <w:vAlign w:val="center"/>
          </w:tcPr>
          <w:p w:rsidR="006E578C" w:rsidRPr="00A4010D" w:rsidRDefault="006E578C" w:rsidP="00594F36">
            <w:pPr>
              <w:spacing w:before="60" w:after="60" w:line="210" w:lineRule="exact"/>
              <w:jc w:val="center"/>
              <w:rPr>
                <w:sz w:val="22"/>
                <w:szCs w:val="22"/>
              </w:rPr>
            </w:pPr>
            <w:r w:rsidRPr="00A4010D">
              <w:rPr>
                <w:sz w:val="22"/>
                <w:szCs w:val="22"/>
              </w:rPr>
              <w:t>002</w:t>
            </w:r>
          </w:p>
        </w:tc>
        <w:tc>
          <w:tcPr>
            <w:tcW w:w="7920" w:type="dxa"/>
            <w:vAlign w:val="center"/>
          </w:tcPr>
          <w:p w:rsidR="006E578C" w:rsidRPr="00A4010D" w:rsidRDefault="006E578C" w:rsidP="002234C9">
            <w:pPr>
              <w:spacing w:before="60" w:after="60" w:line="210" w:lineRule="exact"/>
              <w:rPr>
                <w:sz w:val="22"/>
                <w:szCs w:val="22"/>
              </w:rPr>
            </w:pPr>
            <w:r w:rsidRPr="00A4010D">
              <w:rPr>
                <w:sz w:val="22"/>
                <w:szCs w:val="22"/>
              </w:rPr>
              <w:t>Woody biomass-fueled BFB boiler with a maximum heat input capacity of</w:t>
            </w:r>
            <w:r w:rsidRPr="00A4010D">
              <w:rPr>
                <w:sz w:val="22"/>
                <w:szCs w:val="22"/>
              </w:rPr>
              <w:br/>
            </w:r>
            <w:r w:rsidRPr="00A4010D">
              <w:rPr>
                <w:iCs/>
                <w:sz w:val="22"/>
                <w:szCs w:val="22"/>
              </w:rPr>
              <w:t>1,358</w:t>
            </w:r>
            <w:r w:rsidRPr="00A4010D">
              <w:rPr>
                <w:sz w:val="22"/>
                <w:szCs w:val="22"/>
              </w:rPr>
              <w:t xml:space="preserve"> </w:t>
            </w:r>
            <w:r w:rsidR="00C33EF2">
              <w:rPr>
                <w:sz w:val="22"/>
                <w:szCs w:val="22"/>
              </w:rPr>
              <w:t xml:space="preserve">million </w:t>
            </w:r>
            <w:r w:rsidR="00207238">
              <w:rPr>
                <w:sz w:val="22"/>
                <w:szCs w:val="22"/>
              </w:rPr>
              <w:t>British thermal units (</w:t>
            </w:r>
            <w:r w:rsidR="00C33EF2">
              <w:rPr>
                <w:sz w:val="22"/>
                <w:szCs w:val="22"/>
              </w:rPr>
              <w:t>B</w:t>
            </w:r>
            <w:r w:rsidRPr="00A4010D">
              <w:rPr>
                <w:sz w:val="22"/>
                <w:szCs w:val="22"/>
              </w:rPr>
              <w:t>tu</w:t>
            </w:r>
            <w:r w:rsidR="00207238">
              <w:rPr>
                <w:sz w:val="22"/>
                <w:szCs w:val="22"/>
              </w:rPr>
              <w:t>)</w:t>
            </w:r>
            <w:r w:rsidRPr="00A4010D">
              <w:rPr>
                <w:sz w:val="22"/>
                <w:szCs w:val="22"/>
              </w:rPr>
              <w:t xml:space="preserve"> per hour</w:t>
            </w:r>
            <w:r w:rsidR="00C33EF2">
              <w:rPr>
                <w:sz w:val="22"/>
                <w:szCs w:val="22"/>
              </w:rPr>
              <w:t xml:space="preserve"> (</w:t>
            </w:r>
            <w:r w:rsidR="002234C9">
              <w:rPr>
                <w:sz w:val="22"/>
                <w:szCs w:val="22"/>
              </w:rPr>
              <w:t>MM</w:t>
            </w:r>
            <w:r w:rsidR="00C33EF2">
              <w:rPr>
                <w:sz w:val="22"/>
                <w:szCs w:val="22"/>
              </w:rPr>
              <w:t>Btu/hr)</w:t>
            </w:r>
          </w:p>
        </w:tc>
      </w:tr>
      <w:tr w:rsidR="006E578C" w:rsidRPr="00B72F48" w:rsidTr="00594F36">
        <w:tc>
          <w:tcPr>
            <w:tcW w:w="1350" w:type="dxa"/>
            <w:vAlign w:val="center"/>
          </w:tcPr>
          <w:p w:rsidR="006E578C" w:rsidRPr="00A4010D" w:rsidRDefault="006E578C" w:rsidP="00594F36">
            <w:pPr>
              <w:spacing w:before="60" w:after="60" w:line="210" w:lineRule="exact"/>
              <w:jc w:val="center"/>
              <w:rPr>
                <w:sz w:val="22"/>
                <w:szCs w:val="22"/>
              </w:rPr>
            </w:pPr>
            <w:r w:rsidRPr="00A4010D">
              <w:rPr>
                <w:sz w:val="22"/>
                <w:szCs w:val="22"/>
              </w:rPr>
              <w:t>003</w:t>
            </w:r>
          </w:p>
        </w:tc>
        <w:tc>
          <w:tcPr>
            <w:tcW w:w="7920" w:type="dxa"/>
            <w:vAlign w:val="center"/>
          </w:tcPr>
          <w:p w:rsidR="006E578C" w:rsidRPr="00A4010D" w:rsidRDefault="006E578C" w:rsidP="00594F36">
            <w:pPr>
              <w:spacing w:before="60" w:after="60" w:line="210" w:lineRule="exact"/>
              <w:rPr>
                <w:sz w:val="22"/>
                <w:szCs w:val="22"/>
              </w:rPr>
            </w:pPr>
            <w:r w:rsidRPr="00A4010D">
              <w:rPr>
                <w:sz w:val="22"/>
                <w:szCs w:val="22"/>
              </w:rPr>
              <w:t>Ash handling, storage and shipment</w:t>
            </w:r>
          </w:p>
        </w:tc>
      </w:tr>
      <w:tr w:rsidR="006E578C" w:rsidRPr="00B72F48" w:rsidTr="00594F36">
        <w:tc>
          <w:tcPr>
            <w:tcW w:w="1350" w:type="dxa"/>
            <w:vAlign w:val="center"/>
          </w:tcPr>
          <w:p w:rsidR="006E578C" w:rsidRPr="00A4010D" w:rsidRDefault="006E578C" w:rsidP="00594F36">
            <w:pPr>
              <w:spacing w:before="60" w:after="60" w:line="210" w:lineRule="exact"/>
              <w:jc w:val="center"/>
              <w:rPr>
                <w:sz w:val="22"/>
                <w:szCs w:val="22"/>
              </w:rPr>
            </w:pPr>
            <w:r w:rsidRPr="00A4010D">
              <w:rPr>
                <w:sz w:val="22"/>
                <w:szCs w:val="22"/>
              </w:rPr>
              <w:t>004</w:t>
            </w:r>
          </w:p>
        </w:tc>
        <w:tc>
          <w:tcPr>
            <w:tcW w:w="7920" w:type="dxa"/>
            <w:vAlign w:val="center"/>
          </w:tcPr>
          <w:p w:rsidR="006E578C" w:rsidRPr="00A4010D" w:rsidRDefault="006E578C" w:rsidP="00594F36">
            <w:pPr>
              <w:spacing w:before="60" w:after="60" w:line="210" w:lineRule="exact"/>
              <w:rPr>
                <w:sz w:val="22"/>
                <w:szCs w:val="22"/>
              </w:rPr>
            </w:pPr>
            <w:r w:rsidRPr="00A4010D">
              <w:rPr>
                <w:sz w:val="22"/>
                <w:szCs w:val="22"/>
              </w:rPr>
              <w:t>Mechanical draft cooling tower</w:t>
            </w:r>
          </w:p>
        </w:tc>
      </w:tr>
      <w:tr w:rsidR="006E578C" w:rsidRPr="00B72F48" w:rsidTr="00594F36">
        <w:tc>
          <w:tcPr>
            <w:tcW w:w="1350" w:type="dxa"/>
            <w:vAlign w:val="center"/>
          </w:tcPr>
          <w:p w:rsidR="006E578C" w:rsidRPr="00A4010D" w:rsidRDefault="006E578C" w:rsidP="00594F36">
            <w:pPr>
              <w:spacing w:before="60" w:after="60" w:line="210" w:lineRule="exact"/>
              <w:jc w:val="center"/>
              <w:rPr>
                <w:sz w:val="22"/>
                <w:szCs w:val="22"/>
              </w:rPr>
            </w:pPr>
            <w:r w:rsidRPr="00A4010D">
              <w:rPr>
                <w:sz w:val="22"/>
                <w:szCs w:val="22"/>
              </w:rPr>
              <w:t>005</w:t>
            </w:r>
          </w:p>
        </w:tc>
        <w:tc>
          <w:tcPr>
            <w:tcW w:w="7920" w:type="dxa"/>
            <w:vAlign w:val="center"/>
          </w:tcPr>
          <w:p w:rsidR="006E578C" w:rsidRPr="00A4010D" w:rsidRDefault="006E578C" w:rsidP="00594F36">
            <w:pPr>
              <w:spacing w:before="60" w:after="60" w:line="210" w:lineRule="exact"/>
              <w:rPr>
                <w:sz w:val="22"/>
                <w:szCs w:val="22"/>
              </w:rPr>
            </w:pPr>
            <w:r w:rsidRPr="00A4010D">
              <w:rPr>
                <w:sz w:val="22"/>
                <w:szCs w:val="22"/>
              </w:rPr>
              <w:t>564 kilowatt (kW) emergency generator</w:t>
            </w:r>
          </w:p>
        </w:tc>
      </w:tr>
      <w:tr w:rsidR="006E578C" w:rsidRPr="00B72F48" w:rsidTr="00594F36">
        <w:tc>
          <w:tcPr>
            <w:tcW w:w="1350" w:type="dxa"/>
            <w:vAlign w:val="center"/>
          </w:tcPr>
          <w:p w:rsidR="006E578C" w:rsidRPr="00A4010D" w:rsidRDefault="006E578C" w:rsidP="00594F36">
            <w:pPr>
              <w:spacing w:before="60" w:after="60" w:line="210" w:lineRule="exact"/>
              <w:jc w:val="center"/>
              <w:rPr>
                <w:sz w:val="22"/>
                <w:szCs w:val="22"/>
              </w:rPr>
            </w:pPr>
            <w:r w:rsidRPr="00A4010D">
              <w:rPr>
                <w:sz w:val="22"/>
                <w:szCs w:val="22"/>
              </w:rPr>
              <w:t>006</w:t>
            </w:r>
          </w:p>
        </w:tc>
        <w:tc>
          <w:tcPr>
            <w:tcW w:w="7920" w:type="dxa"/>
            <w:vAlign w:val="center"/>
          </w:tcPr>
          <w:p w:rsidR="006E578C" w:rsidRPr="00A4010D" w:rsidRDefault="006E578C" w:rsidP="00594F36">
            <w:pPr>
              <w:spacing w:before="60" w:after="60" w:line="210" w:lineRule="exact"/>
              <w:rPr>
                <w:sz w:val="22"/>
                <w:szCs w:val="22"/>
              </w:rPr>
            </w:pPr>
            <w:r w:rsidRPr="00A4010D">
              <w:rPr>
                <w:sz w:val="22"/>
                <w:szCs w:val="22"/>
              </w:rPr>
              <w:t>275 horsepower (hp) emergency fire pump</w:t>
            </w:r>
          </w:p>
        </w:tc>
      </w:tr>
    </w:tbl>
    <w:p w:rsidR="00BB5B37" w:rsidRPr="00594F36" w:rsidRDefault="00594F36" w:rsidP="00594F36">
      <w:pPr>
        <w:numPr>
          <w:ilvl w:val="1"/>
          <w:numId w:val="5"/>
        </w:numPr>
        <w:tabs>
          <w:tab w:val="left" w:pos="720"/>
        </w:tabs>
        <w:spacing w:before="120" w:after="120"/>
        <w:ind w:left="720" w:hanging="720"/>
        <w:jc w:val="both"/>
        <w:outlineLvl w:val="0"/>
        <w:rPr>
          <w:b/>
          <w:sz w:val="22"/>
          <w:szCs w:val="22"/>
          <w:u w:val="single"/>
        </w:rPr>
      </w:pPr>
      <w:r w:rsidRPr="00327342">
        <w:rPr>
          <w:b/>
          <w:bCs/>
          <w:sz w:val="22"/>
          <w:szCs w:val="22"/>
        </w:rPr>
        <w:t>Primary Regulatory Categories</w:t>
      </w:r>
    </w:p>
    <w:p w:rsidR="00594F36" w:rsidRPr="00594F36" w:rsidRDefault="00594F36" w:rsidP="00594F36">
      <w:pPr>
        <w:numPr>
          <w:ilvl w:val="2"/>
          <w:numId w:val="5"/>
        </w:numPr>
        <w:tabs>
          <w:tab w:val="left" w:pos="720"/>
        </w:tabs>
        <w:spacing w:before="120" w:after="120"/>
        <w:ind w:left="720"/>
        <w:jc w:val="both"/>
        <w:outlineLvl w:val="0"/>
        <w:rPr>
          <w:sz w:val="22"/>
          <w:szCs w:val="22"/>
          <w:u w:val="single"/>
        </w:rPr>
      </w:pPr>
      <w:r w:rsidRPr="00594F36">
        <w:rPr>
          <w:bCs/>
          <w:sz w:val="22"/>
          <w:szCs w:val="22"/>
          <w:u w:val="single"/>
        </w:rPr>
        <w:t>Federal Regulations</w:t>
      </w:r>
    </w:p>
    <w:p w:rsidR="008124A8" w:rsidRPr="00E761E2" w:rsidRDefault="008124A8" w:rsidP="008124A8">
      <w:pPr>
        <w:widowControl w:val="0"/>
        <w:spacing w:after="120"/>
        <w:rPr>
          <w:bCs/>
          <w:sz w:val="22"/>
          <w:szCs w:val="22"/>
        </w:rPr>
      </w:pPr>
      <w:r w:rsidRPr="00E761E2">
        <w:rPr>
          <w:bCs/>
          <w:sz w:val="22"/>
          <w:szCs w:val="22"/>
        </w:rPr>
        <w:t>The U.S. Environmental Protection Agency (EPA) establishes air quality regulations in Title 40, Code of Federal Regulations, Part 60 (40 CFR 60) that identifies New Source Performance Standards (NSPS) for a variety of industrial activities.  40 CFR 61 specifies National Emission Standards for Hazardous Air Pollutants (NESHAP).  40 CFR 63 specifies</w:t>
      </w:r>
      <w:r>
        <w:rPr>
          <w:bCs/>
          <w:sz w:val="22"/>
          <w:szCs w:val="22"/>
        </w:rPr>
        <w:t xml:space="preserve"> </w:t>
      </w:r>
      <w:r w:rsidRPr="00E761E2">
        <w:rPr>
          <w:bCs/>
          <w:sz w:val="22"/>
          <w:szCs w:val="22"/>
        </w:rPr>
        <w:t xml:space="preserve">NESHAP provisions based on the Maximum Achievable Control Technology (MACT) for given source categories. </w:t>
      </w:r>
    </w:p>
    <w:p w:rsidR="008124A8" w:rsidRPr="00E761E2" w:rsidRDefault="008124A8" w:rsidP="008124A8">
      <w:pPr>
        <w:widowControl w:val="0"/>
        <w:spacing w:after="60"/>
        <w:rPr>
          <w:bCs/>
          <w:sz w:val="22"/>
          <w:szCs w:val="22"/>
        </w:rPr>
      </w:pPr>
      <w:r w:rsidRPr="00E761E2">
        <w:rPr>
          <w:bCs/>
          <w:sz w:val="22"/>
          <w:szCs w:val="22"/>
        </w:rPr>
        <w:t>Federal regulations adopted by reference are given in Rule 62-204.800, F.A.C.  State regulations approved by EPA are given in 40 CFR 52, Subpart K – Florida; also known as the State Implementation Plan (SIP) for Florida.</w:t>
      </w:r>
      <w:r>
        <w:rPr>
          <w:bCs/>
          <w:sz w:val="22"/>
          <w:szCs w:val="22"/>
        </w:rPr>
        <w:t xml:space="preserve">  The following federal</w:t>
      </w:r>
      <w:r w:rsidR="002234C9">
        <w:rPr>
          <w:bCs/>
          <w:sz w:val="22"/>
          <w:szCs w:val="22"/>
        </w:rPr>
        <w:t xml:space="preserve"> regulations apply to the GRU DGS, </w:t>
      </w:r>
      <w:r>
        <w:rPr>
          <w:bCs/>
          <w:sz w:val="22"/>
          <w:szCs w:val="22"/>
        </w:rPr>
        <w:t>GREC and this project.</w:t>
      </w:r>
    </w:p>
    <w:p w:rsidR="008124A8" w:rsidRDefault="008124A8" w:rsidP="008124A8">
      <w:pPr>
        <w:numPr>
          <w:ilvl w:val="0"/>
          <w:numId w:val="30"/>
        </w:numPr>
        <w:spacing w:after="60"/>
        <w:rPr>
          <w:sz w:val="22"/>
          <w:szCs w:val="22"/>
        </w:rPr>
      </w:pPr>
      <w:r w:rsidRPr="00877418">
        <w:rPr>
          <w:sz w:val="22"/>
          <w:szCs w:val="22"/>
        </w:rPr>
        <w:lastRenderedPageBreak/>
        <w:t xml:space="preserve">The </w:t>
      </w:r>
      <w:r>
        <w:rPr>
          <w:sz w:val="22"/>
          <w:szCs w:val="22"/>
        </w:rPr>
        <w:t>existing GREC</w:t>
      </w:r>
      <w:r w:rsidRPr="00877418">
        <w:rPr>
          <w:sz w:val="22"/>
          <w:szCs w:val="22"/>
        </w:rPr>
        <w:t xml:space="preserve"> </w:t>
      </w:r>
      <w:r w:rsidRPr="00671AD0">
        <w:rPr>
          <w:sz w:val="22"/>
          <w:szCs w:val="22"/>
        </w:rPr>
        <w:t>is</w:t>
      </w:r>
      <w:r w:rsidRPr="00877418">
        <w:rPr>
          <w:sz w:val="22"/>
          <w:szCs w:val="22"/>
        </w:rPr>
        <w:t xml:space="preserve"> a major </w:t>
      </w:r>
      <w:r>
        <w:rPr>
          <w:sz w:val="22"/>
          <w:szCs w:val="22"/>
        </w:rPr>
        <w:t xml:space="preserve">stationary source </w:t>
      </w:r>
      <w:r w:rsidRPr="00877418">
        <w:rPr>
          <w:sz w:val="22"/>
          <w:szCs w:val="22"/>
        </w:rPr>
        <w:t>in accordance with Rule 62-212.400, F.A.C.</w:t>
      </w:r>
      <w:r>
        <w:rPr>
          <w:sz w:val="22"/>
          <w:szCs w:val="22"/>
        </w:rPr>
        <w:t xml:space="preserve"> for the Prevention of Significant Deterioration (PSD) of Air Quality and Rule 62-210.200 (Definitions), F.A.C.</w:t>
      </w:r>
    </w:p>
    <w:p w:rsidR="008124A8" w:rsidRDefault="008124A8" w:rsidP="008124A8">
      <w:pPr>
        <w:numPr>
          <w:ilvl w:val="0"/>
          <w:numId w:val="30"/>
        </w:numPr>
        <w:spacing w:after="60"/>
        <w:rPr>
          <w:sz w:val="22"/>
          <w:szCs w:val="22"/>
        </w:rPr>
      </w:pPr>
      <w:r>
        <w:rPr>
          <w:sz w:val="22"/>
          <w:szCs w:val="22"/>
        </w:rPr>
        <w:t xml:space="preserve">This </w:t>
      </w:r>
      <w:r w:rsidRPr="005E4F77">
        <w:rPr>
          <w:sz w:val="22"/>
          <w:szCs w:val="22"/>
        </w:rPr>
        <w:t xml:space="preserve">project </w:t>
      </w:r>
      <w:r>
        <w:rPr>
          <w:sz w:val="22"/>
          <w:szCs w:val="22"/>
        </w:rPr>
        <w:t xml:space="preserve">(as discussed below) </w:t>
      </w:r>
      <w:r w:rsidRPr="006019C1">
        <w:rPr>
          <w:b/>
          <w:sz w:val="22"/>
          <w:szCs w:val="22"/>
          <w:u w:val="single"/>
        </w:rPr>
        <w:t>does</w:t>
      </w:r>
      <w:r>
        <w:rPr>
          <w:b/>
          <w:sz w:val="22"/>
          <w:szCs w:val="22"/>
          <w:u w:val="single"/>
        </w:rPr>
        <w:t xml:space="preserve"> not</w:t>
      </w:r>
      <w:r w:rsidRPr="005E4F77">
        <w:rPr>
          <w:sz w:val="22"/>
          <w:szCs w:val="22"/>
        </w:rPr>
        <w:t xml:space="preserve"> trigger a PSD review and a requirement to conduct Best Available Control Technology (BACT) </w:t>
      </w:r>
      <w:r>
        <w:rPr>
          <w:sz w:val="22"/>
          <w:szCs w:val="22"/>
        </w:rPr>
        <w:t xml:space="preserve">determinations </w:t>
      </w:r>
      <w:r w:rsidRPr="005E4F77">
        <w:rPr>
          <w:sz w:val="22"/>
          <w:szCs w:val="22"/>
        </w:rPr>
        <w:t>pursuant to Department Rule 62-212.400, F.A.C.</w:t>
      </w:r>
    </w:p>
    <w:p w:rsidR="008124A8" w:rsidRDefault="008124A8" w:rsidP="008124A8">
      <w:pPr>
        <w:numPr>
          <w:ilvl w:val="0"/>
          <w:numId w:val="30"/>
        </w:numPr>
        <w:spacing w:after="60"/>
        <w:rPr>
          <w:sz w:val="22"/>
          <w:szCs w:val="22"/>
        </w:rPr>
      </w:pPr>
      <w:r>
        <w:rPr>
          <w:sz w:val="22"/>
          <w:szCs w:val="22"/>
        </w:rPr>
        <w:t>The existing GRU DGS facility</w:t>
      </w:r>
      <w:r w:rsidRPr="00671AD0">
        <w:rPr>
          <w:sz w:val="22"/>
          <w:szCs w:val="22"/>
        </w:rPr>
        <w:t xml:space="preserve"> is a major</w:t>
      </w:r>
      <w:r w:rsidRPr="00877418">
        <w:rPr>
          <w:sz w:val="22"/>
          <w:szCs w:val="22"/>
        </w:rPr>
        <w:t xml:space="preserve"> source of hazardous air pollutants (HAP).</w:t>
      </w:r>
    </w:p>
    <w:p w:rsidR="008124A8" w:rsidRDefault="008124A8" w:rsidP="008124A8">
      <w:pPr>
        <w:numPr>
          <w:ilvl w:val="0"/>
          <w:numId w:val="30"/>
        </w:numPr>
        <w:spacing w:after="60"/>
        <w:rPr>
          <w:sz w:val="22"/>
          <w:szCs w:val="22"/>
        </w:rPr>
      </w:pPr>
      <w:r>
        <w:rPr>
          <w:sz w:val="22"/>
          <w:szCs w:val="22"/>
        </w:rPr>
        <w:t>The existing GREC facility</w:t>
      </w:r>
      <w:r w:rsidRPr="00671AD0">
        <w:rPr>
          <w:sz w:val="22"/>
          <w:szCs w:val="22"/>
        </w:rPr>
        <w:t xml:space="preserve"> </w:t>
      </w:r>
      <w:r>
        <w:rPr>
          <w:sz w:val="22"/>
          <w:szCs w:val="22"/>
        </w:rPr>
        <w:t xml:space="preserve">in of itself </w:t>
      </w:r>
      <w:r w:rsidRPr="00671AD0">
        <w:rPr>
          <w:sz w:val="22"/>
          <w:szCs w:val="22"/>
        </w:rPr>
        <w:t xml:space="preserve">is </w:t>
      </w:r>
      <w:r w:rsidRPr="008124A8">
        <w:rPr>
          <w:b/>
          <w:sz w:val="22"/>
          <w:szCs w:val="22"/>
          <w:u w:val="single"/>
        </w:rPr>
        <w:t>not</w:t>
      </w:r>
      <w:r>
        <w:rPr>
          <w:sz w:val="22"/>
          <w:szCs w:val="22"/>
        </w:rPr>
        <w:t xml:space="preserve"> </w:t>
      </w:r>
      <w:r w:rsidRPr="00671AD0">
        <w:rPr>
          <w:sz w:val="22"/>
          <w:szCs w:val="22"/>
        </w:rPr>
        <w:t>a major</w:t>
      </w:r>
      <w:r w:rsidRPr="00877418">
        <w:rPr>
          <w:sz w:val="22"/>
          <w:szCs w:val="22"/>
        </w:rPr>
        <w:t xml:space="preserve"> source of HAP.</w:t>
      </w:r>
    </w:p>
    <w:p w:rsidR="008124A8" w:rsidRDefault="008124A8" w:rsidP="008124A8">
      <w:pPr>
        <w:numPr>
          <w:ilvl w:val="0"/>
          <w:numId w:val="30"/>
        </w:numPr>
        <w:spacing w:after="60"/>
        <w:rPr>
          <w:sz w:val="22"/>
          <w:szCs w:val="22"/>
        </w:rPr>
      </w:pPr>
      <w:r w:rsidRPr="00877418">
        <w:rPr>
          <w:sz w:val="22"/>
          <w:szCs w:val="22"/>
        </w:rPr>
        <w:t xml:space="preserve">The </w:t>
      </w:r>
      <w:r>
        <w:rPr>
          <w:sz w:val="22"/>
          <w:szCs w:val="22"/>
        </w:rPr>
        <w:t xml:space="preserve">existing </w:t>
      </w:r>
      <w:r w:rsidR="007B6AC9">
        <w:rPr>
          <w:sz w:val="22"/>
          <w:szCs w:val="22"/>
        </w:rPr>
        <w:t>GRU DGS and GREC</w:t>
      </w:r>
      <w:r w:rsidRPr="00877418">
        <w:rPr>
          <w:sz w:val="22"/>
          <w:szCs w:val="22"/>
        </w:rPr>
        <w:t xml:space="preserve"> </w:t>
      </w:r>
      <w:r w:rsidR="007B6AC9">
        <w:rPr>
          <w:sz w:val="22"/>
          <w:szCs w:val="22"/>
        </w:rPr>
        <w:t>have</w:t>
      </w:r>
      <w:r>
        <w:rPr>
          <w:sz w:val="22"/>
          <w:szCs w:val="22"/>
        </w:rPr>
        <w:t xml:space="preserve"> </w:t>
      </w:r>
      <w:r w:rsidRPr="00877418">
        <w:rPr>
          <w:sz w:val="22"/>
          <w:szCs w:val="22"/>
        </w:rPr>
        <w:t xml:space="preserve">units </w:t>
      </w:r>
      <w:r>
        <w:rPr>
          <w:sz w:val="22"/>
          <w:szCs w:val="22"/>
        </w:rPr>
        <w:t>regulated under Clean Air Act, Title IV, Acid Rain provisions, Phase II.</w:t>
      </w:r>
    </w:p>
    <w:p w:rsidR="008124A8" w:rsidRDefault="008124A8" w:rsidP="008124A8">
      <w:pPr>
        <w:numPr>
          <w:ilvl w:val="0"/>
          <w:numId w:val="30"/>
        </w:numPr>
        <w:spacing w:after="60"/>
        <w:rPr>
          <w:sz w:val="22"/>
          <w:szCs w:val="22"/>
        </w:rPr>
      </w:pPr>
      <w:r w:rsidRPr="00580810">
        <w:rPr>
          <w:sz w:val="22"/>
          <w:szCs w:val="22"/>
        </w:rPr>
        <w:t xml:space="preserve">The </w:t>
      </w:r>
      <w:r w:rsidR="007B6AC9">
        <w:rPr>
          <w:sz w:val="22"/>
          <w:szCs w:val="22"/>
        </w:rPr>
        <w:t>existing GRU DGS and the GREC</w:t>
      </w:r>
      <w:r w:rsidR="007B6AC9" w:rsidRPr="00877418">
        <w:rPr>
          <w:sz w:val="22"/>
          <w:szCs w:val="22"/>
        </w:rPr>
        <w:t xml:space="preserve"> </w:t>
      </w:r>
      <w:r w:rsidR="006A110E">
        <w:rPr>
          <w:sz w:val="22"/>
          <w:szCs w:val="22"/>
        </w:rPr>
        <w:t>are</w:t>
      </w:r>
      <w:r w:rsidRPr="00580810">
        <w:rPr>
          <w:sz w:val="22"/>
          <w:szCs w:val="22"/>
        </w:rPr>
        <w:t xml:space="preserve"> </w:t>
      </w:r>
      <w:r w:rsidR="003942AC">
        <w:rPr>
          <w:sz w:val="22"/>
          <w:szCs w:val="22"/>
        </w:rPr>
        <w:t>T</w:t>
      </w:r>
      <w:r w:rsidRPr="00580810">
        <w:rPr>
          <w:sz w:val="22"/>
          <w:szCs w:val="22"/>
        </w:rPr>
        <w:t>itle V major source</w:t>
      </w:r>
      <w:r w:rsidR="006A110E">
        <w:rPr>
          <w:sz w:val="22"/>
          <w:szCs w:val="22"/>
        </w:rPr>
        <w:t>s</w:t>
      </w:r>
      <w:r w:rsidRPr="00580810">
        <w:rPr>
          <w:sz w:val="22"/>
          <w:szCs w:val="22"/>
        </w:rPr>
        <w:t xml:space="preserve"> of air pollution in accordance with Chapter 62-213, F.A.C.</w:t>
      </w:r>
    </w:p>
    <w:p w:rsidR="008124A8" w:rsidRPr="005E4F77" w:rsidRDefault="008124A8" w:rsidP="008124A8">
      <w:pPr>
        <w:widowControl w:val="0"/>
        <w:numPr>
          <w:ilvl w:val="0"/>
          <w:numId w:val="31"/>
        </w:numPr>
        <w:spacing w:after="60"/>
        <w:ind w:left="360"/>
        <w:rPr>
          <w:sz w:val="22"/>
          <w:szCs w:val="22"/>
        </w:rPr>
      </w:pPr>
      <w:r w:rsidRPr="005E4F77">
        <w:rPr>
          <w:sz w:val="22"/>
          <w:szCs w:val="22"/>
        </w:rPr>
        <w:t xml:space="preserve">The </w:t>
      </w:r>
      <w:r w:rsidR="007B6AC9">
        <w:rPr>
          <w:sz w:val="22"/>
          <w:szCs w:val="22"/>
        </w:rPr>
        <w:t>existing GRU DGS and GREC</w:t>
      </w:r>
      <w:r w:rsidR="007B6AC9" w:rsidRPr="00877418">
        <w:rPr>
          <w:sz w:val="22"/>
          <w:szCs w:val="22"/>
        </w:rPr>
        <w:t xml:space="preserve"> </w:t>
      </w:r>
      <w:r w:rsidRPr="005E4F77">
        <w:rPr>
          <w:sz w:val="22"/>
          <w:szCs w:val="22"/>
        </w:rPr>
        <w:t>include units subject to the NSPS of</w:t>
      </w:r>
      <w:r>
        <w:rPr>
          <w:sz w:val="22"/>
          <w:szCs w:val="22"/>
        </w:rPr>
        <w:t xml:space="preserve"> </w:t>
      </w:r>
      <w:r w:rsidRPr="005E4F77">
        <w:rPr>
          <w:sz w:val="22"/>
          <w:szCs w:val="22"/>
        </w:rPr>
        <w:t>40 CFR 60.</w:t>
      </w:r>
    </w:p>
    <w:p w:rsidR="00594F36" w:rsidRPr="008124A8" w:rsidRDefault="008124A8" w:rsidP="008124A8">
      <w:pPr>
        <w:widowControl w:val="0"/>
        <w:numPr>
          <w:ilvl w:val="0"/>
          <w:numId w:val="31"/>
        </w:numPr>
        <w:spacing w:after="60"/>
        <w:ind w:left="360"/>
        <w:rPr>
          <w:sz w:val="22"/>
          <w:szCs w:val="22"/>
        </w:rPr>
      </w:pPr>
      <w:r w:rsidRPr="005E4F77">
        <w:rPr>
          <w:sz w:val="22"/>
          <w:szCs w:val="22"/>
        </w:rPr>
        <w:t xml:space="preserve">The </w:t>
      </w:r>
      <w:r w:rsidR="007B6AC9">
        <w:rPr>
          <w:sz w:val="22"/>
          <w:szCs w:val="22"/>
        </w:rPr>
        <w:t>existing GRU DGS and GREC</w:t>
      </w:r>
      <w:r w:rsidR="007B6AC9" w:rsidRPr="00877418">
        <w:rPr>
          <w:sz w:val="22"/>
          <w:szCs w:val="22"/>
        </w:rPr>
        <w:t xml:space="preserve"> </w:t>
      </w:r>
      <w:r w:rsidRPr="005E4F77">
        <w:rPr>
          <w:sz w:val="22"/>
          <w:szCs w:val="22"/>
        </w:rPr>
        <w:t>include units subject to the NESHAP of 40 CFR 63.</w:t>
      </w:r>
    </w:p>
    <w:p w:rsidR="00594F36" w:rsidRPr="007B6AC9" w:rsidRDefault="007B6AC9" w:rsidP="007B6AC9">
      <w:pPr>
        <w:numPr>
          <w:ilvl w:val="2"/>
          <w:numId w:val="5"/>
        </w:numPr>
        <w:tabs>
          <w:tab w:val="left" w:pos="720"/>
        </w:tabs>
        <w:spacing w:before="120" w:after="120"/>
        <w:ind w:left="720"/>
        <w:jc w:val="both"/>
        <w:outlineLvl w:val="0"/>
        <w:rPr>
          <w:sz w:val="22"/>
          <w:szCs w:val="22"/>
          <w:u w:val="single"/>
        </w:rPr>
      </w:pPr>
      <w:r>
        <w:rPr>
          <w:sz w:val="22"/>
          <w:szCs w:val="22"/>
          <w:u w:val="single"/>
        </w:rPr>
        <w:t>State Regulations</w:t>
      </w:r>
    </w:p>
    <w:p w:rsidR="00594F36" w:rsidRDefault="007B6AC9" w:rsidP="00594F36">
      <w:pPr>
        <w:spacing w:before="120" w:after="120"/>
        <w:jc w:val="both"/>
        <w:outlineLvl w:val="0"/>
        <w:rPr>
          <w:bCs/>
          <w:sz w:val="22"/>
          <w:szCs w:val="22"/>
        </w:rPr>
      </w:pPr>
      <w:r w:rsidRPr="005455CE">
        <w:rPr>
          <w:sz w:val="22"/>
          <w:szCs w:val="22"/>
        </w:rPr>
        <w:t>Projects at stationary sources with the potential to emit air pollution are subject to the applicable environmental laws specified in Section 403 of the Florida Statutes (F.S.).  The statutes authorize the Department of Environmental Protection (Department) to establish air quality regulations as part of the Florida Administrative Code (F.A.C.), which includes the applicable chapters contained in</w:t>
      </w:r>
      <w:r w:rsidR="00911DE9">
        <w:rPr>
          <w:sz w:val="22"/>
          <w:szCs w:val="22"/>
        </w:rPr>
        <w:t xml:space="preserve"> </w:t>
      </w:r>
      <w:fldSimple w:instr=" REF _Ref343241113 \h  \* MERGEFORMAT ">
        <w:r w:rsidR="00AF47D7" w:rsidRPr="00AF47D7">
          <w:rPr>
            <w:sz w:val="22"/>
          </w:rPr>
          <w:t xml:space="preserve">Table </w:t>
        </w:r>
        <w:r w:rsidR="00AF47D7" w:rsidRPr="00AF47D7">
          <w:rPr>
            <w:noProof/>
            <w:sz w:val="22"/>
          </w:rPr>
          <w:t>2</w:t>
        </w:r>
      </w:fldSimple>
      <w:r w:rsidR="00911DE9">
        <w:rPr>
          <w:sz w:val="22"/>
          <w:szCs w:val="22"/>
        </w:rPr>
        <w:t>.</w:t>
      </w:r>
    </w:p>
    <w:p w:rsidR="007B6AC9" w:rsidRPr="00151783" w:rsidRDefault="007B6AC9" w:rsidP="007B6AC9">
      <w:pPr>
        <w:spacing w:after="120"/>
        <w:ind w:left="360"/>
        <w:jc w:val="center"/>
        <w:rPr>
          <w:rFonts w:ascii="Times New Roman Bold" w:hAnsi="Times New Roman Bold"/>
          <w:b/>
          <w:caps/>
          <w:sz w:val="22"/>
          <w:szCs w:val="22"/>
          <w:u w:val="single"/>
        </w:rPr>
      </w:pPr>
      <w:bookmarkStart w:id="9" w:name="_Ref343241113"/>
      <w:r w:rsidRPr="00151783">
        <w:rPr>
          <w:rFonts w:ascii="Times New Roman Bold" w:hAnsi="Times New Roman Bold"/>
          <w:b/>
          <w:caps/>
          <w:sz w:val="22"/>
        </w:rPr>
        <w:t xml:space="preserve">Table </w:t>
      </w:r>
      <w:r w:rsidR="00BE3454" w:rsidRPr="00151783">
        <w:rPr>
          <w:rFonts w:ascii="Times New Roman Bold" w:hAnsi="Times New Roman Bold"/>
          <w:b/>
          <w:caps/>
          <w:sz w:val="22"/>
        </w:rPr>
        <w:fldChar w:fldCharType="begin"/>
      </w:r>
      <w:r w:rsidRPr="00151783">
        <w:rPr>
          <w:rFonts w:ascii="Times New Roman Bold" w:hAnsi="Times New Roman Bold"/>
          <w:b/>
          <w:caps/>
          <w:sz w:val="22"/>
        </w:rPr>
        <w:instrText xml:space="preserve"> SEQ Table \* ARABIC </w:instrText>
      </w:r>
      <w:r w:rsidR="00BE3454" w:rsidRPr="00151783">
        <w:rPr>
          <w:rFonts w:ascii="Times New Roman Bold" w:hAnsi="Times New Roman Bold"/>
          <w:b/>
          <w:caps/>
          <w:sz w:val="22"/>
        </w:rPr>
        <w:fldChar w:fldCharType="separate"/>
      </w:r>
      <w:r w:rsidR="00AF47D7">
        <w:rPr>
          <w:rFonts w:ascii="Times New Roman Bold" w:hAnsi="Times New Roman Bold"/>
          <w:b/>
          <w:caps/>
          <w:noProof/>
          <w:sz w:val="22"/>
        </w:rPr>
        <w:t>2</w:t>
      </w:r>
      <w:r w:rsidR="00BE3454" w:rsidRPr="00151783">
        <w:rPr>
          <w:rFonts w:ascii="Times New Roman Bold" w:hAnsi="Times New Roman Bold"/>
          <w:b/>
          <w:caps/>
          <w:sz w:val="22"/>
        </w:rPr>
        <w:fldChar w:fldCharType="end"/>
      </w:r>
      <w:bookmarkEnd w:id="9"/>
      <w:r w:rsidRPr="00151783">
        <w:rPr>
          <w:rFonts w:ascii="Times New Roman Bold" w:hAnsi="Times New Roman Bold"/>
          <w:b/>
          <w:caps/>
          <w:sz w:val="22"/>
        </w:rPr>
        <w:t xml:space="preserve"> – </w:t>
      </w:r>
      <w:r w:rsidRPr="00151783">
        <w:rPr>
          <w:rFonts w:ascii="Times New Roman Bold" w:hAnsi="Times New Roman Bold"/>
          <w:b/>
          <w:bCs/>
          <w:caps/>
          <w:sz w:val="22"/>
          <w:szCs w:val="22"/>
        </w:rPr>
        <w:t>Applicable Rules from the F.A.C.</w:t>
      </w:r>
    </w:p>
    <w:tbl>
      <w:tblPr>
        <w:tblW w:w="0" w:type="auto"/>
        <w:tblInd w:w="108" w:type="dxa"/>
        <w:tblBorders>
          <w:top w:val="single" w:sz="12" w:space="0" w:color="auto"/>
          <w:left w:val="single" w:sz="12" w:space="0" w:color="auto"/>
          <w:bottom w:val="single" w:sz="12" w:space="0" w:color="auto"/>
          <w:right w:val="single" w:sz="12" w:space="0" w:color="auto"/>
          <w:insideH w:val="single" w:sz="4" w:space="0" w:color="000000"/>
          <w:insideV w:val="single" w:sz="4" w:space="0" w:color="000000"/>
        </w:tblBorders>
        <w:tblLayout w:type="fixed"/>
        <w:tblLook w:val="0000"/>
      </w:tblPr>
      <w:tblGrid>
        <w:gridCol w:w="1620"/>
        <w:gridCol w:w="7740"/>
      </w:tblGrid>
      <w:tr w:rsidR="007B6AC9" w:rsidRPr="005455CE" w:rsidTr="00210971">
        <w:trPr>
          <w:trHeight w:val="147"/>
        </w:trPr>
        <w:tc>
          <w:tcPr>
            <w:tcW w:w="1620" w:type="dxa"/>
            <w:shd w:val="clear" w:color="auto" w:fill="C6D9F1"/>
            <w:vAlign w:val="center"/>
          </w:tcPr>
          <w:p w:rsidR="007B6AC9" w:rsidRPr="006A110E" w:rsidRDefault="007B6AC9" w:rsidP="007B6AC9">
            <w:pPr>
              <w:autoSpaceDE w:val="0"/>
              <w:autoSpaceDN w:val="0"/>
              <w:adjustRightInd w:val="0"/>
              <w:spacing w:before="40" w:after="40"/>
              <w:jc w:val="center"/>
              <w:rPr>
                <w:color w:val="000000"/>
                <w:sz w:val="20"/>
                <w:szCs w:val="20"/>
              </w:rPr>
            </w:pPr>
            <w:r w:rsidRPr="006A110E">
              <w:rPr>
                <w:b/>
                <w:bCs/>
                <w:color w:val="000000"/>
                <w:sz w:val="20"/>
                <w:szCs w:val="20"/>
              </w:rPr>
              <w:t>Chapter</w:t>
            </w:r>
          </w:p>
        </w:tc>
        <w:tc>
          <w:tcPr>
            <w:tcW w:w="7740" w:type="dxa"/>
            <w:shd w:val="clear" w:color="auto" w:fill="C6D9F1"/>
            <w:vAlign w:val="center"/>
          </w:tcPr>
          <w:p w:rsidR="007B6AC9" w:rsidRPr="006A110E" w:rsidRDefault="007B6AC9" w:rsidP="007B6AC9">
            <w:pPr>
              <w:autoSpaceDE w:val="0"/>
              <w:autoSpaceDN w:val="0"/>
              <w:adjustRightInd w:val="0"/>
              <w:spacing w:before="40" w:after="40"/>
              <w:jc w:val="center"/>
              <w:rPr>
                <w:color w:val="000000"/>
                <w:sz w:val="20"/>
                <w:szCs w:val="20"/>
              </w:rPr>
            </w:pPr>
            <w:r w:rsidRPr="006A110E">
              <w:rPr>
                <w:b/>
                <w:bCs/>
                <w:color w:val="000000"/>
                <w:sz w:val="20"/>
                <w:szCs w:val="20"/>
              </w:rPr>
              <w:t>Description</w:t>
            </w:r>
          </w:p>
        </w:tc>
      </w:tr>
      <w:tr w:rsidR="007B6AC9" w:rsidRPr="005455CE" w:rsidTr="00210971">
        <w:trPr>
          <w:trHeight w:val="145"/>
        </w:trPr>
        <w:tc>
          <w:tcPr>
            <w:tcW w:w="1620" w:type="dxa"/>
            <w:vAlign w:val="center"/>
          </w:tcPr>
          <w:p w:rsidR="007B6AC9" w:rsidRPr="006A110E" w:rsidRDefault="00BE3454" w:rsidP="007B6AC9">
            <w:pPr>
              <w:autoSpaceDE w:val="0"/>
              <w:autoSpaceDN w:val="0"/>
              <w:adjustRightInd w:val="0"/>
              <w:spacing w:before="20" w:after="20"/>
              <w:jc w:val="center"/>
              <w:rPr>
                <w:color w:val="000000"/>
                <w:sz w:val="20"/>
                <w:szCs w:val="20"/>
              </w:rPr>
            </w:pPr>
            <w:hyperlink r:id="rId16" w:history="1">
              <w:r w:rsidR="007B6AC9" w:rsidRPr="006A110E">
                <w:rPr>
                  <w:color w:val="0000FF"/>
                  <w:sz w:val="20"/>
                  <w:szCs w:val="20"/>
                  <w:u w:val="single"/>
                </w:rPr>
                <w:t>62-4</w:t>
              </w:r>
            </w:hyperlink>
          </w:p>
        </w:tc>
        <w:tc>
          <w:tcPr>
            <w:tcW w:w="7740" w:type="dxa"/>
          </w:tcPr>
          <w:p w:rsidR="007B6AC9" w:rsidRPr="006A110E" w:rsidRDefault="007B6AC9" w:rsidP="007B6AC9">
            <w:pPr>
              <w:autoSpaceDE w:val="0"/>
              <w:autoSpaceDN w:val="0"/>
              <w:adjustRightInd w:val="0"/>
              <w:spacing w:before="20" w:after="20"/>
              <w:rPr>
                <w:color w:val="000000"/>
                <w:sz w:val="20"/>
                <w:szCs w:val="20"/>
              </w:rPr>
            </w:pPr>
            <w:r w:rsidRPr="006A110E">
              <w:rPr>
                <w:color w:val="000000"/>
                <w:sz w:val="20"/>
                <w:szCs w:val="20"/>
              </w:rPr>
              <w:t xml:space="preserve">Permits </w:t>
            </w:r>
          </w:p>
        </w:tc>
      </w:tr>
      <w:tr w:rsidR="007B6AC9" w:rsidRPr="005455CE" w:rsidTr="00210971">
        <w:trPr>
          <w:trHeight w:val="145"/>
        </w:trPr>
        <w:tc>
          <w:tcPr>
            <w:tcW w:w="1620" w:type="dxa"/>
            <w:vAlign w:val="center"/>
          </w:tcPr>
          <w:p w:rsidR="007B6AC9" w:rsidRPr="006A110E" w:rsidRDefault="00BE3454" w:rsidP="007B6AC9">
            <w:pPr>
              <w:autoSpaceDE w:val="0"/>
              <w:autoSpaceDN w:val="0"/>
              <w:adjustRightInd w:val="0"/>
              <w:spacing w:before="20" w:after="20"/>
              <w:jc w:val="center"/>
              <w:rPr>
                <w:color w:val="000000"/>
                <w:sz w:val="20"/>
                <w:szCs w:val="20"/>
              </w:rPr>
            </w:pPr>
            <w:hyperlink r:id="rId17" w:history="1">
              <w:r w:rsidR="007B6AC9" w:rsidRPr="006A110E">
                <w:rPr>
                  <w:color w:val="0000FF"/>
                  <w:sz w:val="20"/>
                  <w:szCs w:val="20"/>
                  <w:u w:val="single"/>
                </w:rPr>
                <w:t>62-17</w:t>
              </w:r>
            </w:hyperlink>
          </w:p>
        </w:tc>
        <w:tc>
          <w:tcPr>
            <w:tcW w:w="7740" w:type="dxa"/>
          </w:tcPr>
          <w:p w:rsidR="007B6AC9" w:rsidRPr="006A110E" w:rsidRDefault="007B6AC9" w:rsidP="007B6AC9">
            <w:pPr>
              <w:autoSpaceDE w:val="0"/>
              <w:autoSpaceDN w:val="0"/>
              <w:adjustRightInd w:val="0"/>
              <w:spacing w:before="20" w:after="20"/>
              <w:rPr>
                <w:color w:val="000000"/>
                <w:sz w:val="20"/>
                <w:szCs w:val="20"/>
              </w:rPr>
            </w:pPr>
            <w:r w:rsidRPr="006A110E">
              <w:rPr>
                <w:color w:val="000000"/>
                <w:sz w:val="20"/>
                <w:szCs w:val="20"/>
              </w:rPr>
              <w:t>Electrical Power Plant Siting</w:t>
            </w:r>
          </w:p>
        </w:tc>
      </w:tr>
      <w:tr w:rsidR="007B6AC9" w:rsidRPr="005455CE" w:rsidTr="00210971">
        <w:trPr>
          <w:trHeight w:val="145"/>
        </w:trPr>
        <w:tc>
          <w:tcPr>
            <w:tcW w:w="1620" w:type="dxa"/>
            <w:vAlign w:val="center"/>
          </w:tcPr>
          <w:p w:rsidR="007B6AC9" w:rsidRPr="006A110E" w:rsidRDefault="00BE3454" w:rsidP="007B6AC9">
            <w:pPr>
              <w:autoSpaceDE w:val="0"/>
              <w:autoSpaceDN w:val="0"/>
              <w:adjustRightInd w:val="0"/>
              <w:spacing w:before="20" w:after="20"/>
              <w:jc w:val="center"/>
              <w:rPr>
                <w:color w:val="000000"/>
                <w:sz w:val="20"/>
                <w:szCs w:val="20"/>
              </w:rPr>
            </w:pPr>
            <w:hyperlink r:id="rId18" w:history="1">
              <w:r w:rsidR="007B6AC9" w:rsidRPr="006A110E">
                <w:rPr>
                  <w:color w:val="0000FF"/>
                  <w:sz w:val="20"/>
                  <w:szCs w:val="20"/>
                  <w:u w:val="single"/>
                </w:rPr>
                <w:t>62-204</w:t>
              </w:r>
            </w:hyperlink>
          </w:p>
        </w:tc>
        <w:tc>
          <w:tcPr>
            <w:tcW w:w="7740" w:type="dxa"/>
          </w:tcPr>
          <w:p w:rsidR="007B6AC9" w:rsidRPr="006A110E" w:rsidRDefault="007B6AC9" w:rsidP="007B6AC9">
            <w:pPr>
              <w:autoSpaceDE w:val="0"/>
              <w:autoSpaceDN w:val="0"/>
              <w:adjustRightInd w:val="0"/>
              <w:spacing w:before="20" w:after="20"/>
              <w:rPr>
                <w:color w:val="000000"/>
                <w:sz w:val="20"/>
                <w:szCs w:val="20"/>
              </w:rPr>
            </w:pPr>
            <w:r w:rsidRPr="006A110E">
              <w:rPr>
                <w:color w:val="000000"/>
                <w:sz w:val="20"/>
                <w:szCs w:val="20"/>
              </w:rPr>
              <w:t xml:space="preserve">Air Pollution Control – General Provisions </w:t>
            </w:r>
          </w:p>
        </w:tc>
      </w:tr>
      <w:tr w:rsidR="007B6AC9" w:rsidRPr="005455CE" w:rsidTr="00210971">
        <w:trPr>
          <w:trHeight w:val="145"/>
        </w:trPr>
        <w:tc>
          <w:tcPr>
            <w:tcW w:w="1620" w:type="dxa"/>
            <w:vAlign w:val="center"/>
          </w:tcPr>
          <w:p w:rsidR="007B6AC9" w:rsidRPr="006A110E" w:rsidRDefault="00BE3454" w:rsidP="007B6AC9">
            <w:pPr>
              <w:autoSpaceDE w:val="0"/>
              <w:autoSpaceDN w:val="0"/>
              <w:adjustRightInd w:val="0"/>
              <w:spacing w:before="20" w:after="20"/>
              <w:jc w:val="center"/>
              <w:rPr>
                <w:color w:val="000000"/>
                <w:sz w:val="20"/>
                <w:szCs w:val="20"/>
              </w:rPr>
            </w:pPr>
            <w:hyperlink r:id="rId19" w:history="1">
              <w:r w:rsidR="007B6AC9" w:rsidRPr="006A110E">
                <w:rPr>
                  <w:color w:val="0000FF"/>
                  <w:sz w:val="20"/>
                  <w:szCs w:val="20"/>
                  <w:u w:val="single"/>
                </w:rPr>
                <w:t>62-210</w:t>
              </w:r>
            </w:hyperlink>
          </w:p>
        </w:tc>
        <w:tc>
          <w:tcPr>
            <w:tcW w:w="7740" w:type="dxa"/>
          </w:tcPr>
          <w:p w:rsidR="007B6AC9" w:rsidRPr="006A110E" w:rsidRDefault="007B6AC9" w:rsidP="007B6AC9">
            <w:pPr>
              <w:autoSpaceDE w:val="0"/>
              <w:autoSpaceDN w:val="0"/>
              <w:adjustRightInd w:val="0"/>
              <w:spacing w:before="20" w:after="20"/>
              <w:rPr>
                <w:color w:val="000000"/>
                <w:sz w:val="20"/>
                <w:szCs w:val="20"/>
              </w:rPr>
            </w:pPr>
            <w:r w:rsidRPr="006A110E">
              <w:rPr>
                <w:color w:val="000000"/>
                <w:sz w:val="20"/>
                <w:szCs w:val="20"/>
              </w:rPr>
              <w:t xml:space="preserve">Stationary Sources of Air Pollution – General Requirements </w:t>
            </w:r>
          </w:p>
        </w:tc>
      </w:tr>
      <w:tr w:rsidR="007B6AC9" w:rsidRPr="005455CE" w:rsidTr="00210971">
        <w:trPr>
          <w:trHeight w:val="145"/>
        </w:trPr>
        <w:tc>
          <w:tcPr>
            <w:tcW w:w="1620" w:type="dxa"/>
            <w:vAlign w:val="center"/>
          </w:tcPr>
          <w:p w:rsidR="007B6AC9" w:rsidRPr="006A110E" w:rsidRDefault="00BE3454" w:rsidP="007B6AC9">
            <w:pPr>
              <w:autoSpaceDE w:val="0"/>
              <w:autoSpaceDN w:val="0"/>
              <w:adjustRightInd w:val="0"/>
              <w:spacing w:before="20" w:after="20"/>
              <w:jc w:val="center"/>
              <w:rPr>
                <w:color w:val="000000"/>
                <w:sz w:val="20"/>
                <w:szCs w:val="20"/>
              </w:rPr>
            </w:pPr>
            <w:hyperlink r:id="rId20" w:history="1">
              <w:r w:rsidR="007B6AC9" w:rsidRPr="006A110E">
                <w:rPr>
                  <w:color w:val="0000FF"/>
                  <w:sz w:val="20"/>
                  <w:szCs w:val="20"/>
                  <w:u w:val="single"/>
                </w:rPr>
                <w:t>62-212</w:t>
              </w:r>
            </w:hyperlink>
          </w:p>
        </w:tc>
        <w:tc>
          <w:tcPr>
            <w:tcW w:w="7740" w:type="dxa"/>
          </w:tcPr>
          <w:p w:rsidR="007B6AC9" w:rsidRPr="006A110E" w:rsidRDefault="007B6AC9" w:rsidP="007B6AC9">
            <w:pPr>
              <w:autoSpaceDE w:val="0"/>
              <w:autoSpaceDN w:val="0"/>
              <w:adjustRightInd w:val="0"/>
              <w:spacing w:before="20" w:after="20"/>
              <w:rPr>
                <w:color w:val="000000"/>
                <w:sz w:val="20"/>
                <w:szCs w:val="20"/>
              </w:rPr>
            </w:pPr>
            <w:r w:rsidRPr="006A110E">
              <w:rPr>
                <w:color w:val="000000"/>
                <w:sz w:val="20"/>
                <w:szCs w:val="20"/>
              </w:rPr>
              <w:t xml:space="preserve">Stationary Sources – Preconstruction Review </w:t>
            </w:r>
          </w:p>
        </w:tc>
      </w:tr>
      <w:tr w:rsidR="007B6AC9" w:rsidRPr="005455CE" w:rsidTr="00210971">
        <w:trPr>
          <w:trHeight w:val="145"/>
        </w:trPr>
        <w:tc>
          <w:tcPr>
            <w:tcW w:w="1620" w:type="dxa"/>
            <w:vAlign w:val="center"/>
          </w:tcPr>
          <w:p w:rsidR="007B6AC9" w:rsidRPr="006A110E" w:rsidRDefault="00BE3454" w:rsidP="007B6AC9">
            <w:pPr>
              <w:autoSpaceDE w:val="0"/>
              <w:autoSpaceDN w:val="0"/>
              <w:adjustRightInd w:val="0"/>
              <w:spacing w:before="20" w:after="20"/>
              <w:jc w:val="center"/>
              <w:rPr>
                <w:color w:val="000000"/>
                <w:sz w:val="20"/>
                <w:szCs w:val="20"/>
              </w:rPr>
            </w:pPr>
            <w:hyperlink r:id="rId21" w:history="1">
              <w:r w:rsidR="007B6AC9" w:rsidRPr="006A110E">
                <w:rPr>
                  <w:color w:val="0000FF"/>
                  <w:sz w:val="20"/>
                  <w:szCs w:val="20"/>
                  <w:u w:val="single"/>
                </w:rPr>
                <w:t>62-213</w:t>
              </w:r>
            </w:hyperlink>
          </w:p>
        </w:tc>
        <w:tc>
          <w:tcPr>
            <w:tcW w:w="7740" w:type="dxa"/>
          </w:tcPr>
          <w:p w:rsidR="007B6AC9" w:rsidRPr="006A110E" w:rsidRDefault="007B6AC9" w:rsidP="007B6AC9">
            <w:pPr>
              <w:autoSpaceDE w:val="0"/>
              <w:autoSpaceDN w:val="0"/>
              <w:adjustRightInd w:val="0"/>
              <w:spacing w:before="20" w:after="20"/>
              <w:rPr>
                <w:color w:val="000000"/>
                <w:sz w:val="20"/>
                <w:szCs w:val="20"/>
              </w:rPr>
            </w:pPr>
            <w:r w:rsidRPr="006A110E">
              <w:rPr>
                <w:color w:val="000000"/>
                <w:sz w:val="20"/>
                <w:szCs w:val="20"/>
              </w:rPr>
              <w:t xml:space="preserve">Operation Permits for Major Sources (Title V) of Air Pollution </w:t>
            </w:r>
          </w:p>
        </w:tc>
      </w:tr>
      <w:tr w:rsidR="007B6AC9" w:rsidRPr="005455CE" w:rsidTr="00210971">
        <w:trPr>
          <w:trHeight w:val="145"/>
        </w:trPr>
        <w:tc>
          <w:tcPr>
            <w:tcW w:w="1620" w:type="dxa"/>
            <w:vAlign w:val="center"/>
          </w:tcPr>
          <w:p w:rsidR="007B6AC9" w:rsidRPr="006A110E" w:rsidRDefault="00BE3454" w:rsidP="007B6AC9">
            <w:pPr>
              <w:autoSpaceDE w:val="0"/>
              <w:autoSpaceDN w:val="0"/>
              <w:adjustRightInd w:val="0"/>
              <w:spacing w:before="20" w:after="20"/>
              <w:jc w:val="center"/>
              <w:rPr>
                <w:color w:val="000000"/>
                <w:sz w:val="20"/>
                <w:szCs w:val="20"/>
              </w:rPr>
            </w:pPr>
            <w:hyperlink r:id="rId22" w:history="1">
              <w:r w:rsidR="007B6AC9" w:rsidRPr="006A110E">
                <w:rPr>
                  <w:color w:val="0000FF"/>
                  <w:sz w:val="20"/>
                  <w:szCs w:val="20"/>
                  <w:u w:val="single"/>
                </w:rPr>
                <w:t>62-296</w:t>
              </w:r>
            </w:hyperlink>
          </w:p>
        </w:tc>
        <w:tc>
          <w:tcPr>
            <w:tcW w:w="7740" w:type="dxa"/>
          </w:tcPr>
          <w:p w:rsidR="007B6AC9" w:rsidRPr="006A110E" w:rsidRDefault="007B6AC9" w:rsidP="007B6AC9">
            <w:pPr>
              <w:autoSpaceDE w:val="0"/>
              <w:autoSpaceDN w:val="0"/>
              <w:adjustRightInd w:val="0"/>
              <w:spacing w:before="20" w:after="20"/>
              <w:rPr>
                <w:color w:val="000000"/>
                <w:sz w:val="20"/>
                <w:szCs w:val="20"/>
              </w:rPr>
            </w:pPr>
            <w:r w:rsidRPr="006A110E">
              <w:rPr>
                <w:color w:val="000000"/>
                <w:sz w:val="20"/>
                <w:szCs w:val="20"/>
              </w:rPr>
              <w:t xml:space="preserve">Stationary Sources – Emission Standards </w:t>
            </w:r>
          </w:p>
        </w:tc>
      </w:tr>
      <w:tr w:rsidR="007B6AC9" w:rsidRPr="005455CE" w:rsidTr="00210971">
        <w:trPr>
          <w:trHeight w:val="145"/>
        </w:trPr>
        <w:tc>
          <w:tcPr>
            <w:tcW w:w="1620" w:type="dxa"/>
            <w:vAlign w:val="center"/>
          </w:tcPr>
          <w:p w:rsidR="007B6AC9" w:rsidRPr="006A110E" w:rsidRDefault="00BE3454" w:rsidP="007B6AC9">
            <w:pPr>
              <w:autoSpaceDE w:val="0"/>
              <w:autoSpaceDN w:val="0"/>
              <w:adjustRightInd w:val="0"/>
              <w:spacing w:before="20" w:after="20"/>
              <w:jc w:val="center"/>
              <w:rPr>
                <w:color w:val="000000"/>
                <w:sz w:val="20"/>
                <w:szCs w:val="20"/>
              </w:rPr>
            </w:pPr>
            <w:hyperlink r:id="rId23" w:history="1">
              <w:r w:rsidR="007B6AC9" w:rsidRPr="006A110E">
                <w:rPr>
                  <w:color w:val="0000FF"/>
                  <w:sz w:val="20"/>
                  <w:szCs w:val="20"/>
                  <w:u w:val="single"/>
                </w:rPr>
                <w:t>62-297</w:t>
              </w:r>
            </w:hyperlink>
          </w:p>
        </w:tc>
        <w:tc>
          <w:tcPr>
            <w:tcW w:w="7740" w:type="dxa"/>
          </w:tcPr>
          <w:p w:rsidR="007B6AC9" w:rsidRPr="006A110E" w:rsidRDefault="007B6AC9" w:rsidP="007B6AC9">
            <w:pPr>
              <w:autoSpaceDE w:val="0"/>
              <w:autoSpaceDN w:val="0"/>
              <w:adjustRightInd w:val="0"/>
              <w:spacing w:before="20" w:after="20"/>
              <w:rPr>
                <w:color w:val="000000"/>
                <w:sz w:val="20"/>
                <w:szCs w:val="20"/>
              </w:rPr>
            </w:pPr>
            <w:r w:rsidRPr="006A110E">
              <w:rPr>
                <w:color w:val="000000"/>
                <w:sz w:val="20"/>
                <w:szCs w:val="20"/>
              </w:rPr>
              <w:t xml:space="preserve">Stationary Sources – Emissions Monitoring </w:t>
            </w:r>
          </w:p>
        </w:tc>
      </w:tr>
    </w:tbl>
    <w:p w:rsidR="007B6AC9" w:rsidRPr="00F249DC" w:rsidRDefault="007B6AC9" w:rsidP="00F249DC">
      <w:pPr>
        <w:numPr>
          <w:ilvl w:val="1"/>
          <w:numId w:val="5"/>
        </w:numPr>
        <w:tabs>
          <w:tab w:val="left" w:pos="720"/>
        </w:tabs>
        <w:spacing w:before="120" w:after="120"/>
        <w:ind w:left="720" w:hanging="720"/>
        <w:jc w:val="both"/>
        <w:outlineLvl w:val="0"/>
        <w:rPr>
          <w:b/>
          <w:sz w:val="22"/>
          <w:szCs w:val="22"/>
        </w:rPr>
      </w:pPr>
      <w:r w:rsidRPr="00F249DC">
        <w:rPr>
          <w:b/>
          <w:bCs/>
          <w:sz w:val="22"/>
          <w:szCs w:val="22"/>
        </w:rPr>
        <w:t>Project Description</w:t>
      </w:r>
    </w:p>
    <w:p w:rsidR="00911DE9" w:rsidRPr="006C0330" w:rsidRDefault="00911DE9" w:rsidP="00911DE9">
      <w:pPr>
        <w:pStyle w:val="BodyText"/>
        <w:widowControl w:val="0"/>
        <w:rPr>
          <w:sz w:val="22"/>
          <w:szCs w:val="22"/>
        </w:rPr>
      </w:pPr>
      <w:r w:rsidRPr="006C0330">
        <w:rPr>
          <w:sz w:val="22"/>
          <w:szCs w:val="22"/>
        </w:rPr>
        <w:t xml:space="preserve">The Department regulates major sources of HAP in accordance with applicable portions of 40 CFR 63 adopted in Rule 62-204.800(11), F.A.C.  The GRU DGS is already classified as a major source of HAP because it has a </w:t>
      </w:r>
      <w:r w:rsidR="00194F56">
        <w:rPr>
          <w:sz w:val="22"/>
          <w:szCs w:val="22"/>
        </w:rPr>
        <w:t>potential to emit (</w:t>
      </w:r>
      <w:r w:rsidRPr="006C0330">
        <w:rPr>
          <w:sz w:val="22"/>
          <w:szCs w:val="22"/>
        </w:rPr>
        <w:t>PTE</w:t>
      </w:r>
      <w:r w:rsidR="00194F56">
        <w:rPr>
          <w:sz w:val="22"/>
          <w:szCs w:val="22"/>
        </w:rPr>
        <w:t>)</w:t>
      </w:r>
      <w:r w:rsidRPr="006C0330">
        <w:rPr>
          <w:sz w:val="22"/>
          <w:szCs w:val="22"/>
        </w:rPr>
        <w:t xml:space="preserve"> of 10 TPY of any single HAP or 25 TPY of all HAP.  The GREC </w:t>
      </w:r>
      <w:r>
        <w:rPr>
          <w:sz w:val="22"/>
          <w:szCs w:val="22"/>
        </w:rPr>
        <w:t>facility</w:t>
      </w:r>
      <w:r w:rsidRPr="006C0330">
        <w:rPr>
          <w:sz w:val="22"/>
          <w:szCs w:val="22"/>
        </w:rPr>
        <w:t xml:space="preserve"> alone (the BFB </w:t>
      </w:r>
      <w:r w:rsidR="006A110E">
        <w:rPr>
          <w:sz w:val="22"/>
          <w:szCs w:val="22"/>
        </w:rPr>
        <w:t xml:space="preserve">boiler </w:t>
      </w:r>
      <w:r w:rsidRPr="006C0330">
        <w:rPr>
          <w:sz w:val="22"/>
          <w:szCs w:val="22"/>
        </w:rPr>
        <w:t xml:space="preserve">in particular) will not have a PTE of any single HAP </w:t>
      </w:r>
      <w:r>
        <w:rPr>
          <w:sz w:val="22"/>
          <w:szCs w:val="22"/>
        </w:rPr>
        <w:t xml:space="preserve">that </w:t>
      </w:r>
      <w:r w:rsidRPr="006C0330">
        <w:rPr>
          <w:sz w:val="22"/>
          <w:szCs w:val="22"/>
        </w:rPr>
        <w:t xml:space="preserve">is equal to or greater than 10 TPY or of all aggregated HAP equal to or greater than 25 TPY.  </w:t>
      </w:r>
    </w:p>
    <w:p w:rsidR="00911DE9" w:rsidRPr="006C0330" w:rsidRDefault="00911DE9" w:rsidP="00911DE9">
      <w:pPr>
        <w:spacing w:before="120" w:after="120"/>
        <w:rPr>
          <w:sz w:val="22"/>
          <w:szCs w:val="22"/>
          <w:u w:val="single"/>
        </w:rPr>
      </w:pPr>
      <w:r w:rsidRPr="006C0330">
        <w:rPr>
          <w:sz w:val="22"/>
          <w:szCs w:val="22"/>
        </w:rPr>
        <w:t>Estimates of individual key HAP emissions are provided in</w:t>
      </w:r>
      <w:r>
        <w:rPr>
          <w:sz w:val="22"/>
          <w:szCs w:val="22"/>
        </w:rPr>
        <w:t xml:space="preserve"> </w:t>
      </w:r>
      <w:fldSimple w:instr=" REF _Ref367957790 \h  \* MERGEFORMAT ">
        <w:r w:rsidR="00AF47D7" w:rsidRPr="00AF47D7">
          <w:rPr>
            <w:color w:val="000000" w:themeColor="text1"/>
            <w:sz w:val="22"/>
            <w:szCs w:val="22"/>
          </w:rPr>
          <w:t xml:space="preserve">Table </w:t>
        </w:r>
        <w:r w:rsidR="00AF47D7" w:rsidRPr="00AF47D7">
          <w:rPr>
            <w:noProof/>
            <w:color w:val="000000" w:themeColor="text1"/>
            <w:sz w:val="22"/>
            <w:szCs w:val="22"/>
          </w:rPr>
          <w:t>3</w:t>
        </w:r>
      </w:fldSimple>
      <w:r w:rsidRPr="006C0330">
        <w:rPr>
          <w:sz w:val="22"/>
          <w:szCs w:val="22"/>
        </w:rPr>
        <w:t xml:space="preserve">.  </w:t>
      </w:r>
    </w:p>
    <w:p w:rsidR="00911DE9" w:rsidRPr="00911DE9" w:rsidRDefault="00911DE9" w:rsidP="00911DE9">
      <w:pPr>
        <w:pStyle w:val="Caption"/>
        <w:spacing w:after="120"/>
        <w:jc w:val="center"/>
        <w:rPr>
          <w:caps/>
          <w:color w:val="000000" w:themeColor="text1"/>
          <w:sz w:val="22"/>
          <w:szCs w:val="22"/>
        </w:rPr>
      </w:pPr>
      <w:bookmarkStart w:id="10" w:name="_Ref367957790"/>
      <w:r w:rsidRPr="00911DE9">
        <w:rPr>
          <w:caps/>
          <w:color w:val="000000" w:themeColor="text1"/>
          <w:sz w:val="22"/>
          <w:szCs w:val="22"/>
        </w:rPr>
        <w:t xml:space="preserve">Table </w:t>
      </w:r>
      <w:r w:rsidR="00BE3454" w:rsidRPr="00911DE9">
        <w:rPr>
          <w:caps/>
          <w:color w:val="000000" w:themeColor="text1"/>
          <w:sz w:val="22"/>
          <w:szCs w:val="22"/>
        </w:rPr>
        <w:fldChar w:fldCharType="begin"/>
      </w:r>
      <w:r w:rsidRPr="00911DE9">
        <w:rPr>
          <w:caps/>
          <w:color w:val="000000" w:themeColor="text1"/>
          <w:sz w:val="22"/>
          <w:szCs w:val="22"/>
        </w:rPr>
        <w:instrText xml:space="preserve"> SEQ Table \* ARABIC </w:instrText>
      </w:r>
      <w:r w:rsidR="00BE3454" w:rsidRPr="00911DE9">
        <w:rPr>
          <w:caps/>
          <w:color w:val="000000" w:themeColor="text1"/>
          <w:sz w:val="22"/>
          <w:szCs w:val="22"/>
        </w:rPr>
        <w:fldChar w:fldCharType="separate"/>
      </w:r>
      <w:r w:rsidR="00AF47D7">
        <w:rPr>
          <w:caps/>
          <w:noProof/>
          <w:color w:val="000000" w:themeColor="text1"/>
          <w:sz w:val="22"/>
          <w:szCs w:val="22"/>
        </w:rPr>
        <w:t>3</w:t>
      </w:r>
      <w:r w:rsidR="00BE3454" w:rsidRPr="00911DE9">
        <w:rPr>
          <w:caps/>
          <w:color w:val="000000" w:themeColor="text1"/>
          <w:sz w:val="22"/>
          <w:szCs w:val="22"/>
        </w:rPr>
        <w:fldChar w:fldCharType="end"/>
      </w:r>
      <w:bookmarkEnd w:id="10"/>
      <w:r w:rsidRPr="00911DE9">
        <w:rPr>
          <w:caps/>
          <w:color w:val="000000" w:themeColor="text1"/>
          <w:sz w:val="22"/>
          <w:szCs w:val="22"/>
        </w:rPr>
        <w:t xml:space="preserve">–Estimated PTE of HAP from the GREC BFB </w:t>
      </w:r>
      <w:r w:rsidR="00210971">
        <w:rPr>
          <w:caps/>
          <w:color w:val="000000" w:themeColor="text1"/>
          <w:sz w:val="22"/>
          <w:szCs w:val="22"/>
        </w:rPr>
        <w:t xml:space="preserve">Boiler </w:t>
      </w:r>
      <w:r w:rsidRPr="00911DE9">
        <w:rPr>
          <w:caps/>
          <w:color w:val="000000" w:themeColor="text1"/>
          <w:sz w:val="22"/>
          <w:szCs w:val="22"/>
        </w:rPr>
        <w:t>in TPY</w:t>
      </w:r>
      <w:r w:rsidR="0064614B">
        <w:rPr>
          <w:caps/>
          <w:color w:val="000000" w:themeColor="text1"/>
          <w:sz w:val="22"/>
          <w:szCs w:val="22"/>
        </w:rPr>
        <w:t>.</w:t>
      </w:r>
    </w:p>
    <w:tbl>
      <w:tblPr>
        <w:tblW w:w="4934"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172"/>
        <w:gridCol w:w="597"/>
        <w:gridCol w:w="597"/>
        <w:gridCol w:w="1238"/>
        <w:gridCol w:w="1325"/>
        <w:gridCol w:w="833"/>
        <w:gridCol w:w="716"/>
        <w:gridCol w:w="794"/>
        <w:gridCol w:w="1484"/>
        <w:gridCol w:w="694"/>
      </w:tblGrid>
      <w:tr w:rsidR="00210971" w:rsidRPr="00171711" w:rsidTr="00210971">
        <w:trPr>
          <w:trHeight w:val="285"/>
        </w:trPr>
        <w:tc>
          <w:tcPr>
            <w:tcW w:w="620" w:type="pct"/>
            <w:shd w:val="clear" w:color="auto" w:fill="C6D9F1" w:themeFill="text2" w:themeFillTint="33"/>
            <w:noWrap/>
            <w:vAlign w:val="center"/>
          </w:tcPr>
          <w:p w:rsidR="00911DE9" w:rsidRPr="00EE4755" w:rsidRDefault="00911DE9" w:rsidP="0064614B">
            <w:pPr>
              <w:spacing w:before="60" w:after="60"/>
              <w:rPr>
                <w:b/>
                <w:bCs/>
                <w:sz w:val="20"/>
                <w:szCs w:val="20"/>
              </w:rPr>
            </w:pPr>
            <w:r w:rsidRPr="00EE4755">
              <w:rPr>
                <w:b/>
                <w:bCs/>
                <w:sz w:val="20"/>
                <w:szCs w:val="20"/>
              </w:rPr>
              <w:t>Pollutant</w:t>
            </w:r>
            <w:r w:rsidR="00F249DC">
              <w:rPr>
                <w:b/>
                <w:bCs/>
                <w:sz w:val="20"/>
                <w:szCs w:val="20"/>
              </w:rPr>
              <w:t xml:space="preserve"> </w:t>
            </w:r>
            <w:r w:rsidRPr="00EE4755">
              <w:rPr>
                <w:b/>
                <w:bCs/>
                <w:sz w:val="20"/>
                <w:szCs w:val="20"/>
                <w:vertAlign w:val="superscript"/>
              </w:rPr>
              <w:t>1</w:t>
            </w:r>
          </w:p>
        </w:tc>
        <w:tc>
          <w:tcPr>
            <w:tcW w:w="316" w:type="pct"/>
            <w:shd w:val="clear" w:color="auto" w:fill="C6D9F1" w:themeFill="text2" w:themeFillTint="33"/>
            <w:noWrap/>
            <w:vAlign w:val="center"/>
          </w:tcPr>
          <w:p w:rsidR="00911DE9" w:rsidRPr="00EE4755" w:rsidRDefault="00911DE9" w:rsidP="0064614B">
            <w:pPr>
              <w:spacing w:before="60" w:after="60"/>
              <w:jc w:val="center"/>
              <w:rPr>
                <w:b/>
                <w:bCs/>
                <w:sz w:val="20"/>
                <w:szCs w:val="20"/>
              </w:rPr>
            </w:pPr>
            <w:r w:rsidRPr="00EE4755">
              <w:rPr>
                <w:b/>
                <w:bCs/>
                <w:sz w:val="20"/>
                <w:szCs w:val="20"/>
              </w:rPr>
              <w:t>HCl</w:t>
            </w:r>
          </w:p>
        </w:tc>
        <w:tc>
          <w:tcPr>
            <w:tcW w:w="316" w:type="pct"/>
            <w:shd w:val="clear" w:color="auto" w:fill="C6D9F1" w:themeFill="text2" w:themeFillTint="33"/>
            <w:noWrap/>
            <w:vAlign w:val="center"/>
          </w:tcPr>
          <w:p w:rsidR="00911DE9" w:rsidRPr="00EE4755" w:rsidRDefault="00911DE9" w:rsidP="0064614B">
            <w:pPr>
              <w:spacing w:before="60" w:after="60"/>
              <w:jc w:val="center"/>
              <w:rPr>
                <w:b/>
                <w:bCs/>
                <w:sz w:val="20"/>
                <w:szCs w:val="20"/>
              </w:rPr>
            </w:pPr>
            <w:r w:rsidRPr="00EE4755">
              <w:rPr>
                <w:b/>
                <w:bCs/>
                <w:sz w:val="20"/>
                <w:szCs w:val="20"/>
              </w:rPr>
              <w:t>HF</w:t>
            </w:r>
          </w:p>
        </w:tc>
        <w:tc>
          <w:tcPr>
            <w:tcW w:w="655" w:type="pct"/>
            <w:shd w:val="clear" w:color="auto" w:fill="C6D9F1" w:themeFill="text2" w:themeFillTint="33"/>
            <w:noWrap/>
            <w:vAlign w:val="center"/>
          </w:tcPr>
          <w:p w:rsidR="00911DE9" w:rsidRPr="00EE4755" w:rsidRDefault="00911DE9" w:rsidP="0064614B">
            <w:pPr>
              <w:spacing w:before="60" w:after="60"/>
              <w:jc w:val="center"/>
              <w:rPr>
                <w:b/>
                <w:bCs/>
                <w:sz w:val="20"/>
                <w:szCs w:val="20"/>
              </w:rPr>
            </w:pPr>
            <w:r w:rsidRPr="00EE4755">
              <w:rPr>
                <w:b/>
                <w:bCs/>
                <w:sz w:val="20"/>
                <w:szCs w:val="20"/>
              </w:rPr>
              <w:t>Phosphorus</w:t>
            </w:r>
          </w:p>
        </w:tc>
        <w:tc>
          <w:tcPr>
            <w:tcW w:w="701" w:type="pct"/>
            <w:shd w:val="clear" w:color="auto" w:fill="C6D9F1" w:themeFill="text2" w:themeFillTint="33"/>
            <w:noWrap/>
            <w:vAlign w:val="center"/>
          </w:tcPr>
          <w:p w:rsidR="00911DE9" w:rsidRPr="00EE4755" w:rsidRDefault="00911DE9" w:rsidP="0064614B">
            <w:pPr>
              <w:spacing w:before="60" w:after="60"/>
              <w:jc w:val="center"/>
              <w:rPr>
                <w:b/>
                <w:bCs/>
                <w:sz w:val="20"/>
                <w:szCs w:val="20"/>
              </w:rPr>
            </w:pPr>
            <w:r>
              <w:rPr>
                <w:b/>
                <w:bCs/>
                <w:sz w:val="20"/>
                <w:szCs w:val="20"/>
              </w:rPr>
              <w:t xml:space="preserve">Other </w:t>
            </w:r>
            <w:r w:rsidRPr="00EE4755">
              <w:rPr>
                <w:b/>
                <w:bCs/>
                <w:sz w:val="20"/>
                <w:szCs w:val="20"/>
              </w:rPr>
              <w:t>Metal</w:t>
            </w:r>
            <w:r>
              <w:rPr>
                <w:b/>
                <w:bCs/>
                <w:sz w:val="20"/>
                <w:szCs w:val="20"/>
              </w:rPr>
              <w:br/>
              <w:t>HAP</w:t>
            </w:r>
          </w:p>
        </w:tc>
        <w:tc>
          <w:tcPr>
            <w:tcW w:w="441" w:type="pct"/>
            <w:shd w:val="clear" w:color="auto" w:fill="C6D9F1" w:themeFill="text2" w:themeFillTint="33"/>
            <w:noWrap/>
            <w:vAlign w:val="center"/>
          </w:tcPr>
          <w:p w:rsidR="00911DE9" w:rsidRPr="00EE4755" w:rsidRDefault="00911DE9" w:rsidP="0064614B">
            <w:pPr>
              <w:spacing w:before="60" w:after="60"/>
              <w:ind w:left="-108"/>
              <w:jc w:val="center"/>
              <w:rPr>
                <w:b/>
                <w:bCs/>
                <w:sz w:val="20"/>
                <w:szCs w:val="20"/>
                <w:vertAlign w:val="superscript"/>
              </w:rPr>
            </w:pPr>
            <w:r w:rsidRPr="00EE4755">
              <w:rPr>
                <w:b/>
                <w:bCs/>
                <w:sz w:val="20"/>
                <w:szCs w:val="20"/>
              </w:rPr>
              <w:t>CH</w:t>
            </w:r>
            <w:r w:rsidRPr="00EE4755">
              <w:rPr>
                <w:b/>
                <w:bCs/>
                <w:sz w:val="20"/>
                <w:szCs w:val="20"/>
                <w:vertAlign w:val="subscript"/>
              </w:rPr>
              <w:t>3</w:t>
            </w:r>
            <w:r w:rsidRPr="00EE4755">
              <w:rPr>
                <w:b/>
                <w:bCs/>
                <w:sz w:val="20"/>
                <w:szCs w:val="20"/>
              </w:rPr>
              <w:t>Cl</w:t>
            </w:r>
          </w:p>
        </w:tc>
        <w:tc>
          <w:tcPr>
            <w:tcW w:w="379" w:type="pct"/>
            <w:shd w:val="clear" w:color="auto" w:fill="C6D9F1" w:themeFill="text2" w:themeFillTint="33"/>
            <w:noWrap/>
            <w:vAlign w:val="center"/>
          </w:tcPr>
          <w:p w:rsidR="00911DE9" w:rsidRPr="00EE4755" w:rsidRDefault="00911DE9" w:rsidP="0064614B">
            <w:pPr>
              <w:spacing w:before="60" w:after="60"/>
              <w:jc w:val="center"/>
              <w:rPr>
                <w:b/>
                <w:bCs/>
                <w:sz w:val="20"/>
                <w:szCs w:val="20"/>
                <w:vertAlign w:val="superscript"/>
              </w:rPr>
            </w:pPr>
            <w:r w:rsidRPr="00EE4755">
              <w:rPr>
                <w:b/>
                <w:bCs/>
                <w:sz w:val="20"/>
                <w:szCs w:val="20"/>
              </w:rPr>
              <w:t>C</w:t>
            </w:r>
            <w:r w:rsidRPr="00EE4755">
              <w:rPr>
                <w:b/>
                <w:bCs/>
                <w:sz w:val="20"/>
                <w:szCs w:val="20"/>
                <w:vertAlign w:val="subscript"/>
              </w:rPr>
              <w:t>6</w:t>
            </w:r>
            <w:r w:rsidRPr="00EE4755">
              <w:rPr>
                <w:b/>
                <w:bCs/>
                <w:sz w:val="20"/>
                <w:szCs w:val="20"/>
              </w:rPr>
              <w:t>H</w:t>
            </w:r>
            <w:r w:rsidRPr="00EE4755">
              <w:rPr>
                <w:b/>
                <w:bCs/>
                <w:sz w:val="20"/>
                <w:szCs w:val="20"/>
                <w:vertAlign w:val="subscript"/>
              </w:rPr>
              <w:t>6</w:t>
            </w:r>
          </w:p>
        </w:tc>
        <w:tc>
          <w:tcPr>
            <w:tcW w:w="420" w:type="pct"/>
            <w:shd w:val="clear" w:color="auto" w:fill="C6D9F1" w:themeFill="text2" w:themeFillTint="33"/>
            <w:noWrap/>
            <w:vAlign w:val="center"/>
          </w:tcPr>
          <w:p w:rsidR="00911DE9" w:rsidRPr="00EE4755" w:rsidRDefault="00911DE9" w:rsidP="0064614B">
            <w:pPr>
              <w:spacing w:before="60" w:after="60"/>
              <w:jc w:val="center"/>
              <w:rPr>
                <w:b/>
                <w:bCs/>
                <w:sz w:val="20"/>
                <w:szCs w:val="20"/>
                <w:vertAlign w:val="superscript"/>
              </w:rPr>
            </w:pPr>
            <w:r w:rsidRPr="00EE4755">
              <w:rPr>
                <w:b/>
                <w:bCs/>
                <w:sz w:val="20"/>
                <w:szCs w:val="20"/>
              </w:rPr>
              <w:t>CH</w:t>
            </w:r>
            <w:r w:rsidRPr="00EE4755">
              <w:rPr>
                <w:b/>
                <w:bCs/>
                <w:sz w:val="20"/>
                <w:szCs w:val="20"/>
                <w:vertAlign w:val="subscript"/>
              </w:rPr>
              <w:t>2</w:t>
            </w:r>
            <w:r w:rsidRPr="00EE4755">
              <w:rPr>
                <w:b/>
                <w:bCs/>
                <w:sz w:val="20"/>
                <w:szCs w:val="20"/>
              </w:rPr>
              <w:t>O</w:t>
            </w:r>
          </w:p>
        </w:tc>
        <w:tc>
          <w:tcPr>
            <w:tcW w:w="785" w:type="pct"/>
            <w:shd w:val="clear" w:color="auto" w:fill="C6D9F1" w:themeFill="text2" w:themeFillTint="33"/>
            <w:vAlign w:val="center"/>
          </w:tcPr>
          <w:p w:rsidR="00911DE9" w:rsidRPr="00EE4755" w:rsidRDefault="00911DE9" w:rsidP="0064614B">
            <w:pPr>
              <w:spacing w:before="60" w:after="60"/>
              <w:jc w:val="center"/>
              <w:rPr>
                <w:b/>
                <w:bCs/>
                <w:sz w:val="20"/>
                <w:szCs w:val="20"/>
              </w:rPr>
            </w:pPr>
            <w:r w:rsidRPr="00EE4755">
              <w:rPr>
                <w:b/>
                <w:bCs/>
                <w:sz w:val="20"/>
                <w:szCs w:val="20"/>
              </w:rPr>
              <w:t>Other Organic</w:t>
            </w:r>
            <w:r>
              <w:rPr>
                <w:b/>
                <w:bCs/>
                <w:sz w:val="20"/>
                <w:szCs w:val="20"/>
              </w:rPr>
              <w:br/>
              <w:t>HAP</w:t>
            </w:r>
          </w:p>
        </w:tc>
        <w:tc>
          <w:tcPr>
            <w:tcW w:w="367" w:type="pct"/>
            <w:shd w:val="clear" w:color="auto" w:fill="C6D9F1" w:themeFill="text2" w:themeFillTint="33"/>
            <w:noWrap/>
            <w:vAlign w:val="center"/>
          </w:tcPr>
          <w:p w:rsidR="00911DE9" w:rsidRPr="00EE4755" w:rsidRDefault="00911DE9" w:rsidP="0064614B">
            <w:pPr>
              <w:spacing w:before="60" w:after="60"/>
              <w:jc w:val="center"/>
              <w:rPr>
                <w:b/>
                <w:bCs/>
                <w:sz w:val="20"/>
                <w:szCs w:val="20"/>
              </w:rPr>
            </w:pPr>
            <w:r w:rsidRPr="00EE4755">
              <w:rPr>
                <w:b/>
                <w:bCs/>
                <w:sz w:val="20"/>
                <w:szCs w:val="20"/>
              </w:rPr>
              <w:t>Total</w:t>
            </w:r>
          </w:p>
        </w:tc>
      </w:tr>
      <w:tr w:rsidR="00210971" w:rsidRPr="00171711" w:rsidTr="00210971">
        <w:trPr>
          <w:trHeight w:val="302"/>
        </w:trPr>
        <w:tc>
          <w:tcPr>
            <w:tcW w:w="620" w:type="pct"/>
            <w:vAlign w:val="center"/>
          </w:tcPr>
          <w:p w:rsidR="00911DE9" w:rsidRPr="00EE4755" w:rsidRDefault="00911DE9" w:rsidP="0064614B">
            <w:pPr>
              <w:spacing w:before="60" w:after="60"/>
              <w:rPr>
                <w:b/>
                <w:color w:val="000000"/>
                <w:sz w:val="20"/>
                <w:szCs w:val="20"/>
                <w:vertAlign w:val="superscript"/>
              </w:rPr>
            </w:pPr>
            <w:r w:rsidRPr="00EE4755">
              <w:rPr>
                <w:b/>
                <w:color w:val="000000"/>
                <w:sz w:val="20"/>
                <w:szCs w:val="20"/>
              </w:rPr>
              <w:t>Emissions</w:t>
            </w:r>
          </w:p>
        </w:tc>
        <w:tc>
          <w:tcPr>
            <w:tcW w:w="316" w:type="pct"/>
            <w:noWrap/>
            <w:vAlign w:val="center"/>
          </w:tcPr>
          <w:p w:rsidR="00911DE9" w:rsidRPr="00EE4755" w:rsidRDefault="00911DE9" w:rsidP="0064614B">
            <w:pPr>
              <w:spacing w:before="60" w:after="60"/>
              <w:jc w:val="center"/>
              <w:rPr>
                <w:color w:val="000000"/>
                <w:sz w:val="20"/>
                <w:szCs w:val="20"/>
              </w:rPr>
            </w:pPr>
            <w:r w:rsidRPr="00EE4755">
              <w:rPr>
                <w:color w:val="000000"/>
                <w:sz w:val="20"/>
                <w:szCs w:val="20"/>
              </w:rPr>
              <w:t>9.7</w:t>
            </w:r>
            <w:r>
              <w:rPr>
                <w:color w:val="000000"/>
                <w:sz w:val="20"/>
                <w:szCs w:val="20"/>
              </w:rPr>
              <w:t>2</w:t>
            </w:r>
          </w:p>
        </w:tc>
        <w:tc>
          <w:tcPr>
            <w:tcW w:w="316" w:type="pct"/>
            <w:noWrap/>
            <w:vAlign w:val="center"/>
          </w:tcPr>
          <w:p w:rsidR="00911DE9" w:rsidRPr="00EE4755" w:rsidRDefault="00911DE9" w:rsidP="0064614B">
            <w:pPr>
              <w:spacing w:before="60" w:after="60"/>
              <w:jc w:val="center"/>
              <w:rPr>
                <w:color w:val="000000"/>
                <w:sz w:val="20"/>
                <w:szCs w:val="20"/>
              </w:rPr>
            </w:pPr>
            <w:r w:rsidRPr="00EE4755">
              <w:rPr>
                <w:color w:val="000000"/>
                <w:sz w:val="20"/>
                <w:szCs w:val="20"/>
              </w:rPr>
              <w:t>9.7</w:t>
            </w:r>
            <w:r>
              <w:rPr>
                <w:color w:val="000000"/>
                <w:sz w:val="20"/>
                <w:szCs w:val="20"/>
              </w:rPr>
              <w:t>2</w:t>
            </w:r>
          </w:p>
        </w:tc>
        <w:tc>
          <w:tcPr>
            <w:tcW w:w="655" w:type="pct"/>
            <w:noWrap/>
            <w:vAlign w:val="center"/>
          </w:tcPr>
          <w:p w:rsidR="00911DE9" w:rsidRPr="00EE4755" w:rsidRDefault="00911DE9" w:rsidP="0064614B">
            <w:pPr>
              <w:spacing w:before="60" w:after="60"/>
              <w:jc w:val="center"/>
              <w:rPr>
                <w:color w:val="000000"/>
                <w:sz w:val="20"/>
                <w:szCs w:val="20"/>
              </w:rPr>
            </w:pPr>
            <w:r>
              <w:rPr>
                <w:color w:val="000000"/>
                <w:sz w:val="20"/>
                <w:szCs w:val="20"/>
              </w:rPr>
              <w:t>2.2</w:t>
            </w:r>
          </w:p>
        </w:tc>
        <w:tc>
          <w:tcPr>
            <w:tcW w:w="701" w:type="pct"/>
            <w:noWrap/>
            <w:vAlign w:val="center"/>
          </w:tcPr>
          <w:p w:rsidR="00911DE9" w:rsidRPr="00EE4755" w:rsidRDefault="00911DE9" w:rsidP="0064614B">
            <w:pPr>
              <w:spacing w:before="60" w:after="60"/>
              <w:jc w:val="center"/>
              <w:rPr>
                <w:color w:val="000000"/>
                <w:sz w:val="20"/>
                <w:szCs w:val="20"/>
              </w:rPr>
            </w:pPr>
            <w:r>
              <w:rPr>
                <w:color w:val="000000"/>
                <w:sz w:val="20"/>
                <w:szCs w:val="20"/>
              </w:rPr>
              <w:t>1.39</w:t>
            </w:r>
          </w:p>
        </w:tc>
        <w:tc>
          <w:tcPr>
            <w:tcW w:w="441" w:type="pct"/>
            <w:noWrap/>
            <w:vAlign w:val="center"/>
          </w:tcPr>
          <w:p w:rsidR="00911DE9" w:rsidRPr="00EE4755" w:rsidRDefault="00911DE9" w:rsidP="0064614B">
            <w:pPr>
              <w:spacing w:before="60" w:after="60"/>
              <w:ind w:left="-108"/>
              <w:jc w:val="center"/>
              <w:rPr>
                <w:color w:val="000000"/>
                <w:sz w:val="20"/>
                <w:szCs w:val="20"/>
              </w:rPr>
            </w:pPr>
            <w:r w:rsidRPr="00EE4755">
              <w:rPr>
                <w:color w:val="000000"/>
                <w:sz w:val="20"/>
                <w:szCs w:val="20"/>
              </w:rPr>
              <w:t>0.15</w:t>
            </w:r>
          </w:p>
        </w:tc>
        <w:tc>
          <w:tcPr>
            <w:tcW w:w="379" w:type="pct"/>
            <w:noWrap/>
            <w:vAlign w:val="center"/>
          </w:tcPr>
          <w:p w:rsidR="00911DE9" w:rsidRPr="00EE4755" w:rsidRDefault="00911DE9" w:rsidP="0064614B">
            <w:pPr>
              <w:spacing w:before="60" w:after="60"/>
              <w:jc w:val="center"/>
              <w:rPr>
                <w:color w:val="000000"/>
                <w:sz w:val="20"/>
                <w:szCs w:val="20"/>
              </w:rPr>
            </w:pPr>
            <w:r w:rsidRPr="00EE4755">
              <w:rPr>
                <w:color w:val="000000"/>
                <w:sz w:val="20"/>
                <w:szCs w:val="20"/>
              </w:rPr>
              <w:t>0.37</w:t>
            </w:r>
          </w:p>
        </w:tc>
        <w:tc>
          <w:tcPr>
            <w:tcW w:w="420" w:type="pct"/>
            <w:noWrap/>
            <w:vAlign w:val="center"/>
          </w:tcPr>
          <w:p w:rsidR="00911DE9" w:rsidRPr="00EE4755" w:rsidRDefault="00911DE9" w:rsidP="0064614B">
            <w:pPr>
              <w:spacing w:before="60" w:after="60"/>
              <w:jc w:val="center"/>
              <w:rPr>
                <w:color w:val="000000"/>
                <w:sz w:val="20"/>
                <w:szCs w:val="20"/>
              </w:rPr>
            </w:pPr>
            <w:r w:rsidRPr="00EE4755">
              <w:rPr>
                <w:color w:val="000000"/>
                <w:sz w:val="20"/>
                <w:szCs w:val="20"/>
              </w:rPr>
              <w:t>0.8</w:t>
            </w:r>
          </w:p>
        </w:tc>
        <w:tc>
          <w:tcPr>
            <w:tcW w:w="785" w:type="pct"/>
            <w:vAlign w:val="center"/>
          </w:tcPr>
          <w:p w:rsidR="00911DE9" w:rsidRPr="00EE4755" w:rsidRDefault="00911DE9" w:rsidP="0064614B">
            <w:pPr>
              <w:spacing w:before="60" w:after="60"/>
              <w:jc w:val="center"/>
              <w:rPr>
                <w:color w:val="000000"/>
                <w:sz w:val="20"/>
                <w:szCs w:val="20"/>
              </w:rPr>
            </w:pPr>
            <w:r w:rsidRPr="00EE4755">
              <w:rPr>
                <w:color w:val="000000"/>
                <w:sz w:val="20"/>
                <w:szCs w:val="20"/>
              </w:rPr>
              <w:t>0.32</w:t>
            </w:r>
          </w:p>
        </w:tc>
        <w:tc>
          <w:tcPr>
            <w:tcW w:w="367" w:type="pct"/>
            <w:noWrap/>
            <w:vAlign w:val="center"/>
          </w:tcPr>
          <w:p w:rsidR="00911DE9" w:rsidRPr="00EE4755" w:rsidRDefault="00911DE9" w:rsidP="0064614B">
            <w:pPr>
              <w:spacing w:before="60" w:after="60"/>
              <w:jc w:val="center"/>
              <w:rPr>
                <w:color w:val="000000"/>
                <w:sz w:val="20"/>
                <w:szCs w:val="20"/>
              </w:rPr>
            </w:pPr>
            <w:r w:rsidRPr="00EE4755">
              <w:rPr>
                <w:color w:val="000000"/>
                <w:sz w:val="20"/>
                <w:szCs w:val="20"/>
              </w:rPr>
              <w:t>24.</w:t>
            </w:r>
            <w:r>
              <w:rPr>
                <w:color w:val="000000"/>
                <w:sz w:val="20"/>
                <w:szCs w:val="20"/>
              </w:rPr>
              <w:t>7</w:t>
            </w:r>
          </w:p>
        </w:tc>
      </w:tr>
      <w:tr w:rsidR="00911DE9" w:rsidRPr="00C05E05" w:rsidTr="00210971">
        <w:trPr>
          <w:trHeight w:val="302"/>
        </w:trPr>
        <w:tc>
          <w:tcPr>
            <w:tcW w:w="5000" w:type="pct"/>
            <w:gridSpan w:val="10"/>
            <w:vAlign w:val="center"/>
          </w:tcPr>
          <w:p w:rsidR="00911DE9" w:rsidRPr="00F249DC" w:rsidRDefault="00911DE9" w:rsidP="0064614B">
            <w:pPr>
              <w:spacing w:before="60" w:after="60"/>
              <w:rPr>
                <w:color w:val="000000"/>
                <w:sz w:val="18"/>
                <w:szCs w:val="18"/>
                <w:lang w:val="nl-NL"/>
              </w:rPr>
            </w:pPr>
            <w:r w:rsidRPr="00F249DC">
              <w:rPr>
                <w:color w:val="000000"/>
                <w:sz w:val="18"/>
                <w:szCs w:val="18"/>
                <w:lang w:val="nl-NL"/>
              </w:rPr>
              <w:t>1</w:t>
            </w:r>
            <w:r w:rsidRPr="00F249DC">
              <w:rPr>
                <w:color w:val="000000"/>
                <w:sz w:val="16"/>
                <w:szCs w:val="16"/>
                <w:lang w:val="nl-NL"/>
              </w:rPr>
              <w:t>.  CH</w:t>
            </w:r>
            <w:r w:rsidRPr="00F249DC">
              <w:rPr>
                <w:color w:val="000000"/>
                <w:sz w:val="16"/>
                <w:szCs w:val="16"/>
                <w:vertAlign w:val="subscript"/>
                <w:lang w:val="nl-NL"/>
              </w:rPr>
              <w:t>3</w:t>
            </w:r>
            <w:r w:rsidRPr="00F249DC">
              <w:rPr>
                <w:color w:val="000000"/>
                <w:sz w:val="16"/>
                <w:szCs w:val="16"/>
                <w:lang w:val="nl-NL"/>
              </w:rPr>
              <w:t>Cl is methyl chloride; C</w:t>
            </w:r>
            <w:r w:rsidRPr="00F249DC">
              <w:rPr>
                <w:color w:val="000000"/>
                <w:sz w:val="16"/>
                <w:szCs w:val="16"/>
                <w:vertAlign w:val="subscript"/>
                <w:lang w:val="nl-NL"/>
              </w:rPr>
              <w:t>6</w:t>
            </w:r>
            <w:r w:rsidRPr="00F249DC">
              <w:rPr>
                <w:color w:val="000000"/>
                <w:sz w:val="16"/>
                <w:szCs w:val="16"/>
                <w:lang w:val="nl-NL"/>
              </w:rPr>
              <w:t>H</w:t>
            </w:r>
            <w:r w:rsidRPr="00F249DC">
              <w:rPr>
                <w:color w:val="000000"/>
                <w:sz w:val="16"/>
                <w:szCs w:val="16"/>
                <w:vertAlign w:val="subscript"/>
                <w:lang w:val="nl-NL"/>
              </w:rPr>
              <w:t>6</w:t>
            </w:r>
            <w:r w:rsidRPr="00F249DC">
              <w:rPr>
                <w:color w:val="000000"/>
                <w:sz w:val="16"/>
                <w:szCs w:val="16"/>
                <w:lang w:val="nl-NL"/>
              </w:rPr>
              <w:t xml:space="preserve"> is benzene; CH</w:t>
            </w:r>
            <w:r w:rsidRPr="00F249DC">
              <w:rPr>
                <w:color w:val="000000"/>
                <w:sz w:val="16"/>
                <w:szCs w:val="16"/>
                <w:vertAlign w:val="subscript"/>
                <w:lang w:val="nl-NL"/>
              </w:rPr>
              <w:t>2</w:t>
            </w:r>
            <w:r w:rsidRPr="00F249DC">
              <w:rPr>
                <w:color w:val="000000"/>
                <w:sz w:val="16"/>
                <w:szCs w:val="16"/>
                <w:lang w:val="nl-NL"/>
              </w:rPr>
              <w:t>O is formaldehyde.</w:t>
            </w:r>
          </w:p>
        </w:tc>
      </w:tr>
    </w:tbl>
    <w:p w:rsidR="00911DE9" w:rsidRDefault="00911DE9" w:rsidP="0064614B">
      <w:pPr>
        <w:spacing w:before="120" w:after="120"/>
        <w:rPr>
          <w:sz w:val="22"/>
          <w:szCs w:val="22"/>
        </w:rPr>
      </w:pPr>
      <w:r>
        <w:rPr>
          <w:sz w:val="22"/>
          <w:szCs w:val="22"/>
        </w:rPr>
        <w:lastRenderedPageBreak/>
        <w:t>The applicant estimated the PTE of all HAP (aggregate) at 24.7 TPY.  Because the PTE of certain individual HAP (</w:t>
      </w:r>
      <w:r w:rsidR="0064614B">
        <w:rPr>
          <w:sz w:val="22"/>
          <w:szCs w:val="22"/>
        </w:rPr>
        <w:t>hydrogen chloride (HCl)</w:t>
      </w:r>
      <w:r>
        <w:rPr>
          <w:sz w:val="22"/>
          <w:szCs w:val="22"/>
        </w:rPr>
        <w:t xml:space="preserve"> and </w:t>
      </w:r>
      <w:r w:rsidR="0064614B">
        <w:rPr>
          <w:sz w:val="22"/>
          <w:szCs w:val="22"/>
        </w:rPr>
        <w:t>hydrogen fluoride (</w:t>
      </w:r>
      <w:r>
        <w:rPr>
          <w:sz w:val="22"/>
          <w:szCs w:val="22"/>
        </w:rPr>
        <w:t>HF)</w:t>
      </w:r>
      <w:r w:rsidR="0064614B">
        <w:rPr>
          <w:sz w:val="22"/>
          <w:szCs w:val="22"/>
        </w:rPr>
        <w:t>)</w:t>
      </w:r>
      <w:r>
        <w:rPr>
          <w:sz w:val="22"/>
          <w:szCs w:val="22"/>
        </w:rPr>
        <w:t xml:space="preserve"> </w:t>
      </w:r>
      <w:r w:rsidR="0064614B">
        <w:rPr>
          <w:sz w:val="22"/>
          <w:szCs w:val="22"/>
        </w:rPr>
        <w:t>are</w:t>
      </w:r>
      <w:r>
        <w:rPr>
          <w:sz w:val="22"/>
          <w:szCs w:val="22"/>
        </w:rPr>
        <w:t xml:space="preserve"> close to 10 TPY and the aggregate PTE of all HAP </w:t>
      </w:r>
      <w:r w:rsidR="0064614B">
        <w:rPr>
          <w:sz w:val="22"/>
          <w:szCs w:val="22"/>
        </w:rPr>
        <w:t>is</w:t>
      </w:r>
      <w:r>
        <w:rPr>
          <w:sz w:val="22"/>
          <w:szCs w:val="22"/>
        </w:rPr>
        <w:t xml:space="preserve"> close to 25 TPY, it </w:t>
      </w:r>
      <w:r w:rsidR="0064614B">
        <w:rPr>
          <w:sz w:val="22"/>
          <w:szCs w:val="22"/>
        </w:rPr>
        <w:t>was</w:t>
      </w:r>
      <w:r>
        <w:rPr>
          <w:sz w:val="22"/>
          <w:szCs w:val="22"/>
        </w:rPr>
        <w:t xml:space="preserve"> necessary to establish emission limitations</w:t>
      </w:r>
      <w:r w:rsidR="0064614B">
        <w:rPr>
          <w:sz w:val="22"/>
          <w:szCs w:val="22"/>
        </w:rPr>
        <w:t xml:space="preserve"> for HCl and HF</w:t>
      </w:r>
      <w:r w:rsidR="00772223">
        <w:rPr>
          <w:sz w:val="22"/>
          <w:szCs w:val="22"/>
        </w:rPr>
        <w:t xml:space="preserve"> in the original air construction permit</w:t>
      </w:r>
      <w:r w:rsidR="0064614B">
        <w:rPr>
          <w:sz w:val="22"/>
          <w:szCs w:val="22"/>
        </w:rPr>
        <w:t xml:space="preserve">.  Compliance with the HCl and HF </w:t>
      </w:r>
      <w:r w:rsidR="00210971">
        <w:rPr>
          <w:sz w:val="22"/>
          <w:szCs w:val="22"/>
        </w:rPr>
        <w:t xml:space="preserve">emission </w:t>
      </w:r>
      <w:r w:rsidR="0064614B">
        <w:rPr>
          <w:sz w:val="22"/>
          <w:szCs w:val="22"/>
        </w:rPr>
        <w:t xml:space="preserve">limits </w:t>
      </w:r>
      <w:r w:rsidR="00772223">
        <w:rPr>
          <w:sz w:val="22"/>
          <w:szCs w:val="22"/>
        </w:rPr>
        <w:t xml:space="preserve">in the original air construction permit </w:t>
      </w:r>
      <w:r w:rsidR="0064614B">
        <w:rPr>
          <w:sz w:val="22"/>
          <w:szCs w:val="22"/>
        </w:rPr>
        <w:t xml:space="preserve">is by continuous emission monitoring systems (CEMS) to show that the individual emissions of HCl and HF </w:t>
      </w:r>
      <w:r w:rsidR="00CF6FB4">
        <w:rPr>
          <w:sz w:val="22"/>
          <w:szCs w:val="22"/>
        </w:rPr>
        <w:t>are</w:t>
      </w:r>
      <w:r w:rsidR="0064614B">
        <w:rPr>
          <w:sz w:val="22"/>
          <w:szCs w:val="22"/>
        </w:rPr>
        <w:t xml:space="preserve"> below the 10 TPY major source threshold.</w:t>
      </w:r>
    </w:p>
    <w:p w:rsidR="00911DE9" w:rsidRPr="005D5982" w:rsidRDefault="0064614B" w:rsidP="0064614B">
      <w:pPr>
        <w:tabs>
          <w:tab w:val="num" w:pos="360"/>
        </w:tabs>
        <w:spacing w:after="120"/>
        <w:rPr>
          <w:sz w:val="22"/>
          <w:szCs w:val="22"/>
        </w:rPr>
      </w:pPr>
      <w:r>
        <w:rPr>
          <w:sz w:val="22"/>
          <w:szCs w:val="22"/>
        </w:rPr>
        <w:t xml:space="preserve">In addition, limits were set for other HAP.  </w:t>
      </w:r>
      <w:r w:rsidR="00911DE9">
        <w:rPr>
          <w:sz w:val="22"/>
          <w:szCs w:val="22"/>
        </w:rPr>
        <w:t>The estimate</w:t>
      </w:r>
      <w:r>
        <w:rPr>
          <w:sz w:val="22"/>
          <w:szCs w:val="22"/>
        </w:rPr>
        <w:t>d</w:t>
      </w:r>
      <w:r w:rsidR="00911DE9">
        <w:rPr>
          <w:sz w:val="22"/>
          <w:szCs w:val="22"/>
        </w:rPr>
        <w:t xml:space="preserve"> emissions of</w:t>
      </w:r>
      <w:r>
        <w:rPr>
          <w:sz w:val="22"/>
          <w:szCs w:val="22"/>
        </w:rPr>
        <w:t xml:space="preserve"> metal HAP was </w:t>
      </w:r>
      <w:r w:rsidR="00911DE9">
        <w:rPr>
          <w:sz w:val="22"/>
          <w:szCs w:val="22"/>
        </w:rPr>
        <w:t>3.59 TPY of which 2.2 TPY consists of phosphorus (P).  The other metals that contribute</w:t>
      </w:r>
      <w:r>
        <w:rPr>
          <w:sz w:val="22"/>
          <w:szCs w:val="22"/>
        </w:rPr>
        <w:t>d</w:t>
      </w:r>
      <w:r w:rsidR="00911DE9">
        <w:rPr>
          <w:sz w:val="22"/>
          <w:szCs w:val="22"/>
        </w:rPr>
        <w:t xml:space="preserve"> to the value are</w:t>
      </w:r>
      <w:r w:rsidR="00911DE9" w:rsidRPr="00C13146">
        <w:rPr>
          <w:sz w:val="22"/>
          <w:szCs w:val="22"/>
        </w:rPr>
        <w:t xml:space="preserve"> </w:t>
      </w:r>
      <w:r w:rsidR="00911DE9">
        <w:rPr>
          <w:sz w:val="22"/>
          <w:szCs w:val="22"/>
        </w:rPr>
        <w:t xml:space="preserve">chromium (Cr), manganese (Mn) and lead (Pb). </w:t>
      </w:r>
      <w:r w:rsidR="002234C9">
        <w:rPr>
          <w:sz w:val="22"/>
          <w:szCs w:val="22"/>
        </w:rPr>
        <w:t xml:space="preserve"> </w:t>
      </w:r>
      <w:r>
        <w:rPr>
          <w:sz w:val="22"/>
          <w:szCs w:val="22"/>
        </w:rPr>
        <w:t>Also</w:t>
      </w:r>
      <w:r w:rsidR="00911DE9">
        <w:rPr>
          <w:sz w:val="22"/>
          <w:szCs w:val="22"/>
        </w:rPr>
        <w:t xml:space="preserve">, </w:t>
      </w:r>
      <w:r>
        <w:rPr>
          <w:sz w:val="22"/>
          <w:szCs w:val="22"/>
        </w:rPr>
        <w:t xml:space="preserve">the </w:t>
      </w:r>
      <w:r w:rsidR="00911DE9">
        <w:rPr>
          <w:sz w:val="22"/>
          <w:szCs w:val="22"/>
        </w:rPr>
        <w:t>t</w:t>
      </w:r>
      <w:r w:rsidR="00911DE9" w:rsidRPr="00B22D43">
        <w:rPr>
          <w:sz w:val="22"/>
          <w:szCs w:val="22"/>
        </w:rPr>
        <w:t xml:space="preserve">otal organic HAP </w:t>
      </w:r>
      <w:r>
        <w:rPr>
          <w:sz w:val="22"/>
          <w:szCs w:val="22"/>
        </w:rPr>
        <w:t>is</w:t>
      </w:r>
      <w:r w:rsidR="00911DE9" w:rsidRPr="00B22D43">
        <w:rPr>
          <w:sz w:val="22"/>
          <w:szCs w:val="22"/>
        </w:rPr>
        <w:t xml:space="preserve"> equal </w:t>
      </w:r>
      <w:r>
        <w:rPr>
          <w:sz w:val="22"/>
          <w:szCs w:val="22"/>
        </w:rPr>
        <w:t xml:space="preserve">to </w:t>
      </w:r>
      <w:r w:rsidR="00911DE9" w:rsidRPr="00B22D43">
        <w:rPr>
          <w:sz w:val="22"/>
          <w:szCs w:val="22"/>
        </w:rPr>
        <w:t xml:space="preserve">approximately </w:t>
      </w:r>
      <w:r w:rsidR="00911DE9">
        <w:rPr>
          <w:sz w:val="22"/>
          <w:szCs w:val="22"/>
        </w:rPr>
        <w:t xml:space="preserve">1.64 </w:t>
      </w:r>
      <w:r w:rsidR="00911DE9" w:rsidRPr="00B22D43">
        <w:rPr>
          <w:sz w:val="22"/>
          <w:szCs w:val="22"/>
        </w:rPr>
        <w:t xml:space="preserve">TPY.  </w:t>
      </w:r>
      <w:fldSimple w:instr=" REF _Ref367958627 \h  \* MERGEFORMAT ">
        <w:r w:rsidR="00AF47D7" w:rsidRPr="00AF47D7">
          <w:rPr>
            <w:color w:val="000000" w:themeColor="text1"/>
            <w:sz w:val="22"/>
            <w:szCs w:val="22"/>
          </w:rPr>
          <w:t xml:space="preserve">Table </w:t>
        </w:r>
        <w:r w:rsidR="00AF47D7" w:rsidRPr="00AF47D7">
          <w:rPr>
            <w:noProof/>
            <w:color w:val="000000" w:themeColor="text1"/>
            <w:sz w:val="22"/>
            <w:szCs w:val="22"/>
          </w:rPr>
          <w:t>4</w:t>
        </w:r>
      </w:fldSimple>
      <w:r>
        <w:rPr>
          <w:sz w:val="22"/>
          <w:szCs w:val="22"/>
        </w:rPr>
        <w:t xml:space="preserve"> </w:t>
      </w:r>
      <w:r w:rsidR="00911DE9">
        <w:rPr>
          <w:sz w:val="22"/>
          <w:szCs w:val="22"/>
        </w:rPr>
        <w:t xml:space="preserve">list the PTE of the key organic HAP for the GREC BFB boiler.  </w:t>
      </w:r>
    </w:p>
    <w:p w:rsidR="00911DE9" w:rsidRPr="0064614B" w:rsidRDefault="0064614B" w:rsidP="0064614B">
      <w:pPr>
        <w:pStyle w:val="Caption"/>
        <w:spacing w:after="120"/>
        <w:jc w:val="center"/>
        <w:rPr>
          <w:rFonts w:ascii="Times New Roman Bold" w:hAnsi="Times New Roman Bold"/>
          <w:caps/>
          <w:color w:val="000000" w:themeColor="text1"/>
          <w:sz w:val="22"/>
          <w:szCs w:val="22"/>
        </w:rPr>
      </w:pPr>
      <w:bookmarkStart w:id="11" w:name="_Ref367958627"/>
      <w:r w:rsidRPr="0064614B">
        <w:rPr>
          <w:rFonts w:ascii="Times New Roman Bold" w:hAnsi="Times New Roman Bold"/>
          <w:caps/>
          <w:color w:val="000000" w:themeColor="text1"/>
          <w:sz w:val="22"/>
          <w:szCs w:val="22"/>
        </w:rPr>
        <w:t xml:space="preserve">Table </w:t>
      </w:r>
      <w:r w:rsidR="00BE3454" w:rsidRPr="0064614B">
        <w:rPr>
          <w:rFonts w:ascii="Times New Roman Bold" w:hAnsi="Times New Roman Bold"/>
          <w:caps/>
          <w:color w:val="000000" w:themeColor="text1"/>
          <w:sz w:val="22"/>
          <w:szCs w:val="22"/>
        </w:rPr>
        <w:fldChar w:fldCharType="begin"/>
      </w:r>
      <w:r w:rsidRPr="0064614B">
        <w:rPr>
          <w:rFonts w:ascii="Times New Roman Bold" w:hAnsi="Times New Roman Bold"/>
          <w:caps/>
          <w:color w:val="000000" w:themeColor="text1"/>
          <w:sz w:val="22"/>
          <w:szCs w:val="22"/>
        </w:rPr>
        <w:instrText xml:space="preserve"> SEQ Table \* ARABIC </w:instrText>
      </w:r>
      <w:r w:rsidR="00BE3454" w:rsidRPr="0064614B">
        <w:rPr>
          <w:rFonts w:ascii="Times New Roman Bold" w:hAnsi="Times New Roman Bold"/>
          <w:caps/>
          <w:color w:val="000000" w:themeColor="text1"/>
          <w:sz w:val="22"/>
          <w:szCs w:val="22"/>
        </w:rPr>
        <w:fldChar w:fldCharType="separate"/>
      </w:r>
      <w:r w:rsidR="00AF47D7">
        <w:rPr>
          <w:rFonts w:ascii="Times New Roman Bold" w:hAnsi="Times New Roman Bold"/>
          <w:caps/>
          <w:noProof/>
          <w:color w:val="000000" w:themeColor="text1"/>
          <w:sz w:val="22"/>
          <w:szCs w:val="22"/>
        </w:rPr>
        <w:t>4</w:t>
      </w:r>
      <w:r w:rsidR="00BE3454" w:rsidRPr="0064614B">
        <w:rPr>
          <w:rFonts w:ascii="Times New Roman Bold" w:hAnsi="Times New Roman Bold"/>
          <w:caps/>
          <w:color w:val="000000" w:themeColor="text1"/>
          <w:sz w:val="22"/>
          <w:szCs w:val="22"/>
        </w:rPr>
        <w:fldChar w:fldCharType="end"/>
      </w:r>
      <w:bookmarkEnd w:id="11"/>
      <w:r w:rsidR="00911DE9" w:rsidRPr="0064614B">
        <w:rPr>
          <w:rFonts w:ascii="Times New Roman Bold" w:hAnsi="Times New Roman Bold"/>
          <w:caps/>
          <w:color w:val="000000" w:themeColor="text1"/>
          <w:sz w:val="22"/>
          <w:szCs w:val="22"/>
        </w:rPr>
        <w:t>–Estimated PTE of Organic HAP from the BFB Boiler in TPY</w:t>
      </w:r>
    </w:p>
    <w:tbl>
      <w:tblPr>
        <w:tblW w:w="4803"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078"/>
        <w:gridCol w:w="811"/>
        <w:gridCol w:w="629"/>
        <w:gridCol w:w="719"/>
        <w:gridCol w:w="719"/>
        <w:gridCol w:w="900"/>
        <w:gridCol w:w="810"/>
        <w:gridCol w:w="992"/>
        <w:gridCol w:w="629"/>
        <w:gridCol w:w="1174"/>
        <w:gridCol w:w="738"/>
      </w:tblGrid>
      <w:tr w:rsidR="007B27B9" w:rsidRPr="00B22D43" w:rsidTr="007B27B9">
        <w:trPr>
          <w:trHeight w:val="285"/>
        </w:trPr>
        <w:tc>
          <w:tcPr>
            <w:tcW w:w="586" w:type="pct"/>
            <w:shd w:val="clear" w:color="auto" w:fill="C6D9F1" w:themeFill="text2" w:themeFillTint="33"/>
            <w:noWrap/>
            <w:vAlign w:val="center"/>
          </w:tcPr>
          <w:p w:rsidR="00911DE9" w:rsidRPr="007B27B9" w:rsidRDefault="00911DE9" w:rsidP="0064614B">
            <w:pPr>
              <w:spacing w:before="60" w:after="60"/>
              <w:rPr>
                <w:b/>
                <w:bCs/>
                <w:sz w:val="18"/>
                <w:szCs w:val="18"/>
              </w:rPr>
            </w:pPr>
            <w:r w:rsidRPr="007B27B9">
              <w:rPr>
                <w:b/>
                <w:bCs/>
                <w:sz w:val="18"/>
                <w:szCs w:val="18"/>
              </w:rPr>
              <w:t xml:space="preserve">Pollutant </w:t>
            </w:r>
            <w:r w:rsidRPr="007B27B9">
              <w:rPr>
                <w:b/>
                <w:bCs/>
                <w:sz w:val="18"/>
                <w:szCs w:val="18"/>
                <w:vertAlign w:val="superscript"/>
              </w:rPr>
              <w:t>1</w:t>
            </w:r>
          </w:p>
        </w:tc>
        <w:tc>
          <w:tcPr>
            <w:tcW w:w="441" w:type="pct"/>
            <w:shd w:val="clear" w:color="auto" w:fill="C6D9F1" w:themeFill="text2" w:themeFillTint="33"/>
            <w:noWrap/>
            <w:vAlign w:val="center"/>
          </w:tcPr>
          <w:p w:rsidR="00911DE9" w:rsidRPr="007B27B9" w:rsidRDefault="00911DE9" w:rsidP="0064614B">
            <w:pPr>
              <w:spacing w:before="60" w:after="60"/>
              <w:jc w:val="center"/>
              <w:rPr>
                <w:b/>
                <w:bCs/>
                <w:sz w:val="18"/>
                <w:szCs w:val="18"/>
                <w:vertAlign w:val="superscript"/>
              </w:rPr>
            </w:pPr>
            <w:r w:rsidRPr="007B27B9">
              <w:rPr>
                <w:b/>
                <w:bCs/>
                <w:sz w:val="18"/>
                <w:szCs w:val="18"/>
              </w:rPr>
              <w:t>C</w:t>
            </w:r>
            <w:r w:rsidRPr="007B27B9">
              <w:rPr>
                <w:b/>
                <w:bCs/>
                <w:sz w:val="18"/>
                <w:szCs w:val="18"/>
                <w:vertAlign w:val="subscript"/>
              </w:rPr>
              <w:t>3</w:t>
            </w:r>
            <w:r w:rsidRPr="007B27B9">
              <w:rPr>
                <w:b/>
                <w:bCs/>
                <w:sz w:val="18"/>
                <w:szCs w:val="18"/>
              </w:rPr>
              <w:t>H</w:t>
            </w:r>
            <w:r w:rsidRPr="007B27B9">
              <w:rPr>
                <w:b/>
                <w:bCs/>
                <w:sz w:val="18"/>
                <w:szCs w:val="18"/>
                <w:vertAlign w:val="subscript"/>
              </w:rPr>
              <w:t>4</w:t>
            </w:r>
            <w:r w:rsidRPr="007B27B9">
              <w:rPr>
                <w:b/>
                <w:bCs/>
                <w:sz w:val="18"/>
                <w:szCs w:val="18"/>
              </w:rPr>
              <w:t>O</w:t>
            </w:r>
          </w:p>
        </w:tc>
        <w:tc>
          <w:tcPr>
            <w:tcW w:w="342" w:type="pct"/>
            <w:shd w:val="clear" w:color="auto" w:fill="C6D9F1" w:themeFill="text2" w:themeFillTint="33"/>
            <w:noWrap/>
            <w:vAlign w:val="center"/>
          </w:tcPr>
          <w:p w:rsidR="00911DE9" w:rsidRPr="007B27B9" w:rsidRDefault="00911DE9" w:rsidP="0064614B">
            <w:pPr>
              <w:spacing w:before="60" w:after="60"/>
              <w:jc w:val="center"/>
              <w:rPr>
                <w:b/>
                <w:bCs/>
                <w:sz w:val="18"/>
                <w:szCs w:val="18"/>
                <w:vertAlign w:val="superscript"/>
              </w:rPr>
            </w:pPr>
            <w:r w:rsidRPr="007B27B9">
              <w:rPr>
                <w:b/>
                <w:bCs/>
                <w:sz w:val="18"/>
                <w:szCs w:val="18"/>
              </w:rPr>
              <w:t>C</w:t>
            </w:r>
            <w:r w:rsidRPr="007B27B9">
              <w:rPr>
                <w:b/>
                <w:bCs/>
                <w:sz w:val="18"/>
                <w:szCs w:val="18"/>
                <w:vertAlign w:val="subscript"/>
              </w:rPr>
              <w:t>6</w:t>
            </w:r>
            <w:r w:rsidRPr="007B27B9">
              <w:rPr>
                <w:b/>
                <w:bCs/>
                <w:sz w:val="18"/>
                <w:szCs w:val="18"/>
              </w:rPr>
              <w:t>H</w:t>
            </w:r>
            <w:r w:rsidRPr="007B27B9">
              <w:rPr>
                <w:b/>
                <w:bCs/>
                <w:sz w:val="18"/>
                <w:szCs w:val="18"/>
                <w:vertAlign w:val="subscript"/>
              </w:rPr>
              <w:t>6</w:t>
            </w:r>
          </w:p>
        </w:tc>
        <w:tc>
          <w:tcPr>
            <w:tcW w:w="391" w:type="pct"/>
            <w:shd w:val="clear" w:color="auto" w:fill="C6D9F1" w:themeFill="text2" w:themeFillTint="33"/>
            <w:noWrap/>
            <w:vAlign w:val="center"/>
          </w:tcPr>
          <w:p w:rsidR="00911DE9" w:rsidRPr="007B27B9" w:rsidRDefault="00911DE9" w:rsidP="0064614B">
            <w:pPr>
              <w:spacing w:before="60" w:after="60"/>
              <w:jc w:val="center"/>
              <w:rPr>
                <w:b/>
                <w:bCs/>
                <w:sz w:val="18"/>
                <w:szCs w:val="18"/>
                <w:vertAlign w:val="superscript"/>
              </w:rPr>
            </w:pPr>
            <w:r w:rsidRPr="007B27B9">
              <w:rPr>
                <w:b/>
                <w:bCs/>
                <w:sz w:val="18"/>
                <w:szCs w:val="18"/>
              </w:rPr>
              <w:t>CH</w:t>
            </w:r>
            <w:r w:rsidRPr="007B27B9">
              <w:rPr>
                <w:b/>
                <w:bCs/>
                <w:sz w:val="18"/>
                <w:szCs w:val="18"/>
                <w:vertAlign w:val="subscript"/>
              </w:rPr>
              <w:t>2</w:t>
            </w:r>
            <w:r w:rsidRPr="007B27B9">
              <w:rPr>
                <w:b/>
                <w:bCs/>
                <w:sz w:val="18"/>
                <w:szCs w:val="18"/>
              </w:rPr>
              <w:t>O</w:t>
            </w:r>
          </w:p>
        </w:tc>
        <w:tc>
          <w:tcPr>
            <w:tcW w:w="391" w:type="pct"/>
            <w:shd w:val="clear" w:color="auto" w:fill="C6D9F1" w:themeFill="text2" w:themeFillTint="33"/>
            <w:noWrap/>
            <w:vAlign w:val="center"/>
          </w:tcPr>
          <w:p w:rsidR="00911DE9" w:rsidRPr="007B27B9" w:rsidRDefault="00911DE9" w:rsidP="0064614B">
            <w:pPr>
              <w:spacing w:before="60" w:after="60"/>
              <w:jc w:val="center"/>
              <w:rPr>
                <w:b/>
                <w:bCs/>
                <w:sz w:val="18"/>
                <w:szCs w:val="18"/>
                <w:vertAlign w:val="superscript"/>
              </w:rPr>
            </w:pPr>
            <w:r w:rsidRPr="007B27B9">
              <w:rPr>
                <w:b/>
                <w:bCs/>
                <w:sz w:val="18"/>
                <w:szCs w:val="18"/>
              </w:rPr>
              <w:t>C</w:t>
            </w:r>
            <w:r w:rsidRPr="007B27B9">
              <w:rPr>
                <w:b/>
                <w:bCs/>
                <w:sz w:val="18"/>
                <w:szCs w:val="18"/>
                <w:vertAlign w:val="subscript"/>
              </w:rPr>
              <w:t>8</w:t>
            </w:r>
            <w:r w:rsidRPr="007B27B9">
              <w:rPr>
                <w:b/>
                <w:bCs/>
                <w:sz w:val="18"/>
                <w:szCs w:val="18"/>
              </w:rPr>
              <w:t>H</w:t>
            </w:r>
            <w:r w:rsidRPr="007B27B9">
              <w:rPr>
                <w:b/>
                <w:bCs/>
                <w:sz w:val="18"/>
                <w:szCs w:val="18"/>
                <w:vertAlign w:val="subscript"/>
              </w:rPr>
              <w:t>10</w:t>
            </w:r>
          </w:p>
        </w:tc>
        <w:tc>
          <w:tcPr>
            <w:tcW w:w="489" w:type="pct"/>
            <w:shd w:val="clear" w:color="auto" w:fill="C6D9F1" w:themeFill="text2" w:themeFillTint="33"/>
            <w:noWrap/>
            <w:vAlign w:val="center"/>
          </w:tcPr>
          <w:p w:rsidR="00911DE9" w:rsidRPr="007B27B9" w:rsidRDefault="00911DE9" w:rsidP="0064614B">
            <w:pPr>
              <w:spacing w:before="60" w:after="60"/>
              <w:jc w:val="center"/>
              <w:rPr>
                <w:b/>
                <w:bCs/>
                <w:sz w:val="18"/>
                <w:szCs w:val="18"/>
              </w:rPr>
            </w:pPr>
            <w:r w:rsidRPr="007B27B9">
              <w:rPr>
                <w:b/>
                <w:bCs/>
                <w:sz w:val="18"/>
                <w:szCs w:val="18"/>
              </w:rPr>
              <w:t>C</w:t>
            </w:r>
            <w:r w:rsidRPr="007B27B9">
              <w:rPr>
                <w:b/>
                <w:bCs/>
                <w:sz w:val="18"/>
                <w:szCs w:val="18"/>
                <w:vertAlign w:val="subscript"/>
              </w:rPr>
              <w:t>2</w:t>
            </w:r>
            <w:r w:rsidRPr="007B27B9">
              <w:rPr>
                <w:b/>
                <w:bCs/>
                <w:sz w:val="18"/>
                <w:szCs w:val="18"/>
              </w:rPr>
              <w:t>H</w:t>
            </w:r>
            <w:r w:rsidRPr="007B27B9">
              <w:rPr>
                <w:b/>
                <w:bCs/>
                <w:sz w:val="18"/>
                <w:szCs w:val="18"/>
                <w:vertAlign w:val="subscript"/>
              </w:rPr>
              <w:t>4</w:t>
            </w:r>
            <w:r w:rsidRPr="007B27B9">
              <w:rPr>
                <w:b/>
                <w:bCs/>
                <w:sz w:val="18"/>
                <w:szCs w:val="18"/>
              </w:rPr>
              <w:t>O</w:t>
            </w:r>
          </w:p>
        </w:tc>
        <w:tc>
          <w:tcPr>
            <w:tcW w:w="440" w:type="pct"/>
            <w:shd w:val="clear" w:color="auto" w:fill="C6D9F1" w:themeFill="text2" w:themeFillTint="33"/>
            <w:noWrap/>
            <w:vAlign w:val="center"/>
          </w:tcPr>
          <w:p w:rsidR="00911DE9" w:rsidRPr="007B27B9" w:rsidRDefault="00911DE9" w:rsidP="0064614B">
            <w:pPr>
              <w:spacing w:before="60" w:after="60"/>
              <w:jc w:val="center"/>
              <w:rPr>
                <w:b/>
                <w:bCs/>
                <w:sz w:val="18"/>
                <w:szCs w:val="18"/>
                <w:vertAlign w:val="superscript"/>
              </w:rPr>
            </w:pPr>
            <w:r w:rsidRPr="007B27B9">
              <w:rPr>
                <w:b/>
                <w:bCs/>
                <w:sz w:val="18"/>
                <w:szCs w:val="18"/>
              </w:rPr>
              <w:t>CH</w:t>
            </w:r>
            <w:r w:rsidRPr="007B27B9">
              <w:rPr>
                <w:b/>
                <w:bCs/>
                <w:sz w:val="18"/>
                <w:szCs w:val="18"/>
                <w:vertAlign w:val="subscript"/>
              </w:rPr>
              <w:t>3</w:t>
            </w:r>
            <w:r w:rsidRPr="007B27B9">
              <w:rPr>
                <w:b/>
                <w:bCs/>
                <w:sz w:val="18"/>
                <w:szCs w:val="18"/>
              </w:rPr>
              <w:t>Cl</w:t>
            </w:r>
          </w:p>
        </w:tc>
        <w:tc>
          <w:tcPr>
            <w:tcW w:w="539" w:type="pct"/>
            <w:shd w:val="clear" w:color="auto" w:fill="C6D9F1" w:themeFill="text2" w:themeFillTint="33"/>
            <w:noWrap/>
            <w:vAlign w:val="center"/>
          </w:tcPr>
          <w:p w:rsidR="00911DE9" w:rsidRPr="007B27B9" w:rsidRDefault="00911DE9" w:rsidP="0064614B">
            <w:pPr>
              <w:spacing w:before="60" w:after="60"/>
              <w:jc w:val="center"/>
              <w:rPr>
                <w:b/>
                <w:bCs/>
                <w:sz w:val="18"/>
                <w:szCs w:val="18"/>
              </w:rPr>
            </w:pPr>
            <w:r w:rsidRPr="007B27B9">
              <w:rPr>
                <w:b/>
                <w:bCs/>
                <w:sz w:val="18"/>
                <w:szCs w:val="18"/>
              </w:rPr>
              <w:t>CH</w:t>
            </w:r>
            <w:r w:rsidRPr="007B27B9">
              <w:rPr>
                <w:b/>
                <w:bCs/>
                <w:sz w:val="18"/>
                <w:szCs w:val="18"/>
                <w:vertAlign w:val="subscript"/>
              </w:rPr>
              <w:t>3</w:t>
            </w:r>
            <w:r w:rsidRPr="007B27B9">
              <w:rPr>
                <w:b/>
                <w:bCs/>
                <w:sz w:val="18"/>
                <w:szCs w:val="18"/>
              </w:rPr>
              <w:t>CCl</w:t>
            </w:r>
            <w:r w:rsidRPr="007B27B9">
              <w:rPr>
                <w:b/>
                <w:bCs/>
                <w:sz w:val="18"/>
                <w:szCs w:val="18"/>
                <w:vertAlign w:val="subscript"/>
              </w:rPr>
              <w:t>3</w:t>
            </w:r>
          </w:p>
        </w:tc>
        <w:tc>
          <w:tcPr>
            <w:tcW w:w="342" w:type="pct"/>
            <w:shd w:val="clear" w:color="auto" w:fill="C6D9F1" w:themeFill="text2" w:themeFillTint="33"/>
            <w:vAlign w:val="center"/>
          </w:tcPr>
          <w:p w:rsidR="00911DE9" w:rsidRPr="007B27B9" w:rsidRDefault="00911DE9" w:rsidP="0064614B">
            <w:pPr>
              <w:spacing w:before="60" w:after="60"/>
              <w:jc w:val="center"/>
              <w:rPr>
                <w:b/>
                <w:bCs/>
                <w:sz w:val="18"/>
                <w:szCs w:val="18"/>
              </w:rPr>
            </w:pPr>
            <w:r w:rsidRPr="007B27B9">
              <w:rPr>
                <w:b/>
                <w:bCs/>
                <w:sz w:val="18"/>
                <w:szCs w:val="18"/>
              </w:rPr>
              <w:t>C</w:t>
            </w:r>
            <w:r w:rsidRPr="007B27B9">
              <w:rPr>
                <w:b/>
                <w:bCs/>
                <w:sz w:val="18"/>
                <w:szCs w:val="18"/>
                <w:vertAlign w:val="subscript"/>
              </w:rPr>
              <w:t>7</w:t>
            </w:r>
            <w:r w:rsidRPr="007B27B9">
              <w:rPr>
                <w:b/>
                <w:bCs/>
                <w:sz w:val="18"/>
                <w:szCs w:val="18"/>
              </w:rPr>
              <w:t>H</w:t>
            </w:r>
            <w:r w:rsidRPr="007B27B9">
              <w:rPr>
                <w:b/>
                <w:bCs/>
                <w:sz w:val="18"/>
                <w:szCs w:val="18"/>
                <w:vertAlign w:val="subscript"/>
              </w:rPr>
              <w:t>8</w:t>
            </w:r>
          </w:p>
        </w:tc>
        <w:tc>
          <w:tcPr>
            <w:tcW w:w="638" w:type="pct"/>
            <w:shd w:val="clear" w:color="auto" w:fill="C6D9F1" w:themeFill="text2" w:themeFillTint="33"/>
            <w:vAlign w:val="center"/>
          </w:tcPr>
          <w:p w:rsidR="00911DE9" w:rsidRPr="007B27B9" w:rsidRDefault="00911DE9" w:rsidP="0064614B">
            <w:pPr>
              <w:spacing w:before="60" w:after="60"/>
              <w:jc w:val="center"/>
              <w:rPr>
                <w:b/>
                <w:bCs/>
                <w:sz w:val="18"/>
                <w:szCs w:val="18"/>
                <w:vertAlign w:val="superscript"/>
              </w:rPr>
            </w:pPr>
            <w:r w:rsidRPr="007B27B9">
              <w:rPr>
                <w:b/>
                <w:bCs/>
                <w:sz w:val="18"/>
                <w:szCs w:val="18"/>
              </w:rPr>
              <w:t>PAH/POM</w:t>
            </w:r>
          </w:p>
        </w:tc>
        <w:tc>
          <w:tcPr>
            <w:tcW w:w="402" w:type="pct"/>
            <w:shd w:val="clear" w:color="auto" w:fill="C6D9F1" w:themeFill="text2" w:themeFillTint="33"/>
            <w:noWrap/>
            <w:vAlign w:val="center"/>
          </w:tcPr>
          <w:p w:rsidR="00911DE9" w:rsidRPr="007B27B9" w:rsidRDefault="00911DE9" w:rsidP="0064614B">
            <w:pPr>
              <w:spacing w:before="60" w:after="60"/>
              <w:jc w:val="center"/>
              <w:rPr>
                <w:b/>
                <w:bCs/>
                <w:sz w:val="18"/>
                <w:szCs w:val="18"/>
              </w:rPr>
            </w:pPr>
            <w:r w:rsidRPr="007B27B9">
              <w:rPr>
                <w:b/>
                <w:bCs/>
                <w:sz w:val="18"/>
                <w:szCs w:val="18"/>
              </w:rPr>
              <w:t>Total</w:t>
            </w:r>
          </w:p>
        </w:tc>
      </w:tr>
      <w:tr w:rsidR="007B27B9" w:rsidRPr="00B22D43" w:rsidTr="007B27B9">
        <w:trPr>
          <w:trHeight w:val="302"/>
        </w:trPr>
        <w:tc>
          <w:tcPr>
            <w:tcW w:w="586" w:type="pct"/>
            <w:vAlign w:val="center"/>
          </w:tcPr>
          <w:p w:rsidR="00911DE9" w:rsidRPr="007B27B9" w:rsidRDefault="00911DE9" w:rsidP="0064614B">
            <w:pPr>
              <w:spacing w:before="60" w:after="60"/>
              <w:rPr>
                <w:b/>
                <w:color w:val="000000"/>
                <w:sz w:val="18"/>
                <w:szCs w:val="18"/>
                <w:vertAlign w:val="superscript"/>
              </w:rPr>
            </w:pPr>
            <w:r w:rsidRPr="007B27B9">
              <w:rPr>
                <w:b/>
                <w:color w:val="000000"/>
                <w:sz w:val="18"/>
                <w:szCs w:val="18"/>
              </w:rPr>
              <w:t>Emissions</w:t>
            </w:r>
          </w:p>
        </w:tc>
        <w:tc>
          <w:tcPr>
            <w:tcW w:w="441" w:type="pct"/>
            <w:noWrap/>
            <w:vAlign w:val="center"/>
          </w:tcPr>
          <w:p w:rsidR="00911DE9" w:rsidRPr="007B27B9" w:rsidRDefault="00911DE9" w:rsidP="0064614B">
            <w:pPr>
              <w:spacing w:before="60" w:after="60"/>
              <w:jc w:val="center"/>
              <w:rPr>
                <w:color w:val="000000"/>
                <w:sz w:val="18"/>
                <w:szCs w:val="18"/>
              </w:rPr>
            </w:pPr>
            <w:r w:rsidRPr="007B27B9">
              <w:rPr>
                <w:color w:val="000000"/>
                <w:sz w:val="18"/>
                <w:szCs w:val="18"/>
              </w:rPr>
              <w:t>0.025</w:t>
            </w:r>
          </w:p>
        </w:tc>
        <w:tc>
          <w:tcPr>
            <w:tcW w:w="342" w:type="pct"/>
            <w:noWrap/>
            <w:vAlign w:val="center"/>
          </w:tcPr>
          <w:p w:rsidR="00911DE9" w:rsidRPr="007B27B9" w:rsidRDefault="00911DE9" w:rsidP="0064614B">
            <w:pPr>
              <w:spacing w:before="60" w:after="60"/>
              <w:jc w:val="center"/>
              <w:rPr>
                <w:color w:val="000000"/>
                <w:sz w:val="18"/>
                <w:szCs w:val="18"/>
              </w:rPr>
            </w:pPr>
            <w:r w:rsidRPr="007B27B9">
              <w:rPr>
                <w:color w:val="000000"/>
                <w:sz w:val="18"/>
                <w:szCs w:val="18"/>
              </w:rPr>
              <w:t>0.37</w:t>
            </w:r>
          </w:p>
        </w:tc>
        <w:tc>
          <w:tcPr>
            <w:tcW w:w="391" w:type="pct"/>
            <w:noWrap/>
            <w:vAlign w:val="center"/>
          </w:tcPr>
          <w:p w:rsidR="00911DE9" w:rsidRPr="007B27B9" w:rsidRDefault="00911DE9" w:rsidP="0064614B">
            <w:pPr>
              <w:spacing w:before="60" w:after="60"/>
              <w:jc w:val="center"/>
              <w:rPr>
                <w:color w:val="000000"/>
                <w:sz w:val="18"/>
                <w:szCs w:val="18"/>
              </w:rPr>
            </w:pPr>
            <w:r w:rsidRPr="007B27B9">
              <w:rPr>
                <w:color w:val="000000"/>
                <w:sz w:val="18"/>
                <w:szCs w:val="18"/>
              </w:rPr>
              <w:t>0.8</w:t>
            </w:r>
          </w:p>
        </w:tc>
        <w:tc>
          <w:tcPr>
            <w:tcW w:w="391" w:type="pct"/>
            <w:noWrap/>
            <w:vAlign w:val="center"/>
          </w:tcPr>
          <w:p w:rsidR="00911DE9" w:rsidRPr="007B27B9" w:rsidRDefault="00911DE9" w:rsidP="0064614B">
            <w:pPr>
              <w:spacing w:before="60" w:after="60"/>
              <w:jc w:val="center"/>
              <w:rPr>
                <w:color w:val="000000"/>
                <w:sz w:val="18"/>
                <w:szCs w:val="18"/>
              </w:rPr>
            </w:pPr>
            <w:r w:rsidRPr="007B27B9">
              <w:rPr>
                <w:color w:val="000000"/>
                <w:sz w:val="18"/>
                <w:szCs w:val="18"/>
              </w:rPr>
              <w:t>0.092</w:t>
            </w:r>
          </w:p>
        </w:tc>
        <w:tc>
          <w:tcPr>
            <w:tcW w:w="489" w:type="pct"/>
            <w:noWrap/>
            <w:vAlign w:val="center"/>
          </w:tcPr>
          <w:p w:rsidR="00911DE9" w:rsidRPr="007B27B9" w:rsidRDefault="00911DE9" w:rsidP="0064614B">
            <w:pPr>
              <w:spacing w:before="60" w:after="60"/>
              <w:jc w:val="center"/>
              <w:rPr>
                <w:color w:val="000000"/>
                <w:sz w:val="18"/>
                <w:szCs w:val="18"/>
              </w:rPr>
            </w:pPr>
            <w:r w:rsidRPr="007B27B9">
              <w:rPr>
                <w:color w:val="000000"/>
                <w:sz w:val="18"/>
                <w:szCs w:val="18"/>
              </w:rPr>
              <w:t>0.043</w:t>
            </w:r>
          </w:p>
        </w:tc>
        <w:tc>
          <w:tcPr>
            <w:tcW w:w="440" w:type="pct"/>
            <w:noWrap/>
            <w:vAlign w:val="center"/>
          </w:tcPr>
          <w:p w:rsidR="00911DE9" w:rsidRPr="007B27B9" w:rsidRDefault="00911DE9" w:rsidP="0064614B">
            <w:pPr>
              <w:spacing w:before="60" w:after="60"/>
              <w:jc w:val="center"/>
              <w:rPr>
                <w:color w:val="000000"/>
                <w:sz w:val="18"/>
                <w:szCs w:val="18"/>
              </w:rPr>
            </w:pPr>
            <w:r w:rsidRPr="007B27B9">
              <w:rPr>
                <w:color w:val="000000"/>
                <w:sz w:val="18"/>
                <w:szCs w:val="18"/>
              </w:rPr>
              <w:t>0.15</w:t>
            </w:r>
          </w:p>
        </w:tc>
        <w:tc>
          <w:tcPr>
            <w:tcW w:w="539" w:type="pct"/>
            <w:noWrap/>
            <w:vAlign w:val="center"/>
          </w:tcPr>
          <w:p w:rsidR="00911DE9" w:rsidRPr="007B27B9" w:rsidRDefault="00911DE9" w:rsidP="0064614B">
            <w:pPr>
              <w:spacing w:before="60" w:after="60"/>
              <w:jc w:val="center"/>
              <w:rPr>
                <w:color w:val="000000"/>
                <w:sz w:val="18"/>
                <w:szCs w:val="18"/>
              </w:rPr>
            </w:pPr>
            <w:r w:rsidRPr="007B27B9">
              <w:rPr>
                <w:color w:val="000000"/>
                <w:sz w:val="18"/>
                <w:szCs w:val="18"/>
              </w:rPr>
              <w:t>0.039</w:t>
            </w:r>
          </w:p>
        </w:tc>
        <w:tc>
          <w:tcPr>
            <w:tcW w:w="342" w:type="pct"/>
            <w:vAlign w:val="center"/>
          </w:tcPr>
          <w:p w:rsidR="00911DE9" w:rsidRPr="007B27B9" w:rsidRDefault="00911DE9" w:rsidP="0064614B">
            <w:pPr>
              <w:spacing w:before="60" w:after="60"/>
              <w:jc w:val="center"/>
              <w:rPr>
                <w:color w:val="000000"/>
                <w:sz w:val="18"/>
                <w:szCs w:val="18"/>
              </w:rPr>
            </w:pPr>
            <w:r w:rsidRPr="007B27B9">
              <w:rPr>
                <w:color w:val="000000"/>
                <w:sz w:val="18"/>
                <w:szCs w:val="18"/>
              </w:rPr>
              <w:t>0.06</w:t>
            </w:r>
          </w:p>
        </w:tc>
        <w:tc>
          <w:tcPr>
            <w:tcW w:w="638" w:type="pct"/>
            <w:vAlign w:val="center"/>
          </w:tcPr>
          <w:p w:rsidR="00911DE9" w:rsidRPr="007B27B9" w:rsidRDefault="00911DE9" w:rsidP="0064614B">
            <w:pPr>
              <w:spacing w:before="60" w:after="60"/>
              <w:jc w:val="center"/>
              <w:rPr>
                <w:color w:val="000000"/>
                <w:sz w:val="18"/>
                <w:szCs w:val="18"/>
              </w:rPr>
            </w:pPr>
            <w:r w:rsidRPr="007B27B9">
              <w:rPr>
                <w:color w:val="000000"/>
                <w:sz w:val="18"/>
                <w:szCs w:val="18"/>
              </w:rPr>
              <w:t>0.06</w:t>
            </w:r>
          </w:p>
        </w:tc>
        <w:tc>
          <w:tcPr>
            <w:tcW w:w="402" w:type="pct"/>
            <w:noWrap/>
            <w:vAlign w:val="center"/>
          </w:tcPr>
          <w:p w:rsidR="00911DE9" w:rsidRPr="007B27B9" w:rsidRDefault="00911DE9" w:rsidP="0064614B">
            <w:pPr>
              <w:spacing w:before="60" w:after="60"/>
              <w:jc w:val="center"/>
              <w:rPr>
                <w:color w:val="000000"/>
                <w:sz w:val="18"/>
                <w:szCs w:val="18"/>
              </w:rPr>
            </w:pPr>
            <w:r w:rsidRPr="007B27B9">
              <w:rPr>
                <w:color w:val="000000"/>
                <w:sz w:val="18"/>
                <w:szCs w:val="18"/>
              </w:rPr>
              <w:t>1.64</w:t>
            </w:r>
          </w:p>
        </w:tc>
      </w:tr>
      <w:tr w:rsidR="00911DE9" w:rsidRPr="00B22D43" w:rsidTr="007B27B9">
        <w:trPr>
          <w:trHeight w:val="302"/>
        </w:trPr>
        <w:tc>
          <w:tcPr>
            <w:tcW w:w="5000" w:type="pct"/>
            <w:gridSpan w:val="11"/>
          </w:tcPr>
          <w:p w:rsidR="00911DE9" w:rsidRPr="00B22D43" w:rsidRDefault="00911DE9" w:rsidP="007B27B9">
            <w:pPr>
              <w:tabs>
                <w:tab w:val="left" w:pos="252"/>
              </w:tabs>
              <w:spacing w:before="60" w:after="60"/>
              <w:ind w:left="252" w:hanging="252"/>
              <w:rPr>
                <w:color w:val="000000"/>
                <w:sz w:val="17"/>
                <w:szCs w:val="17"/>
                <w:lang w:val="nl-NL"/>
              </w:rPr>
            </w:pPr>
            <w:r w:rsidRPr="00B22D43">
              <w:rPr>
                <w:color w:val="000000"/>
                <w:sz w:val="17"/>
                <w:szCs w:val="17"/>
                <w:lang w:val="nl-NL"/>
              </w:rPr>
              <w:t xml:space="preserve">1.  </w:t>
            </w:r>
            <w:r w:rsidRPr="00E36332">
              <w:rPr>
                <w:color w:val="000000"/>
                <w:sz w:val="16"/>
                <w:szCs w:val="16"/>
                <w:lang w:val="nl-NL"/>
              </w:rPr>
              <w:tab/>
              <w:t>C</w:t>
            </w:r>
            <w:r w:rsidRPr="00E36332">
              <w:rPr>
                <w:color w:val="000000"/>
                <w:sz w:val="16"/>
                <w:szCs w:val="16"/>
                <w:vertAlign w:val="subscript"/>
                <w:lang w:val="nl-NL"/>
              </w:rPr>
              <w:t>3</w:t>
            </w:r>
            <w:r w:rsidRPr="00E36332">
              <w:rPr>
                <w:color w:val="000000"/>
                <w:sz w:val="16"/>
                <w:szCs w:val="16"/>
                <w:lang w:val="nl-NL"/>
              </w:rPr>
              <w:t>H</w:t>
            </w:r>
            <w:r w:rsidRPr="00E36332">
              <w:rPr>
                <w:color w:val="000000"/>
                <w:sz w:val="16"/>
                <w:szCs w:val="16"/>
                <w:vertAlign w:val="subscript"/>
                <w:lang w:val="nl-NL"/>
              </w:rPr>
              <w:t>4</w:t>
            </w:r>
            <w:r w:rsidRPr="00E36332">
              <w:rPr>
                <w:color w:val="000000"/>
                <w:sz w:val="16"/>
                <w:szCs w:val="16"/>
                <w:lang w:val="nl-NL"/>
              </w:rPr>
              <w:t xml:space="preserve">O </w:t>
            </w:r>
            <w:r>
              <w:rPr>
                <w:color w:val="000000"/>
                <w:sz w:val="16"/>
                <w:szCs w:val="16"/>
                <w:lang w:val="nl-NL"/>
              </w:rPr>
              <w:t>(</w:t>
            </w:r>
            <w:r w:rsidRPr="00E36332">
              <w:rPr>
                <w:color w:val="000000"/>
                <w:sz w:val="16"/>
                <w:szCs w:val="16"/>
                <w:lang w:val="nl-NL"/>
              </w:rPr>
              <w:t>acrolein</w:t>
            </w:r>
            <w:r>
              <w:rPr>
                <w:color w:val="000000"/>
                <w:sz w:val="16"/>
                <w:szCs w:val="16"/>
                <w:lang w:val="nl-NL"/>
              </w:rPr>
              <w:t>)</w:t>
            </w:r>
            <w:r w:rsidRPr="00E36332">
              <w:rPr>
                <w:color w:val="000000"/>
                <w:sz w:val="16"/>
                <w:szCs w:val="16"/>
                <w:lang w:val="nl-NL"/>
              </w:rPr>
              <w:t>; C</w:t>
            </w:r>
            <w:r w:rsidRPr="00E36332">
              <w:rPr>
                <w:color w:val="000000"/>
                <w:sz w:val="16"/>
                <w:szCs w:val="16"/>
                <w:vertAlign w:val="subscript"/>
                <w:lang w:val="nl-NL"/>
              </w:rPr>
              <w:t>6</w:t>
            </w:r>
            <w:r w:rsidRPr="00E36332">
              <w:rPr>
                <w:color w:val="000000"/>
                <w:sz w:val="16"/>
                <w:szCs w:val="16"/>
                <w:lang w:val="nl-NL"/>
              </w:rPr>
              <w:t>H</w:t>
            </w:r>
            <w:r w:rsidRPr="00E36332">
              <w:rPr>
                <w:color w:val="000000"/>
                <w:sz w:val="16"/>
                <w:szCs w:val="16"/>
                <w:vertAlign w:val="subscript"/>
                <w:lang w:val="nl-NL"/>
              </w:rPr>
              <w:t>6</w:t>
            </w:r>
            <w:r w:rsidRPr="00E36332">
              <w:rPr>
                <w:color w:val="000000"/>
                <w:sz w:val="16"/>
                <w:szCs w:val="16"/>
                <w:lang w:val="nl-NL"/>
              </w:rPr>
              <w:t xml:space="preserve"> </w:t>
            </w:r>
            <w:r>
              <w:rPr>
                <w:color w:val="000000"/>
                <w:sz w:val="16"/>
                <w:szCs w:val="16"/>
                <w:lang w:val="nl-NL"/>
              </w:rPr>
              <w:t>(</w:t>
            </w:r>
            <w:r w:rsidRPr="00E36332">
              <w:rPr>
                <w:color w:val="000000"/>
                <w:sz w:val="16"/>
                <w:szCs w:val="16"/>
                <w:lang w:val="nl-NL"/>
              </w:rPr>
              <w:t>benzene</w:t>
            </w:r>
            <w:r>
              <w:rPr>
                <w:color w:val="000000"/>
                <w:sz w:val="16"/>
                <w:szCs w:val="16"/>
                <w:lang w:val="nl-NL"/>
              </w:rPr>
              <w:t>)</w:t>
            </w:r>
            <w:r w:rsidRPr="00E36332">
              <w:rPr>
                <w:color w:val="000000"/>
                <w:sz w:val="16"/>
                <w:szCs w:val="16"/>
                <w:lang w:val="nl-NL"/>
              </w:rPr>
              <w:t>; CH</w:t>
            </w:r>
            <w:r w:rsidRPr="00E36332">
              <w:rPr>
                <w:color w:val="000000"/>
                <w:sz w:val="16"/>
                <w:szCs w:val="16"/>
                <w:vertAlign w:val="subscript"/>
                <w:lang w:val="nl-NL"/>
              </w:rPr>
              <w:t>2</w:t>
            </w:r>
            <w:r w:rsidRPr="00E36332">
              <w:rPr>
                <w:color w:val="000000"/>
                <w:sz w:val="16"/>
                <w:szCs w:val="16"/>
                <w:lang w:val="nl-NL"/>
              </w:rPr>
              <w:t xml:space="preserve">O </w:t>
            </w:r>
            <w:r>
              <w:rPr>
                <w:color w:val="000000"/>
                <w:sz w:val="16"/>
                <w:szCs w:val="16"/>
                <w:lang w:val="nl-NL"/>
              </w:rPr>
              <w:t>(</w:t>
            </w:r>
            <w:r w:rsidRPr="00E36332">
              <w:rPr>
                <w:color w:val="000000"/>
                <w:sz w:val="16"/>
                <w:szCs w:val="16"/>
                <w:lang w:val="nl-NL"/>
              </w:rPr>
              <w:t>formaldehyde</w:t>
            </w:r>
            <w:r>
              <w:rPr>
                <w:color w:val="000000"/>
                <w:sz w:val="16"/>
                <w:szCs w:val="16"/>
                <w:lang w:val="nl-NL"/>
              </w:rPr>
              <w:t>)</w:t>
            </w:r>
            <w:r w:rsidRPr="00E36332">
              <w:rPr>
                <w:color w:val="000000"/>
                <w:sz w:val="16"/>
                <w:szCs w:val="16"/>
                <w:lang w:val="nl-NL"/>
              </w:rPr>
              <w:t>; C</w:t>
            </w:r>
            <w:r w:rsidRPr="00E36332">
              <w:rPr>
                <w:color w:val="000000"/>
                <w:sz w:val="16"/>
                <w:szCs w:val="16"/>
                <w:vertAlign w:val="subscript"/>
                <w:lang w:val="nl-NL"/>
              </w:rPr>
              <w:t>8</w:t>
            </w:r>
            <w:r w:rsidRPr="00E36332">
              <w:rPr>
                <w:color w:val="000000"/>
                <w:sz w:val="16"/>
                <w:szCs w:val="16"/>
                <w:lang w:val="nl-NL"/>
              </w:rPr>
              <w:t>H</w:t>
            </w:r>
            <w:r w:rsidRPr="00E36332">
              <w:rPr>
                <w:color w:val="000000"/>
                <w:sz w:val="16"/>
                <w:szCs w:val="16"/>
                <w:vertAlign w:val="subscript"/>
                <w:lang w:val="nl-NL"/>
              </w:rPr>
              <w:t>10</w:t>
            </w:r>
            <w:r w:rsidRPr="00E36332">
              <w:rPr>
                <w:color w:val="000000"/>
                <w:sz w:val="16"/>
                <w:szCs w:val="16"/>
                <w:lang w:val="nl-NL"/>
              </w:rPr>
              <w:t xml:space="preserve"> </w:t>
            </w:r>
            <w:r>
              <w:rPr>
                <w:color w:val="000000"/>
                <w:sz w:val="16"/>
                <w:szCs w:val="16"/>
                <w:lang w:val="nl-NL"/>
              </w:rPr>
              <w:t>(</w:t>
            </w:r>
            <w:r w:rsidRPr="00E36332">
              <w:rPr>
                <w:color w:val="000000"/>
                <w:sz w:val="16"/>
                <w:szCs w:val="16"/>
                <w:lang w:val="nl-NL"/>
              </w:rPr>
              <w:t>xylene isomers plus ethyl benzene</w:t>
            </w:r>
            <w:r>
              <w:rPr>
                <w:color w:val="000000"/>
                <w:sz w:val="16"/>
                <w:szCs w:val="16"/>
                <w:lang w:val="nl-NL"/>
              </w:rPr>
              <w:t>)</w:t>
            </w:r>
            <w:r w:rsidRPr="00E36332">
              <w:rPr>
                <w:color w:val="000000"/>
                <w:sz w:val="16"/>
                <w:szCs w:val="16"/>
                <w:lang w:val="nl-NL"/>
              </w:rPr>
              <w:t>; CH</w:t>
            </w:r>
            <w:r w:rsidRPr="00C73479">
              <w:rPr>
                <w:color w:val="000000"/>
                <w:sz w:val="16"/>
                <w:szCs w:val="16"/>
                <w:vertAlign w:val="subscript"/>
                <w:lang w:val="nl-NL"/>
              </w:rPr>
              <w:t>3</w:t>
            </w:r>
            <w:r w:rsidRPr="00E36332">
              <w:rPr>
                <w:color w:val="000000"/>
                <w:sz w:val="16"/>
                <w:szCs w:val="16"/>
                <w:lang w:val="nl-NL"/>
              </w:rPr>
              <w:t xml:space="preserve">Cl </w:t>
            </w:r>
            <w:r>
              <w:rPr>
                <w:color w:val="000000"/>
                <w:sz w:val="16"/>
                <w:szCs w:val="16"/>
                <w:lang w:val="nl-NL"/>
              </w:rPr>
              <w:t>(</w:t>
            </w:r>
            <w:r w:rsidRPr="00E36332">
              <w:rPr>
                <w:color w:val="000000"/>
                <w:sz w:val="16"/>
                <w:szCs w:val="16"/>
                <w:lang w:val="nl-NL"/>
              </w:rPr>
              <w:t>methyl chloride</w:t>
            </w:r>
            <w:r>
              <w:rPr>
                <w:color w:val="000000"/>
                <w:sz w:val="16"/>
                <w:szCs w:val="16"/>
                <w:lang w:val="nl-NL"/>
              </w:rPr>
              <w:t>)</w:t>
            </w:r>
            <w:r w:rsidRPr="00E36332">
              <w:rPr>
                <w:color w:val="000000"/>
                <w:sz w:val="16"/>
                <w:szCs w:val="16"/>
                <w:lang w:val="nl-NL"/>
              </w:rPr>
              <w:t xml:space="preserve">; </w:t>
            </w:r>
            <w:r w:rsidRPr="00E36332">
              <w:rPr>
                <w:bCs/>
                <w:color w:val="000000"/>
                <w:sz w:val="16"/>
                <w:szCs w:val="16"/>
              </w:rPr>
              <w:t>CH</w:t>
            </w:r>
            <w:r w:rsidRPr="00E36332">
              <w:rPr>
                <w:bCs/>
                <w:color w:val="000000"/>
                <w:sz w:val="16"/>
                <w:szCs w:val="16"/>
                <w:vertAlign w:val="subscript"/>
              </w:rPr>
              <w:t>3</w:t>
            </w:r>
            <w:r w:rsidRPr="00E36332">
              <w:rPr>
                <w:bCs/>
                <w:color w:val="000000"/>
                <w:sz w:val="16"/>
                <w:szCs w:val="16"/>
              </w:rPr>
              <w:t>CCl</w:t>
            </w:r>
            <w:r w:rsidRPr="00E36332">
              <w:rPr>
                <w:bCs/>
                <w:color w:val="000000"/>
                <w:sz w:val="16"/>
                <w:szCs w:val="16"/>
                <w:vertAlign w:val="subscript"/>
              </w:rPr>
              <w:t>3</w:t>
            </w:r>
            <w:r w:rsidRPr="00E36332">
              <w:rPr>
                <w:color w:val="000000"/>
                <w:sz w:val="16"/>
                <w:szCs w:val="16"/>
                <w:lang w:val="nl-NL"/>
              </w:rPr>
              <w:t xml:space="preserve"> </w:t>
            </w:r>
            <w:r>
              <w:rPr>
                <w:color w:val="000000"/>
                <w:sz w:val="16"/>
                <w:szCs w:val="16"/>
                <w:lang w:val="nl-NL"/>
              </w:rPr>
              <w:t>(</w:t>
            </w:r>
            <w:r w:rsidRPr="00E36332">
              <w:rPr>
                <w:color w:val="000000"/>
                <w:sz w:val="16"/>
                <w:szCs w:val="16"/>
                <w:lang w:val="nl-NL"/>
              </w:rPr>
              <w:t>methyl chloroform</w:t>
            </w:r>
            <w:r>
              <w:rPr>
                <w:color w:val="000000"/>
                <w:sz w:val="16"/>
                <w:szCs w:val="16"/>
                <w:lang w:val="nl-NL"/>
              </w:rPr>
              <w:t>)</w:t>
            </w:r>
            <w:r w:rsidRPr="00E36332">
              <w:rPr>
                <w:color w:val="000000"/>
                <w:sz w:val="16"/>
                <w:szCs w:val="16"/>
                <w:lang w:val="nl-NL"/>
              </w:rPr>
              <w:t xml:space="preserve">; </w:t>
            </w:r>
            <w:r w:rsidRPr="00E36332">
              <w:rPr>
                <w:bCs/>
                <w:color w:val="000000"/>
                <w:sz w:val="16"/>
                <w:szCs w:val="16"/>
              </w:rPr>
              <w:t>C</w:t>
            </w:r>
            <w:r w:rsidRPr="00E36332">
              <w:rPr>
                <w:bCs/>
                <w:color w:val="000000"/>
                <w:sz w:val="16"/>
                <w:szCs w:val="16"/>
                <w:vertAlign w:val="subscript"/>
              </w:rPr>
              <w:t>2</w:t>
            </w:r>
            <w:r w:rsidRPr="00E36332">
              <w:rPr>
                <w:bCs/>
                <w:color w:val="000000"/>
                <w:sz w:val="16"/>
                <w:szCs w:val="16"/>
              </w:rPr>
              <w:t>H</w:t>
            </w:r>
            <w:r w:rsidRPr="00E36332">
              <w:rPr>
                <w:bCs/>
                <w:color w:val="000000"/>
                <w:sz w:val="16"/>
                <w:szCs w:val="16"/>
                <w:vertAlign w:val="subscript"/>
              </w:rPr>
              <w:t>4</w:t>
            </w:r>
            <w:r w:rsidRPr="00E36332">
              <w:rPr>
                <w:bCs/>
                <w:color w:val="000000"/>
                <w:sz w:val="16"/>
                <w:szCs w:val="16"/>
              </w:rPr>
              <w:t>O</w:t>
            </w:r>
            <w:r w:rsidRPr="00E36332">
              <w:rPr>
                <w:color w:val="000000"/>
                <w:sz w:val="16"/>
                <w:szCs w:val="16"/>
                <w:lang w:val="nl-NL"/>
              </w:rPr>
              <w:t xml:space="preserve"> </w:t>
            </w:r>
            <w:r>
              <w:rPr>
                <w:color w:val="000000"/>
                <w:sz w:val="16"/>
                <w:szCs w:val="16"/>
                <w:lang w:val="nl-NL"/>
              </w:rPr>
              <w:t>(</w:t>
            </w:r>
            <w:r w:rsidRPr="00E36332">
              <w:rPr>
                <w:color w:val="000000"/>
                <w:sz w:val="16"/>
                <w:szCs w:val="16"/>
                <w:lang w:val="nl-NL"/>
              </w:rPr>
              <w:t>acetaldehyde</w:t>
            </w:r>
            <w:r>
              <w:rPr>
                <w:color w:val="000000"/>
                <w:sz w:val="16"/>
                <w:szCs w:val="16"/>
                <w:lang w:val="nl-NL"/>
              </w:rPr>
              <w:t>)</w:t>
            </w:r>
            <w:r w:rsidRPr="00E36332">
              <w:rPr>
                <w:color w:val="000000"/>
                <w:sz w:val="16"/>
                <w:szCs w:val="16"/>
                <w:lang w:val="nl-NL"/>
              </w:rPr>
              <w:t>; C</w:t>
            </w:r>
            <w:r w:rsidRPr="00E36332">
              <w:rPr>
                <w:color w:val="000000"/>
                <w:sz w:val="16"/>
                <w:szCs w:val="16"/>
                <w:vertAlign w:val="subscript"/>
                <w:lang w:val="nl-NL"/>
              </w:rPr>
              <w:t>7</w:t>
            </w:r>
            <w:r w:rsidRPr="00E36332">
              <w:rPr>
                <w:color w:val="000000"/>
                <w:sz w:val="16"/>
                <w:szCs w:val="16"/>
                <w:lang w:val="nl-NL"/>
              </w:rPr>
              <w:t>H</w:t>
            </w:r>
            <w:r w:rsidRPr="00E36332">
              <w:rPr>
                <w:color w:val="000000"/>
                <w:sz w:val="16"/>
                <w:szCs w:val="16"/>
                <w:vertAlign w:val="subscript"/>
                <w:lang w:val="nl-NL"/>
              </w:rPr>
              <w:t>8</w:t>
            </w:r>
            <w:r w:rsidRPr="00E36332">
              <w:rPr>
                <w:color w:val="000000"/>
                <w:sz w:val="16"/>
                <w:szCs w:val="16"/>
                <w:lang w:val="nl-NL"/>
              </w:rPr>
              <w:t xml:space="preserve"> </w:t>
            </w:r>
            <w:r>
              <w:rPr>
                <w:color w:val="000000"/>
                <w:sz w:val="16"/>
                <w:szCs w:val="16"/>
                <w:lang w:val="nl-NL"/>
              </w:rPr>
              <w:t>(</w:t>
            </w:r>
            <w:r w:rsidRPr="00E36332">
              <w:rPr>
                <w:color w:val="000000"/>
                <w:sz w:val="16"/>
                <w:szCs w:val="16"/>
                <w:lang w:val="nl-NL"/>
              </w:rPr>
              <w:t>toluene</w:t>
            </w:r>
            <w:r>
              <w:rPr>
                <w:color w:val="000000"/>
                <w:sz w:val="16"/>
                <w:szCs w:val="16"/>
                <w:lang w:val="nl-NL"/>
              </w:rPr>
              <w:t xml:space="preserve">); </w:t>
            </w:r>
            <w:r w:rsidRPr="00E36332">
              <w:rPr>
                <w:color w:val="000000"/>
                <w:sz w:val="16"/>
                <w:szCs w:val="16"/>
                <w:lang w:val="nl-NL"/>
              </w:rPr>
              <w:t xml:space="preserve">PAH/POM </w:t>
            </w:r>
            <w:r>
              <w:rPr>
                <w:color w:val="000000"/>
                <w:sz w:val="16"/>
                <w:szCs w:val="16"/>
                <w:lang w:val="nl-NL"/>
              </w:rPr>
              <w:t>(</w:t>
            </w:r>
            <w:r w:rsidRPr="00E36332">
              <w:rPr>
                <w:color w:val="000000"/>
                <w:sz w:val="16"/>
                <w:szCs w:val="16"/>
                <w:lang w:val="nl-NL"/>
              </w:rPr>
              <w:t xml:space="preserve">polycyclic </w:t>
            </w:r>
            <w:r>
              <w:rPr>
                <w:color w:val="000000"/>
                <w:sz w:val="16"/>
                <w:szCs w:val="16"/>
                <w:lang w:val="nl-NL"/>
              </w:rPr>
              <w:t>aromatic</w:t>
            </w:r>
            <w:r w:rsidRPr="00E36332">
              <w:rPr>
                <w:color w:val="000000"/>
                <w:sz w:val="16"/>
                <w:szCs w:val="16"/>
                <w:lang w:val="nl-NL"/>
              </w:rPr>
              <w:t xml:space="preserve"> hydrocarbon/polycyclic organic matter</w:t>
            </w:r>
            <w:r>
              <w:rPr>
                <w:color w:val="000000"/>
                <w:sz w:val="16"/>
                <w:szCs w:val="16"/>
                <w:lang w:val="nl-NL"/>
              </w:rPr>
              <w:t>)</w:t>
            </w:r>
          </w:p>
        </w:tc>
      </w:tr>
    </w:tbl>
    <w:p w:rsidR="00911DE9" w:rsidRDefault="00772223" w:rsidP="00911DE9">
      <w:pPr>
        <w:spacing w:before="120" w:after="120"/>
        <w:rPr>
          <w:sz w:val="22"/>
          <w:szCs w:val="22"/>
        </w:rPr>
      </w:pPr>
      <w:r>
        <w:rPr>
          <w:sz w:val="22"/>
          <w:szCs w:val="22"/>
        </w:rPr>
        <w:t>In the original air construction permit,</w:t>
      </w:r>
      <w:r w:rsidR="00194F56">
        <w:rPr>
          <w:sz w:val="22"/>
          <w:szCs w:val="22"/>
        </w:rPr>
        <w:t xml:space="preserve"> t</w:t>
      </w:r>
      <w:r w:rsidR="00911DE9">
        <w:rPr>
          <w:sz w:val="22"/>
          <w:szCs w:val="22"/>
        </w:rPr>
        <w:t xml:space="preserve">he demonstration of compliance </w:t>
      </w:r>
      <w:r w:rsidR="0097031C">
        <w:rPr>
          <w:sz w:val="22"/>
          <w:szCs w:val="22"/>
        </w:rPr>
        <w:t xml:space="preserve">with </w:t>
      </w:r>
      <w:r w:rsidR="00CF6FB4">
        <w:rPr>
          <w:sz w:val="22"/>
          <w:szCs w:val="22"/>
        </w:rPr>
        <w:t>a</w:t>
      </w:r>
      <w:r w:rsidR="00911DE9">
        <w:rPr>
          <w:sz w:val="22"/>
          <w:szCs w:val="22"/>
        </w:rPr>
        <w:t xml:space="preserve"> 24.7 TPY </w:t>
      </w:r>
      <w:r w:rsidR="00CF6FB4">
        <w:rPr>
          <w:sz w:val="22"/>
          <w:szCs w:val="22"/>
        </w:rPr>
        <w:t xml:space="preserve">overall HAP </w:t>
      </w:r>
      <w:r w:rsidR="00911DE9">
        <w:rPr>
          <w:sz w:val="22"/>
          <w:szCs w:val="22"/>
        </w:rPr>
        <w:t xml:space="preserve">limitation </w:t>
      </w:r>
      <w:r w:rsidR="00CF6FB4">
        <w:rPr>
          <w:sz w:val="22"/>
          <w:szCs w:val="22"/>
        </w:rPr>
        <w:t>is</w:t>
      </w:r>
      <w:r w:rsidR="00911DE9">
        <w:rPr>
          <w:sz w:val="22"/>
          <w:szCs w:val="22"/>
        </w:rPr>
        <w:t xml:space="preserve"> determined on a fiscal year basis, based on the initial and annual stack tests conducted for the identified metal and organic HAP</w:t>
      </w:r>
      <w:r w:rsidR="00CF6FB4">
        <w:rPr>
          <w:sz w:val="22"/>
          <w:szCs w:val="22"/>
        </w:rPr>
        <w:t xml:space="preserve"> </w:t>
      </w:r>
      <w:r w:rsidR="00911DE9">
        <w:rPr>
          <w:sz w:val="22"/>
          <w:szCs w:val="22"/>
        </w:rPr>
        <w:t>coupled with the totalized HCl and HF</w:t>
      </w:r>
      <w:r w:rsidR="002234C9">
        <w:rPr>
          <w:sz w:val="22"/>
          <w:szCs w:val="22"/>
        </w:rPr>
        <w:t xml:space="preserve"> </w:t>
      </w:r>
      <w:r w:rsidR="00911DE9">
        <w:rPr>
          <w:sz w:val="22"/>
          <w:szCs w:val="22"/>
        </w:rPr>
        <w:t>CEMS data for the given fiscal year.</w:t>
      </w:r>
    </w:p>
    <w:p w:rsidR="00594F36" w:rsidRDefault="00CF6FB4" w:rsidP="00CF6FB4">
      <w:pPr>
        <w:spacing w:before="120" w:after="120"/>
        <w:jc w:val="both"/>
        <w:outlineLvl w:val="0"/>
        <w:rPr>
          <w:bCs/>
          <w:sz w:val="22"/>
          <w:szCs w:val="22"/>
        </w:rPr>
      </w:pPr>
      <w:r>
        <w:rPr>
          <w:sz w:val="22"/>
          <w:szCs w:val="22"/>
        </w:rPr>
        <w:t xml:space="preserve">At the time the final GREC permit was issued, </w:t>
      </w:r>
      <w:r w:rsidRPr="00CF6FB4">
        <w:rPr>
          <w:sz w:val="22"/>
          <w:szCs w:val="22"/>
        </w:rPr>
        <w:t>40 CFR 63, Subpart DDDDD – NESHAP for Major Sources: Industrial, Commercial, and Institutional Boilers and Process Heaters</w:t>
      </w:r>
      <w:r>
        <w:rPr>
          <w:sz w:val="22"/>
          <w:szCs w:val="22"/>
        </w:rPr>
        <w:t xml:space="preserve"> had not been finalized</w:t>
      </w:r>
      <w:r w:rsidRPr="00CF6FB4">
        <w:rPr>
          <w:sz w:val="22"/>
          <w:szCs w:val="22"/>
        </w:rPr>
        <w:t xml:space="preserve">.  Subpart DDDDD </w:t>
      </w:r>
      <w:r>
        <w:rPr>
          <w:sz w:val="22"/>
          <w:szCs w:val="22"/>
        </w:rPr>
        <w:t>would have applied to the GREC</w:t>
      </w:r>
      <w:r w:rsidRPr="00CF6FB4">
        <w:rPr>
          <w:sz w:val="22"/>
          <w:szCs w:val="22"/>
        </w:rPr>
        <w:t xml:space="preserve"> boiler</w:t>
      </w:r>
      <w:r w:rsidR="002234C9">
        <w:rPr>
          <w:sz w:val="22"/>
          <w:szCs w:val="22"/>
        </w:rPr>
        <w:t xml:space="preserve"> since it is located at a major source of HAP, i.e., the GRU DGS</w:t>
      </w:r>
      <w:r w:rsidRPr="00CF6FB4">
        <w:rPr>
          <w:sz w:val="22"/>
          <w:szCs w:val="22"/>
        </w:rPr>
        <w:t xml:space="preserve">.  </w:t>
      </w:r>
      <w:r>
        <w:rPr>
          <w:sz w:val="22"/>
          <w:szCs w:val="22"/>
        </w:rPr>
        <w:t>If Subpart DDDDD had been finalized at the time the final permit was issued on December 28, 2010, the HF, metal and organic HAP emission limits described above would not have been required.  Instead the boiler would simply have had to meet the emission limits in the subpart.</w:t>
      </w:r>
      <w:r w:rsidRPr="00CF6FB4">
        <w:rPr>
          <w:sz w:val="22"/>
          <w:szCs w:val="22"/>
        </w:rPr>
        <w:t xml:space="preserve">  </w:t>
      </w:r>
      <w:r w:rsidR="00CA6E86">
        <w:rPr>
          <w:sz w:val="22"/>
          <w:szCs w:val="22"/>
        </w:rPr>
        <w:t xml:space="preserve">Subpart DDDDD does have an HCl emission limit.  </w:t>
      </w:r>
    </w:p>
    <w:p w:rsidR="00457A57" w:rsidRDefault="0097031C" w:rsidP="006E2E51">
      <w:pPr>
        <w:spacing w:after="60"/>
        <w:jc w:val="both"/>
        <w:outlineLvl w:val="0"/>
        <w:rPr>
          <w:sz w:val="22"/>
          <w:szCs w:val="22"/>
        </w:rPr>
      </w:pPr>
      <w:r>
        <w:rPr>
          <w:sz w:val="22"/>
          <w:szCs w:val="22"/>
        </w:rPr>
        <w:t xml:space="preserve">NESHAP Subpart DDDDD was finalized by the EPA on January 31, 2013.  Consequently, the </w:t>
      </w:r>
      <w:r w:rsidR="00957B90">
        <w:rPr>
          <w:sz w:val="22"/>
          <w:szCs w:val="22"/>
        </w:rPr>
        <w:t xml:space="preserve">primary </w:t>
      </w:r>
      <w:r>
        <w:rPr>
          <w:sz w:val="22"/>
          <w:szCs w:val="22"/>
        </w:rPr>
        <w:t xml:space="preserve">purpose of this project </w:t>
      </w:r>
      <w:r w:rsidR="00E6084B">
        <w:rPr>
          <w:sz w:val="22"/>
          <w:szCs w:val="22"/>
        </w:rPr>
        <w:t>is</w:t>
      </w:r>
      <w:r>
        <w:rPr>
          <w:sz w:val="22"/>
          <w:szCs w:val="22"/>
        </w:rPr>
        <w:t xml:space="preserve"> to </w:t>
      </w:r>
      <w:r w:rsidR="00F97AEA">
        <w:rPr>
          <w:sz w:val="22"/>
          <w:szCs w:val="22"/>
        </w:rPr>
        <w:t>incorporate</w:t>
      </w:r>
      <w:r>
        <w:rPr>
          <w:sz w:val="22"/>
          <w:szCs w:val="22"/>
        </w:rPr>
        <w:t xml:space="preserve"> the Subpart DDDDD </w:t>
      </w:r>
      <w:r w:rsidR="00772223">
        <w:rPr>
          <w:sz w:val="22"/>
          <w:szCs w:val="22"/>
        </w:rPr>
        <w:t>requirements</w:t>
      </w:r>
      <w:r>
        <w:rPr>
          <w:sz w:val="22"/>
          <w:szCs w:val="22"/>
        </w:rPr>
        <w:t xml:space="preserve"> into the GREC permit and to remove HAP limits and </w:t>
      </w:r>
      <w:r w:rsidR="00957B90">
        <w:rPr>
          <w:sz w:val="22"/>
          <w:szCs w:val="22"/>
        </w:rPr>
        <w:t xml:space="preserve">other </w:t>
      </w:r>
      <w:r>
        <w:rPr>
          <w:sz w:val="22"/>
          <w:szCs w:val="22"/>
        </w:rPr>
        <w:t>requirements that are no longer necessary</w:t>
      </w:r>
      <w:r w:rsidR="00957B90">
        <w:rPr>
          <w:sz w:val="22"/>
          <w:szCs w:val="22"/>
        </w:rPr>
        <w:t xml:space="preserve"> or a</w:t>
      </w:r>
      <w:r w:rsidR="002234C9">
        <w:rPr>
          <w:sz w:val="22"/>
          <w:szCs w:val="22"/>
        </w:rPr>
        <w:t>re</w:t>
      </w:r>
      <w:r w:rsidR="00957B90">
        <w:rPr>
          <w:sz w:val="22"/>
          <w:szCs w:val="22"/>
        </w:rPr>
        <w:t xml:space="preserve"> supplanted by NESHAP Subpart DDDDD</w:t>
      </w:r>
      <w:r>
        <w:rPr>
          <w:sz w:val="22"/>
          <w:szCs w:val="22"/>
        </w:rPr>
        <w:t>.</w:t>
      </w:r>
      <w:r w:rsidR="00F97AEA">
        <w:rPr>
          <w:sz w:val="22"/>
          <w:szCs w:val="22"/>
        </w:rPr>
        <w:t xml:space="preserve">  </w:t>
      </w:r>
      <w:r w:rsidR="00A17B7B">
        <w:rPr>
          <w:sz w:val="22"/>
          <w:szCs w:val="22"/>
        </w:rPr>
        <w:t>This would include the removal of the HCl and HF CEMS requirement</w:t>
      </w:r>
      <w:r w:rsidR="00457A57">
        <w:rPr>
          <w:sz w:val="22"/>
          <w:szCs w:val="22"/>
        </w:rPr>
        <w:t>s in the original permit</w:t>
      </w:r>
      <w:r w:rsidR="00A17B7B">
        <w:rPr>
          <w:sz w:val="22"/>
          <w:szCs w:val="22"/>
        </w:rPr>
        <w:t xml:space="preserve">.  The HCl and HF CEMS </w:t>
      </w:r>
      <w:r w:rsidR="00457A57">
        <w:rPr>
          <w:sz w:val="22"/>
          <w:szCs w:val="22"/>
        </w:rPr>
        <w:t>were</w:t>
      </w:r>
      <w:r w:rsidR="00A17B7B">
        <w:rPr>
          <w:sz w:val="22"/>
          <w:szCs w:val="22"/>
        </w:rPr>
        <w:t xml:space="preserve"> included in the original permit to show that annual emission of each of </w:t>
      </w:r>
      <w:r w:rsidR="00457A57">
        <w:rPr>
          <w:sz w:val="22"/>
          <w:szCs w:val="22"/>
        </w:rPr>
        <w:t xml:space="preserve">these HAP </w:t>
      </w:r>
      <w:r w:rsidR="00A17B7B">
        <w:rPr>
          <w:sz w:val="22"/>
          <w:szCs w:val="22"/>
        </w:rPr>
        <w:t xml:space="preserve">were below the 10 TPY </w:t>
      </w:r>
      <w:r w:rsidR="00457A57">
        <w:rPr>
          <w:sz w:val="22"/>
          <w:szCs w:val="22"/>
        </w:rPr>
        <w:t>annual HAP emission threshold</w:t>
      </w:r>
      <w:r w:rsidR="00194F56">
        <w:rPr>
          <w:sz w:val="22"/>
          <w:szCs w:val="22"/>
        </w:rPr>
        <w:t xml:space="preserve"> and to provide assurance that the 25 TPY total HAP emission threshold was not exceeded.</w:t>
      </w:r>
    </w:p>
    <w:p w:rsidR="005A3B5F" w:rsidRDefault="005A3B5F" w:rsidP="006E2E51">
      <w:pPr>
        <w:spacing w:after="60"/>
        <w:jc w:val="both"/>
        <w:outlineLvl w:val="0"/>
        <w:rPr>
          <w:sz w:val="22"/>
          <w:szCs w:val="22"/>
        </w:rPr>
      </w:pPr>
      <w:r>
        <w:rPr>
          <w:sz w:val="22"/>
          <w:szCs w:val="22"/>
        </w:rPr>
        <w:t>T</w:t>
      </w:r>
      <w:r w:rsidR="00F97AEA">
        <w:rPr>
          <w:sz w:val="22"/>
          <w:szCs w:val="22"/>
        </w:rPr>
        <w:t>he NESHAP Subpart DDDDD limits applicable to the GREC BFB boiler</w:t>
      </w:r>
      <w:r>
        <w:rPr>
          <w:sz w:val="22"/>
          <w:szCs w:val="22"/>
        </w:rPr>
        <w:t xml:space="preserve"> are listed below </w:t>
      </w:r>
      <w:r w:rsidRPr="005A3B5F">
        <w:rPr>
          <w:i/>
          <w:sz w:val="22"/>
          <w:szCs w:val="22"/>
        </w:rPr>
        <w:t xml:space="preserve">{Note: the GREC BFB boiler is considered a new or reconstructed </w:t>
      </w:r>
      <w:r w:rsidR="00A40C30">
        <w:rPr>
          <w:i/>
          <w:sz w:val="22"/>
          <w:szCs w:val="22"/>
        </w:rPr>
        <w:t>unit</w:t>
      </w:r>
      <w:r w:rsidRPr="005A3B5F">
        <w:rPr>
          <w:i/>
          <w:sz w:val="22"/>
          <w:szCs w:val="22"/>
        </w:rPr>
        <w:t xml:space="preserve"> under the NESHAP}</w:t>
      </w:r>
      <w:r>
        <w:rPr>
          <w:sz w:val="22"/>
          <w:szCs w:val="22"/>
        </w:rPr>
        <w:t>.</w:t>
      </w:r>
      <w:r w:rsidR="00772223">
        <w:rPr>
          <w:sz w:val="22"/>
          <w:szCs w:val="22"/>
        </w:rPr>
        <w:t xml:space="preserve">  Also GREC will continue to have a HF emissions limit even though Subpart DDDDD does not contain an HF limit.</w:t>
      </w:r>
    </w:p>
    <w:p w:rsidR="00F97AEA" w:rsidRDefault="005A3B5F" w:rsidP="006E2E51">
      <w:pPr>
        <w:pStyle w:val="ListParagraph"/>
        <w:numPr>
          <w:ilvl w:val="0"/>
          <w:numId w:val="33"/>
        </w:numPr>
        <w:spacing w:after="60"/>
        <w:ind w:left="360"/>
        <w:contextualSpacing w:val="0"/>
        <w:jc w:val="both"/>
        <w:outlineLvl w:val="0"/>
        <w:rPr>
          <w:sz w:val="22"/>
          <w:szCs w:val="22"/>
        </w:rPr>
      </w:pPr>
      <w:r w:rsidRPr="006E2E51">
        <w:rPr>
          <w:sz w:val="22"/>
          <w:szCs w:val="22"/>
          <w:u w:val="single"/>
        </w:rPr>
        <w:t>Carbon Monoxide (CO)</w:t>
      </w:r>
      <w:r w:rsidRPr="006E2E51">
        <w:rPr>
          <w:sz w:val="22"/>
          <w:szCs w:val="22"/>
        </w:rPr>
        <w:t>: 230 parts per million by volume on a dry basis corrected to 3 percent Oxygen (ppmvd @ 3% O</w:t>
      </w:r>
      <w:r w:rsidRPr="006E2E51">
        <w:rPr>
          <w:sz w:val="22"/>
          <w:szCs w:val="22"/>
          <w:vertAlign w:val="subscript"/>
        </w:rPr>
        <w:t>2</w:t>
      </w:r>
      <w:r w:rsidRPr="006E2E51">
        <w:rPr>
          <w:sz w:val="22"/>
          <w:szCs w:val="22"/>
        </w:rPr>
        <w:t xml:space="preserve">) </w:t>
      </w:r>
      <w:r w:rsidR="00E6084B">
        <w:rPr>
          <w:sz w:val="22"/>
          <w:szCs w:val="22"/>
        </w:rPr>
        <w:t xml:space="preserve">based on a </w:t>
      </w:r>
      <w:r w:rsidRPr="006E2E51">
        <w:rPr>
          <w:sz w:val="22"/>
          <w:szCs w:val="22"/>
        </w:rPr>
        <w:t>3-run average of stack tests or 310 ppmvd @</w:t>
      </w:r>
      <w:r w:rsidR="00210971">
        <w:rPr>
          <w:sz w:val="22"/>
          <w:szCs w:val="22"/>
        </w:rPr>
        <w:t xml:space="preserve"> </w:t>
      </w:r>
      <w:r w:rsidRPr="006E2E51">
        <w:rPr>
          <w:sz w:val="22"/>
          <w:szCs w:val="22"/>
        </w:rPr>
        <w:t>3% O</w:t>
      </w:r>
      <w:r w:rsidRPr="00E6084B">
        <w:rPr>
          <w:sz w:val="22"/>
          <w:szCs w:val="22"/>
          <w:vertAlign w:val="subscript"/>
        </w:rPr>
        <w:t>2</w:t>
      </w:r>
      <w:r w:rsidR="00E6084B">
        <w:rPr>
          <w:sz w:val="22"/>
          <w:szCs w:val="22"/>
        </w:rPr>
        <w:t xml:space="preserve"> based on a</w:t>
      </w:r>
      <w:r w:rsidRPr="006E2E51">
        <w:rPr>
          <w:sz w:val="22"/>
          <w:szCs w:val="22"/>
        </w:rPr>
        <w:t xml:space="preserve"> 30-day rolling average by CEMS. </w:t>
      </w:r>
      <w:r w:rsidR="00E6084B">
        <w:rPr>
          <w:sz w:val="22"/>
          <w:szCs w:val="22"/>
        </w:rPr>
        <w:t xml:space="preserve"> </w:t>
      </w:r>
      <w:r w:rsidR="006E2E51" w:rsidRPr="006E2E51">
        <w:rPr>
          <w:sz w:val="22"/>
          <w:szCs w:val="22"/>
        </w:rPr>
        <w:t>As an alternative, 2.2 x 10</w:t>
      </w:r>
      <w:r w:rsidR="006E2E51" w:rsidRPr="006E2E51">
        <w:rPr>
          <w:sz w:val="22"/>
          <w:szCs w:val="22"/>
          <w:vertAlign w:val="superscript"/>
        </w:rPr>
        <w:t>-01</w:t>
      </w:r>
      <w:r w:rsidR="006E2E51" w:rsidRPr="006E2E51">
        <w:rPr>
          <w:sz w:val="22"/>
          <w:szCs w:val="22"/>
        </w:rPr>
        <w:t xml:space="preserve"> </w:t>
      </w:r>
      <w:r w:rsidR="00E6084B">
        <w:rPr>
          <w:sz w:val="22"/>
          <w:szCs w:val="22"/>
        </w:rPr>
        <w:t>pounds</w:t>
      </w:r>
      <w:r w:rsidR="006E2E51" w:rsidRPr="006E2E51">
        <w:rPr>
          <w:sz w:val="22"/>
          <w:szCs w:val="22"/>
        </w:rPr>
        <w:t xml:space="preserve"> per </w:t>
      </w:r>
      <w:r w:rsidR="002234C9">
        <w:rPr>
          <w:sz w:val="22"/>
          <w:szCs w:val="22"/>
        </w:rPr>
        <w:t>MMBtu</w:t>
      </w:r>
      <w:r w:rsidR="006E2E51" w:rsidRPr="006E2E51">
        <w:rPr>
          <w:sz w:val="22"/>
          <w:szCs w:val="22"/>
        </w:rPr>
        <w:t xml:space="preserve"> (</w:t>
      </w:r>
      <w:r w:rsidR="00E6084B">
        <w:rPr>
          <w:sz w:val="22"/>
          <w:szCs w:val="22"/>
        </w:rPr>
        <w:t>lb/</w:t>
      </w:r>
      <w:r w:rsidR="006E2E51" w:rsidRPr="006E2E51">
        <w:rPr>
          <w:sz w:val="22"/>
          <w:szCs w:val="22"/>
        </w:rPr>
        <w:t xml:space="preserve">MMBtu) of steam output or 2.6 </w:t>
      </w:r>
      <w:r w:rsidR="00E6084B">
        <w:rPr>
          <w:sz w:val="22"/>
          <w:szCs w:val="22"/>
        </w:rPr>
        <w:t>pounds</w:t>
      </w:r>
      <w:r w:rsidR="006E2E51" w:rsidRPr="006E2E51">
        <w:rPr>
          <w:sz w:val="22"/>
          <w:szCs w:val="22"/>
        </w:rPr>
        <w:t xml:space="preserve"> per </w:t>
      </w:r>
      <w:r w:rsidR="006E2E51">
        <w:rPr>
          <w:sz w:val="22"/>
          <w:szCs w:val="22"/>
        </w:rPr>
        <w:t>million megawatt hours (</w:t>
      </w:r>
      <w:r w:rsidR="00E6084B">
        <w:rPr>
          <w:sz w:val="22"/>
          <w:szCs w:val="22"/>
        </w:rPr>
        <w:t>lb/</w:t>
      </w:r>
      <w:r w:rsidR="006E2E51" w:rsidRPr="006E2E51">
        <w:rPr>
          <w:sz w:val="22"/>
          <w:szCs w:val="22"/>
        </w:rPr>
        <w:t>MWh</w:t>
      </w:r>
      <w:r w:rsidR="006E2E51">
        <w:rPr>
          <w:sz w:val="22"/>
          <w:szCs w:val="22"/>
        </w:rPr>
        <w:t>)</w:t>
      </w:r>
      <w:r w:rsidR="00E6084B">
        <w:rPr>
          <w:sz w:val="22"/>
          <w:szCs w:val="22"/>
        </w:rPr>
        <w:t xml:space="preserve"> based on a</w:t>
      </w:r>
      <w:r w:rsidR="006E2E51" w:rsidRPr="006E2E51">
        <w:rPr>
          <w:sz w:val="22"/>
          <w:szCs w:val="22"/>
        </w:rPr>
        <w:t xml:space="preserve"> 3-run average</w:t>
      </w:r>
      <w:r w:rsidR="006E2E51">
        <w:rPr>
          <w:sz w:val="22"/>
          <w:szCs w:val="22"/>
        </w:rPr>
        <w:t xml:space="preserve"> by stac</w:t>
      </w:r>
      <w:r w:rsidR="00210971">
        <w:rPr>
          <w:sz w:val="22"/>
          <w:szCs w:val="22"/>
        </w:rPr>
        <w:t>k tests.  All stack tests are 1-</w:t>
      </w:r>
      <w:r w:rsidR="006E2E51">
        <w:rPr>
          <w:sz w:val="22"/>
          <w:szCs w:val="22"/>
        </w:rPr>
        <w:t>hour runs.</w:t>
      </w:r>
    </w:p>
    <w:p w:rsidR="006E2E51" w:rsidRPr="0085661D" w:rsidRDefault="00A06B11" w:rsidP="00A06B11">
      <w:pPr>
        <w:pStyle w:val="ListParagraph"/>
        <w:numPr>
          <w:ilvl w:val="0"/>
          <w:numId w:val="33"/>
        </w:numPr>
        <w:spacing w:after="60"/>
        <w:ind w:left="360"/>
        <w:contextualSpacing w:val="0"/>
        <w:jc w:val="both"/>
        <w:outlineLvl w:val="0"/>
        <w:rPr>
          <w:sz w:val="22"/>
          <w:szCs w:val="22"/>
        </w:rPr>
      </w:pPr>
      <w:r w:rsidRPr="0085661D">
        <w:rPr>
          <w:sz w:val="22"/>
          <w:szCs w:val="22"/>
          <w:u w:val="single"/>
        </w:rPr>
        <w:t xml:space="preserve">Filterable </w:t>
      </w:r>
      <w:r w:rsidR="006E2E51" w:rsidRPr="0085661D">
        <w:rPr>
          <w:sz w:val="22"/>
          <w:szCs w:val="22"/>
          <w:u w:val="single"/>
        </w:rPr>
        <w:t>Particulate Matter (PM)</w:t>
      </w:r>
      <w:r w:rsidR="0085661D">
        <w:rPr>
          <w:sz w:val="22"/>
          <w:szCs w:val="22"/>
          <w:u w:val="single"/>
        </w:rPr>
        <w:t xml:space="preserve"> or Total Select Metals (TSM)</w:t>
      </w:r>
      <w:r w:rsidR="006E2E51" w:rsidRPr="0085661D">
        <w:rPr>
          <w:sz w:val="22"/>
          <w:szCs w:val="22"/>
        </w:rPr>
        <w:t xml:space="preserve">:  </w:t>
      </w:r>
      <w:r w:rsidR="00C36D1E" w:rsidRPr="00DB1D11">
        <w:rPr>
          <w:sz w:val="22"/>
          <w:szCs w:val="22"/>
          <w:u w:val="single"/>
        </w:rPr>
        <w:t>PM</w:t>
      </w:r>
      <w:r w:rsidR="00C36D1E">
        <w:rPr>
          <w:sz w:val="22"/>
          <w:szCs w:val="22"/>
        </w:rPr>
        <w:t xml:space="preserve"> - </w:t>
      </w:r>
      <w:r w:rsidRPr="0085661D">
        <w:rPr>
          <w:sz w:val="22"/>
          <w:szCs w:val="22"/>
        </w:rPr>
        <w:t>9.8 x 10</w:t>
      </w:r>
      <w:r w:rsidRPr="0085661D">
        <w:rPr>
          <w:sz w:val="22"/>
          <w:szCs w:val="22"/>
          <w:vertAlign w:val="superscript"/>
        </w:rPr>
        <w:t>-03</w:t>
      </w:r>
      <w:r w:rsidR="00E6084B">
        <w:rPr>
          <w:sz w:val="22"/>
          <w:szCs w:val="22"/>
        </w:rPr>
        <w:t xml:space="preserve"> lb/</w:t>
      </w:r>
      <w:r w:rsidRPr="0085661D">
        <w:rPr>
          <w:sz w:val="22"/>
          <w:szCs w:val="22"/>
        </w:rPr>
        <w:t xml:space="preserve">MMBtu of heat input or </w:t>
      </w:r>
      <w:r w:rsidR="00C36D1E" w:rsidRPr="00DB1D11">
        <w:rPr>
          <w:sz w:val="22"/>
          <w:szCs w:val="22"/>
          <w:u w:val="single"/>
        </w:rPr>
        <w:t>TSM</w:t>
      </w:r>
      <w:r w:rsidR="00C36D1E">
        <w:rPr>
          <w:sz w:val="22"/>
          <w:szCs w:val="22"/>
        </w:rPr>
        <w:t xml:space="preserve"> - </w:t>
      </w:r>
      <w:r w:rsidRPr="0085661D">
        <w:rPr>
          <w:b/>
          <w:sz w:val="22"/>
          <w:szCs w:val="22"/>
        </w:rPr>
        <w:t>8.3 x 10</w:t>
      </w:r>
      <w:r w:rsidRPr="0085661D">
        <w:rPr>
          <w:b/>
          <w:sz w:val="22"/>
          <w:szCs w:val="22"/>
          <w:vertAlign w:val="superscript"/>
        </w:rPr>
        <w:t>-05</w:t>
      </w:r>
      <w:r w:rsidRPr="0085661D">
        <w:rPr>
          <w:sz w:val="22"/>
          <w:szCs w:val="22"/>
        </w:rPr>
        <w:t xml:space="preserve"> </w:t>
      </w:r>
      <w:r w:rsidR="00E6084B">
        <w:rPr>
          <w:b/>
          <w:sz w:val="22"/>
          <w:szCs w:val="22"/>
        </w:rPr>
        <w:t>lb/</w:t>
      </w:r>
      <w:r w:rsidRPr="0085661D">
        <w:rPr>
          <w:b/>
          <w:sz w:val="22"/>
          <w:szCs w:val="22"/>
        </w:rPr>
        <w:t>MMBtu</w:t>
      </w:r>
      <w:r w:rsidRPr="0085661D">
        <w:rPr>
          <w:sz w:val="22"/>
          <w:szCs w:val="22"/>
        </w:rPr>
        <w:t xml:space="preserve"> of heat input. </w:t>
      </w:r>
      <w:r w:rsidR="00E6084B">
        <w:rPr>
          <w:sz w:val="22"/>
          <w:szCs w:val="22"/>
        </w:rPr>
        <w:t xml:space="preserve"> </w:t>
      </w:r>
      <w:r w:rsidRPr="0085661D">
        <w:rPr>
          <w:sz w:val="22"/>
          <w:szCs w:val="22"/>
        </w:rPr>
        <w:t xml:space="preserve">As an alternative, </w:t>
      </w:r>
      <w:r w:rsidR="00DB1D11" w:rsidRPr="00DB1D11">
        <w:rPr>
          <w:sz w:val="22"/>
          <w:szCs w:val="22"/>
          <w:u w:val="single"/>
        </w:rPr>
        <w:t>PM</w:t>
      </w:r>
      <w:r w:rsidR="00DB1D11">
        <w:rPr>
          <w:sz w:val="22"/>
          <w:szCs w:val="22"/>
        </w:rPr>
        <w:t xml:space="preserve"> - </w:t>
      </w:r>
      <w:r w:rsidRPr="0085661D">
        <w:rPr>
          <w:sz w:val="22"/>
          <w:szCs w:val="22"/>
        </w:rPr>
        <w:t>1.2 x 10</w:t>
      </w:r>
      <w:r w:rsidRPr="0085661D">
        <w:rPr>
          <w:sz w:val="22"/>
          <w:szCs w:val="22"/>
          <w:vertAlign w:val="superscript"/>
        </w:rPr>
        <w:t>-02</w:t>
      </w:r>
      <w:r w:rsidRPr="0085661D">
        <w:rPr>
          <w:sz w:val="22"/>
          <w:szCs w:val="22"/>
        </w:rPr>
        <w:t xml:space="preserve"> </w:t>
      </w:r>
      <w:r w:rsidR="00E6084B">
        <w:rPr>
          <w:sz w:val="22"/>
          <w:szCs w:val="22"/>
        </w:rPr>
        <w:t>lb/</w:t>
      </w:r>
      <w:r w:rsidRPr="0085661D">
        <w:rPr>
          <w:sz w:val="22"/>
          <w:szCs w:val="22"/>
        </w:rPr>
        <w:t xml:space="preserve">MMBtu of steam output or 0.14 </w:t>
      </w:r>
      <w:r w:rsidR="00E6084B">
        <w:rPr>
          <w:sz w:val="22"/>
          <w:szCs w:val="22"/>
        </w:rPr>
        <w:t>lb/</w:t>
      </w:r>
      <w:r w:rsidRPr="0085661D">
        <w:rPr>
          <w:sz w:val="22"/>
          <w:szCs w:val="22"/>
        </w:rPr>
        <w:t xml:space="preserve">MWh or </w:t>
      </w:r>
      <w:r w:rsidR="00DB1D11" w:rsidRPr="00DB1D11">
        <w:rPr>
          <w:sz w:val="22"/>
          <w:szCs w:val="22"/>
          <w:u w:val="single"/>
        </w:rPr>
        <w:t>TSM</w:t>
      </w:r>
      <w:r w:rsidR="00DB1D11">
        <w:rPr>
          <w:sz w:val="22"/>
          <w:szCs w:val="22"/>
        </w:rPr>
        <w:t xml:space="preserve"> - </w:t>
      </w:r>
      <w:r w:rsidRPr="0085661D">
        <w:rPr>
          <w:b/>
          <w:sz w:val="22"/>
          <w:szCs w:val="22"/>
        </w:rPr>
        <w:t>1.1 x 10</w:t>
      </w:r>
      <w:r w:rsidRPr="0085661D">
        <w:rPr>
          <w:b/>
          <w:sz w:val="22"/>
          <w:szCs w:val="22"/>
          <w:vertAlign w:val="superscript"/>
        </w:rPr>
        <w:t>-04</w:t>
      </w:r>
      <w:r w:rsidRPr="0085661D">
        <w:rPr>
          <w:b/>
          <w:sz w:val="22"/>
          <w:szCs w:val="22"/>
        </w:rPr>
        <w:t xml:space="preserve"> </w:t>
      </w:r>
      <w:r w:rsidR="00E6084B">
        <w:rPr>
          <w:b/>
          <w:sz w:val="22"/>
          <w:szCs w:val="22"/>
        </w:rPr>
        <w:t>lb/</w:t>
      </w:r>
      <w:r w:rsidRPr="0085661D">
        <w:rPr>
          <w:b/>
          <w:sz w:val="22"/>
          <w:szCs w:val="22"/>
        </w:rPr>
        <w:t>MMBtu</w:t>
      </w:r>
      <w:r w:rsidRPr="0085661D">
        <w:rPr>
          <w:sz w:val="22"/>
          <w:szCs w:val="22"/>
        </w:rPr>
        <w:t xml:space="preserve"> of steam output or </w:t>
      </w:r>
      <w:r w:rsidRPr="0085661D">
        <w:rPr>
          <w:b/>
          <w:sz w:val="22"/>
          <w:szCs w:val="22"/>
        </w:rPr>
        <w:t>1.2 x 10</w:t>
      </w:r>
      <w:r w:rsidRPr="0085661D">
        <w:rPr>
          <w:b/>
          <w:sz w:val="22"/>
          <w:szCs w:val="22"/>
          <w:vertAlign w:val="superscript"/>
        </w:rPr>
        <w:t>-03</w:t>
      </w:r>
      <w:r w:rsidRPr="0085661D">
        <w:rPr>
          <w:b/>
          <w:sz w:val="22"/>
          <w:szCs w:val="22"/>
        </w:rPr>
        <w:t xml:space="preserve"> </w:t>
      </w:r>
      <w:r w:rsidR="00E6084B">
        <w:rPr>
          <w:b/>
          <w:sz w:val="22"/>
          <w:szCs w:val="22"/>
        </w:rPr>
        <w:t>lb/</w:t>
      </w:r>
      <w:r w:rsidRPr="0085661D">
        <w:rPr>
          <w:b/>
          <w:sz w:val="22"/>
          <w:szCs w:val="22"/>
        </w:rPr>
        <w:t>MWh</w:t>
      </w:r>
      <w:r w:rsidRPr="0085661D">
        <w:rPr>
          <w:sz w:val="22"/>
          <w:szCs w:val="22"/>
        </w:rPr>
        <w:t xml:space="preserve">.  Compliance </w:t>
      </w:r>
      <w:r w:rsidR="00E6084B">
        <w:rPr>
          <w:sz w:val="22"/>
          <w:szCs w:val="22"/>
        </w:rPr>
        <w:t xml:space="preserve">is </w:t>
      </w:r>
      <w:r w:rsidRPr="0085661D">
        <w:rPr>
          <w:sz w:val="22"/>
          <w:szCs w:val="22"/>
        </w:rPr>
        <w:t xml:space="preserve">by collecting a minimum of 3 dry standard cubic meters (dscm) per </w:t>
      </w:r>
      <w:r w:rsidR="0085661D">
        <w:rPr>
          <w:sz w:val="22"/>
          <w:szCs w:val="22"/>
        </w:rPr>
        <w:t xml:space="preserve">stack test </w:t>
      </w:r>
      <w:r w:rsidRPr="0085661D">
        <w:rPr>
          <w:sz w:val="22"/>
          <w:szCs w:val="22"/>
        </w:rPr>
        <w:t xml:space="preserve">run, total of 3 runs.  </w:t>
      </w:r>
    </w:p>
    <w:p w:rsidR="006E2E51" w:rsidRPr="00F4497D" w:rsidRDefault="00C36D1E" w:rsidP="00F4497D">
      <w:pPr>
        <w:pStyle w:val="ListParagraph"/>
        <w:numPr>
          <w:ilvl w:val="0"/>
          <w:numId w:val="33"/>
        </w:numPr>
        <w:spacing w:after="60"/>
        <w:ind w:left="360"/>
        <w:contextualSpacing w:val="0"/>
        <w:jc w:val="both"/>
        <w:outlineLvl w:val="0"/>
        <w:rPr>
          <w:sz w:val="22"/>
          <w:szCs w:val="22"/>
        </w:rPr>
      </w:pPr>
      <w:r w:rsidRPr="00F4497D">
        <w:rPr>
          <w:sz w:val="22"/>
          <w:szCs w:val="22"/>
          <w:u w:val="single"/>
        </w:rPr>
        <w:lastRenderedPageBreak/>
        <w:t>Mercury (Hg)</w:t>
      </w:r>
      <w:r w:rsidRPr="00F4497D">
        <w:rPr>
          <w:sz w:val="22"/>
          <w:szCs w:val="22"/>
        </w:rPr>
        <w:t xml:space="preserve">:  </w:t>
      </w:r>
      <w:r w:rsidR="00F4497D" w:rsidRPr="00F4497D">
        <w:rPr>
          <w:b/>
          <w:sz w:val="22"/>
          <w:szCs w:val="22"/>
        </w:rPr>
        <w:t>8.0 x 10</w:t>
      </w:r>
      <w:r w:rsidR="00F4497D" w:rsidRPr="00F4497D">
        <w:rPr>
          <w:b/>
          <w:sz w:val="22"/>
          <w:szCs w:val="22"/>
          <w:vertAlign w:val="superscript"/>
        </w:rPr>
        <w:t>-07</w:t>
      </w:r>
      <w:r w:rsidR="00F4497D" w:rsidRPr="00F4497D">
        <w:rPr>
          <w:b/>
          <w:sz w:val="22"/>
          <w:szCs w:val="22"/>
        </w:rPr>
        <w:t xml:space="preserve"> </w:t>
      </w:r>
      <w:r w:rsidR="00E6084B">
        <w:rPr>
          <w:b/>
          <w:sz w:val="22"/>
          <w:szCs w:val="22"/>
        </w:rPr>
        <w:t>lb/</w:t>
      </w:r>
      <w:r w:rsidR="00F4497D" w:rsidRPr="00F4497D">
        <w:rPr>
          <w:b/>
          <w:sz w:val="22"/>
          <w:szCs w:val="22"/>
        </w:rPr>
        <w:t>M</w:t>
      </w:r>
      <w:r w:rsidR="00E6084B">
        <w:rPr>
          <w:b/>
          <w:sz w:val="22"/>
          <w:szCs w:val="22"/>
        </w:rPr>
        <w:t>M</w:t>
      </w:r>
      <w:r w:rsidR="00F4497D" w:rsidRPr="00F4497D">
        <w:rPr>
          <w:b/>
          <w:sz w:val="22"/>
          <w:szCs w:val="22"/>
        </w:rPr>
        <w:t>Btu</w:t>
      </w:r>
      <w:r w:rsidR="00F4497D" w:rsidRPr="00F4497D">
        <w:rPr>
          <w:sz w:val="22"/>
          <w:szCs w:val="22"/>
        </w:rPr>
        <w:t xml:space="preserve"> of heat input or </w:t>
      </w:r>
      <w:r w:rsidR="00F4497D" w:rsidRPr="00F4497D">
        <w:rPr>
          <w:b/>
          <w:sz w:val="22"/>
          <w:szCs w:val="22"/>
        </w:rPr>
        <w:t>8.7 x 10</w:t>
      </w:r>
      <w:r w:rsidR="00F4497D" w:rsidRPr="00F4497D">
        <w:rPr>
          <w:b/>
          <w:sz w:val="22"/>
          <w:szCs w:val="22"/>
          <w:vertAlign w:val="superscript"/>
        </w:rPr>
        <w:t>-07</w:t>
      </w:r>
      <w:r w:rsidR="00F4497D" w:rsidRPr="00F4497D">
        <w:rPr>
          <w:b/>
          <w:sz w:val="22"/>
          <w:szCs w:val="22"/>
        </w:rPr>
        <w:t xml:space="preserve"> </w:t>
      </w:r>
      <w:r w:rsidR="00E6084B">
        <w:rPr>
          <w:b/>
          <w:sz w:val="22"/>
          <w:szCs w:val="22"/>
        </w:rPr>
        <w:t>lb/</w:t>
      </w:r>
      <w:r w:rsidR="00F4497D" w:rsidRPr="00F4497D">
        <w:rPr>
          <w:b/>
          <w:sz w:val="22"/>
          <w:szCs w:val="22"/>
        </w:rPr>
        <w:t>MMBtu of steam output</w:t>
      </w:r>
      <w:r w:rsidR="00F4497D" w:rsidRPr="00F4497D">
        <w:rPr>
          <w:sz w:val="22"/>
          <w:szCs w:val="22"/>
        </w:rPr>
        <w:t xml:space="preserve"> or </w:t>
      </w:r>
      <w:r w:rsidR="00F4497D" w:rsidRPr="00F4497D">
        <w:rPr>
          <w:b/>
          <w:sz w:val="22"/>
          <w:szCs w:val="22"/>
        </w:rPr>
        <w:t>1.1 x 10</w:t>
      </w:r>
      <w:r w:rsidR="00F4497D" w:rsidRPr="00F4497D">
        <w:rPr>
          <w:b/>
          <w:sz w:val="22"/>
          <w:szCs w:val="22"/>
          <w:vertAlign w:val="superscript"/>
        </w:rPr>
        <w:t>-05</w:t>
      </w:r>
      <w:r w:rsidR="00F4497D" w:rsidRPr="00F4497D">
        <w:rPr>
          <w:b/>
          <w:sz w:val="22"/>
          <w:szCs w:val="22"/>
        </w:rPr>
        <w:t xml:space="preserve"> </w:t>
      </w:r>
      <w:r w:rsidR="00E6084B">
        <w:rPr>
          <w:b/>
          <w:sz w:val="22"/>
          <w:szCs w:val="22"/>
        </w:rPr>
        <w:t>lb/</w:t>
      </w:r>
      <w:r w:rsidR="00F4497D" w:rsidRPr="00F4497D">
        <w:rPr>
          <w:b/>
          <w:sz w:val="22"/>
          <w:szCs w:val="22"/>
        </w:rPr>
        <w:t>MWh</w:t>
      </w:r>
      <w:r w:rsidR="00F4497D" w:rsidRPr="00F4497D">
        <w:rPr>
          <w:sz w:val="22"/>
          <w:szCs w:val="22"/>
        </w:rPr>
        <w:t xml:space="preserve">. </w:t>
      </w:r>
      <w:r w:rsidR="00E6084B">
        <w:rPr>
          <w:sz w:val="22"/>
          <w:szCs w:val="22"/>
        </w:rPr>
        <w:t xml:space="preserve"> </w:t>
      </w:r>
      <w:r w:rsidR="00F4497D" w:rsidRPr="00F4497D">
        <w:rPr>
          <w:sz w:val="22"/>
          <w:szCs w:val="22"/>
        </w:rPr>
        <w:t xml:space="preserve">Compliance </w:t>
      </w:r>
      <w:r w:rsidR="00E6084B">
        <w:rPr>
          <w:sz w:val="22"/>
          <w:szCs w:val="22"/>
        </w:rPr>
        <w:t xml:space="preserve">is </w:t>
      </w:r>
      <w:r w:rsidR="00F4497D" w:rsidRPr="00F4497D">
        <w:rPr>
          <w:sz w:val="22"/>
          <w:szCs w:val="22"/>
        </w:rPr>
        <w:t xml:space="preserve">by </w:t>
      </w:r>
      <w:r w:rsidR="00E6084B">
        <w:rPr>
          <w:sz w:val="22"/>
          <w:szCs w:val="22"/>
        </w:rPr>
        <w:t>EPA M</w:t>
      </w:r>
      <w:r w:rsidR="00F4497D" w:rsidRPr="00F4497D">
        <w:rPr>
          <w:sz w:val="22"/>
          <w:szCs w:val="22"/>
        </w:rPr>
        <w:t>ethod 29, collecting a minimum of 4 dscm per run; for EPA Method 30A or 30B, collecting a minimum sample as specified in the method; for ASTM D6784 b</w:t>
      </w:r>
      <w:r w:rsidR="00E6084B">
        <w:rPr>
          <w:sz w:val="22"/>
          <w:szCs w:val="22"/>
        </w:rPr>
        <w:t>y</w:t>
      </w:r>
      <w:r w:rsidR="00F4497D" w:rsidRPr="00F4497D">
        <w:rPr>
          <w:sz w:val="22"/>
          <w:szCs w:val="22"/>
        </w:rPr>
        <w:t xml:space="preserve"> collecting a minimum of 4 dscm. </w:t>
      </w:r>
    </w:p>
    <w:p w:rsidR="006E2E51" w:rsidRPr="00F4497D" w:rsidRDefault="00F4497D" w:rsidP="00F4497D">
      <w:pPr>
        <w:pStyle w:val="ListParagraph"/>
        <w:numPr>
          <w:ilvl w:val="0"/>
          <w:numId w:val="33"/>
        </w:numPr>
        <w:spacing w:after="60"/>
        <w:ind w:left="360"/>
        <w:contextualSpacing w:val="0"/>
        <w:jc w:val="both"/>
        <w:outlineLvl w:val="0"/>
        <w:rPr>
          <w:sz w:val="22"/>
          <w:szCs w:val="22"/>
        </w:rPr>
      </w:pPr>
      <w:r w:rsidRPr="00F4497D">
        <w:rPr>
          <w:sz w:val="22"/>
          <w:szCs w:val="22"/>
          <w:u w:val="single"/>
        </w:rPr>
        <w:t>Hydrogen Chloride (HCl)</w:t>
      </w:r>
      <w:r w:rsidRPr="00F4497D">
        <w:rPr>
          <w:sz w:val="22"/>
          <w:szCs w:val="22"/>
        </w:rPr>
        <w:t>:  2.2 x 10</w:t>
      </w:r>
      <w:r w:rsidRPr="00F4497D">
        <w:rPr>
          <w:sz w:val="22"/>
          <w:szCs w:val="22"/>
          <w:vertAlign w:val="superscript"/>
        </w:rPr>
        <w:t>-02</w:t>
      </w:r>
      <w:r w:rsidRPr="00F4497D">
        <w:rPr>
          <w:sz w:val="22"/>
          <w:szCs w:val="22"/>
        </w:rPr>
        <w:t xml:space="preserve"> </w:t>
      </w:r>
      <w:r w:rsidR="00E6084B">
        <w:rPr>
          <w:sz w:val="22"/>
          <w:szCs w:val="22"/>
        </w:rPr>
        <w:t>lb/</w:t>
      </w:r>
      <w:r w:rsidRPr="00F4497D">
        <w:rPr>
          <w:sz w:val="22"/>
          <w:szCs w:val="22"/>
        </w:rPr>
        <w:t>MMBtu of heat input or 2.5 x 10</w:t>
      </w:r>
      <w:r w:rsidRPr="00F4497D">
        <w:rPr>
          <w:sz w:val="22"/>
          <w:szCs w:val="22"/>
          <w:vertAlign w:val="superscript"/>
        </w:rPr>
        <w:t>-02</w:t>
      </w:r>
      <w:r w:rsidRPr="00F4497D">
        <w:rPr>
          <w:sz w:val="22"/>
          <w:szCs w:val="22"/>
        </w:rPr>
        <w:t xml:space="preserve"> </w:t>
      </w:r>
      <w:r w:rsidR="00E6084B">
        <w:rPr>
          <w:sz w:val="22"/>
          <w:szCs w:val="22"/>
        </w:rPr>
        <w:t>lb/</w:t>
      </w:r>
      <w:r w:rsidRPr="00F4497D">
        <w:rPr>
          <w:sz w:val="22"/>
          <w:szCs w:val="22"/>
        </w:rPr>
        <w:t xml:space="preserve">MMBtu of steam output or 0.28 </w:t>
      </w:r>
      <w:r w:rsidR="00E6084B">
        <w:rPr>
          <w:sz w:val="22"/>
          <w:szCs w:val="22"/>
        </w:rPr>
        <w:t>lb/</w:t>
      </w:r>
      <w:r w:rsidRPr="00F4497D">
        <w:rPr>
          <w:sz w:val="22"/>
          <w:szCs w:val="22"/>
        </w:rPr>
        <w:t xml:space="preserve">MWh.  Compliance </w:t>
      </w:r>
      <w:r w:rsidR="00E6084B">
        <w:rPr>
          <w:sz w:val="22"/>
          <w:szCs w:val="22"/>
        </w:rPr>
        <w:t xml:space="preserve">is </w:t>
      </w:r>
      <w:r w:rsidRPr="00F4497D">
        <w:rPr>
          <w:sz w:val="22"/>
          <w:szCs w:val="22"/>
        </w:rPr>
        <w:t xml:space="preserve">by EPA Method 26A, collecting a minimum of 1 dscm per run; </w:t>
      </w:r>
      <w:r w:rsidR="00210971">
        <w:rPr>
          <w:sz w:val="22"/>
          <w:szCs w:val="22"/>
        </w:rPr>
        <w:t>or EPA M</w:t>
      </w:r>
      <w:r w:rsidRPr="00F4497D">
        <w:rPr>
          <w:sz w:val="22"/>
          <w:szCs w:val="22"/>
        </w:rPr>
        <w:t>ethod 26 collecting a minimum of 120 liters per run.</w:t>
      </w:r>
    </w:p>
    <w:p w:rsidR="006E2E51" w:rsidRDefault="00210971" w:rsidP="006E2E51">
      <w:pPr>
        <w:spacing w:after="120"/>
        <w:outlineLvl w:val="0"/>
        <w:rPr>
          <w:i/>
          <w:sz w:val="22"/>
          <w:szCs w:val="22"/>
        </w:rPr>
      </w:pPr>
      <w:r>
        <w:rPr>
          <w:i/>
          <w:sz w:val="22"/>
          <w:szCs w:val="22"/>
        </w:rPr>
        <w:t>{</w:t>
      </w:r>
      <w:r w:rsidR="00F4497D" w:rsidRPr="0085661D">
        <w:rPr>
          <w:i/>
          <w:sz w:val="22"/>
          <w:szCs w:val="22"/>
        </w:rPr>
        <w:t xml:space="preserve">Note for limits in </w:t>
      </w:r>
      <w:r w:rsidR="00F4497D" w:rsidRPr="0085661D">
        <w:rPr>
          <w:b/>
          <w:i/>
          <w:sz w:val="22"/>
          <w:szCs w:val="22"/>
        </w:rPr>
        <w:t>bold text</w:t>
      </w:r>
      <w:r>
        <w:rPr>
          <w:i/>
          <w:sz w:val="22"/>
          <w:szCs w:val="22"/>
        </w:rPr>
        <w:t>,</w:t>
      </w:r>
      <w:r w:rsidR="00F4497D" w:rsidRPr="0085661D">
        <w:rPr>
          <w:i/>
          <w:sz w:val="22"/>
          <w:szCs w:val="22"/>
        </w:rPr>
        <w:t xml:space="preserve"> if you are conducting stack tests to demonstrate compliance and your performance tests for this pollutant for at least 2 consecutive years show that your emissions are at or below this limit, you can skip testing according to §63.7515 if a</w:t>
      </w:r>
      <w:r>
        <w:rPr>
          <w:i/>
          <w:sz w:val="22"/>
          <w:szCs w:val="22"/>
        </w:rPr>
        <w:t>ll of the other provisions of §</w:t>
      </w:r>
      <w:r w:rsidR="00F4497D" w:rsidRPr="0085661D">
        <w:rPr>
          <w:i/>
          <w:sz w:val="22"/>
          <w:szCs w:val="22"/>
        </w:rPr>
        <w:t xml:space="preserve">63.7515 are met.  For all other pollutants that are not in </w:t>
      </w:r>
      <w:r w:rsidR="00F4497D" w:rsidRPr="0085661D">
        <w:rPr>
          <w:b/>
          <w:i/>
          <w:sz w:val="22"/>
          <w:szCs w:val="22"/>
        </w:rPr>
        <w:t>bold text</w:t>
      </w:r>
      <w:r w:rsidR="00F4497D" w:rsidRPr="0085661D">
        <w:rPr>
          <w:i/>
          <w:sz w:val="22"/>
          <w:szCs w:val="22"/>
        </w:rPr>
        <w:t>, your performance tests for this pollutant for at least 2 consecutive years must show that your emissions are at or below 75 percent of this limit in order to qualify for skip</w:t>
      </w:r>
      <w:r>
        <w:rPr>
          <w:i/>
          <w:sz w:val="22"/>
          <w:szCs w:val="22"/>
        </w:rPr>
        <w:t>ping</w:t>
      </w:r>
      <w:r w:rsidR="00F4497D" w:rsidRPr="0085661D">
        <w:rPr>
          <w:i/>
          <w:sz w:val="22"/>
          <w:szCs w:val="22"/>
        </w:rPr>
        <w:t xml:space="preserve"> testing.</w:t>
      </w:r>
      <w:r>
        <w:rPr>
          <w:i/>
          <w:sz w:val="22"/>
          <w:szCs w:val="22"/>
        </w:rPr>
        <w:t>}</w:t>
      </w:r>
    </w:p>
    <w:p w:rsidR="00ED7CCC" w:rsidRDefault="00194F56" w:rsidP="00ED7CCC">
      <w:pPr>
        <w:spacing w:after="60"/>
        <w:outlineLvl w:val="0"/>
        <w:rPr>
          <w:sz w:val="22"/>
          <w:szCs w:val="22"/>
        </w:rPr>
      </w:pPr>
      <w:r>
        <w:rPr>
          <w:sz w:val="22"/>
          <w:szCs w:val="22"/>
        </w:rPr>
        <w:t>GREC</w:t>
      </w:r>
      <w:r w:rsidR="006A570A">
        <w:rPr>
          <w:sz w:val="22"/>
          <w:szCs w:val="22"/>
        </w:rPr>
        <w:t>, LLC</w:t>
      </w:r>
      <w:r w:rsidR="00ED7CCC">
        <w:rPr>
          <w:sz w:val="22"/>
          <w:szCs w:val="22"/>
        </w:rPr>
        <w:t xml:space="preserve"> also requested several other minor changes be accomplished during this project.  Specifically, </w:t>
      </w:r>
      <w:r>
        <w:rPr>
          <w:sz w:val="22"/>
          <w:szCs w:val="22"/>
        </w:rPr>
        <w:t>they</w:t>
      </w:r>
      <w:r w:rsidR="006A570A">
        <w:rPr>
          <w:sz w:val="22"/>
          <w:szCs w:val="22"/>
        </w:rPr>
        <w:t xml:space="preserve"> </w:t>
      </w:r>
      <w:r w:rsidR="00ED7CCC">
        <w:rPr>
          <w:sz w:val="22"/>
          <w:szCs w:val="22"/>
        </w:rPr>
        <w:t>requested:</w:t>
      </w:r>
    </w:p>
    <w:p w:rsidR="00ED7CCC" w:rsidRDefault="00ED7CCC" w:rsidP="00ED7CCC">
      <w:pPr>
        <w:pStyle w:val="ListParagraph"/>
        <w:numPr>
          <w:ilvl w:val="0"/>
          <w:numId w:val="40"/>
        </w:numPr>
        <w:spacing w:after="60"/>
        <w:ind w:left="360"/>
        <w:contextualSpacing w:val="0"/>
        <w:outlineLvl w:val="0"/>
        <w:rPr>
          <w:sz w:val="22"/>
          <w:szCs w:val="22"/>
        </w:rPr>
      </w:pPr>
      <w:r>
        <w:rPr>
          <w:sz w:val="22"/>
          <w:szCs w:val="22"/>
        </w:rPr>
        <w:t>Indicate that the GREC BFB boiler is not subject to the Clean Air Interstate Rule (CAIR);</w:t>
      </w:r>
    </w:p>
    <w:p w:rsidR="00ED7CCC" w:rsidRDefault="00ED7CCC" w:rsidP="00ED7CCC">
      <w:pPr>
        <w:pStyle w:val="ListParagraph"/>
        <w:numPr>
          <w:ilvl w:val="0"/>
          <w:numId w:val="40"/>
        </w:numPr>
        <w:spacing w:after="60"/>
        <w:ind w:left="360"/>
        <w:contextualSpacing w:val="0"/>
        <w:outlineLvl w:val="0"/>
        <w:rPr>
          <w:sz w:val="22"/>
          <w:szCs w:val="22"/>
        </w:rPr>
      </w:pPr>
      <w:r>
        <w:rPr>
          <w:sz w:val="22"/>
          <w:szCs w:val="22"/>
        </w:rPr>
        <w:t xml:space="preserve">Include the latest version of NSPS Subpart Da - </w:t>
      </w:r>
      <w:r w:rsidRPr="00C03B56">
        <w:rPr>
          <w:sz w:val="22"/>
          <w:szCs w:val="22"/>
        </w:rPr>
        <w:t>Standards of Performance for Electric Utility Steam Generating Units for Which Construction Is Commenced After September 18, 1978</w:t>
      </w:r>
      <w:r>
        <w:rPr>
          <w:sz w:val="22"/>
          <w:szCs w:val="22"/>
        </w:rPr>
        <w:t xml:space="preserve">, which was </w:t>
      </w:r>
      <w:r w:rsidR="00210971">
        <w:rPr>
          <w:sz w:val="22"/>
          <w:szCs w:val="22"/>
        </w:rPr>
        <w:t>amended</w:t>
      </w:r>
      <w:r>
        <w:rPr>
          <w:sz w:val="22"/>
          <w:szCs w:val="22"/>
        </w:rPr>
        <w:t xml:space="preserve"> on April 24, 2013</w:t>
      </w:r>
      <w:r w:rsidR="00210971">
        <w:rPr>
          <w:sz w:val="22"/>
          <w:szCs w:val="22"/>
        </w:rPr>
        <w:t xml:space="preserve">.  </w:t>
      </w:r>
      <w:r w:rsidR="00C03B09" w:rsidRPr="00210971">
        <w:rPr>
          <w:i/>
          <w:sz w:val="22"/>
          <w:szCs w:val="22"/>
        </w:rPr>
        <w:t>{Note</w:t>
      </w:r>
      <w:r w:rsidR="00210971" w:rsidRPr="00210971">
        <w:rPr>
          <w:i/>
          <w:sz w:val="22"/>
          <w:szCs w:val="22"/>
        </w:rPr>
        <w:t xml:space="preserve">: the GREC BFB </w:t>
      </w:r>
      <w:r w:rsidR="00C03B09">
        <w:rPr>
          <w:i/>
          <w:sz w:val="22"/>
          <w:szCs w:val="22"/>
        </w:rPr>
        <w:t>b</w:t>
      </w:r>
      <w:r w:rsidR="00210971" w:rsidRPr="00210971">
        <w:rPr>
          <w:i/>
          <w:sz w:val="22"/>
          <w:szCs w:val="22"/>
        </w:rPr>
        <w:t>oiler is consider</w:t>
      </w:r>
      <w:r w:rsidR="00C03B09">
        <w:rPr>
          <w:i/>
          <w:sz w:val="22"/>
          <w:szCs w:val="22"/>
        </w:rPr>
        <w:t>ed</w:t>
      </w:r>
      <w:r w:rsidR="00210971" w:rsidRPr="00210971">
        <w:rPr>
          <w:i/>
          <w:sz w:val="22"/>
          <w:szCs w:val="22"/>
        </w:rPr>
        <w:t xml:space="preserve"> an existing unit under this subpart.}</w:t>
      </w:r>
      <w:r>
        <w:rPr>
          <w:sz w:val="22"/>
          <w:szCs w:val="22"/>
        </w:rPr>
        <w:t>;</w:t>
      </w:r>
    </w:p>
    <w:p w:rsidR="00ED7CCC" w:rsidRDefault="008F609E" w:rsidP="00ED7CCC">
      <w:pPr>
        <w:pStyle w:val="ListParagraph"/>
        <w:numPr>
          <w:ilvl w:val="0"/>
          <w:numId w:val="40"/>
        </w:numPr>
        <w:spacing w:after="60"/>
        <w:ind w:left="360"/>
        <w:contextualSpacing w:val="0"/>
        <w:outlineLvl w:val="0"/>
        <w:rPr>
          <w:sz w:val="22"/>
          <w:szCs w:val="22"/>
        </w:rPr>
      </w:pPr>
      <w:r>
        <w:rPr>
          <w:sz w:val="22"/>
          <w:szCs w:val="22"/>
        </w:rPr>
        <w:t xml:space="preserve">To provide </w:t>
      </w:r>
      <w:r w:rsidR="00C03B09">
        <w:rPr>
          <w:sz w:val="22"/>
          <w:szCs w:val="22"/>
        </w:rPr>
        <w:t>consistency</w:t>
      </w:r>
      <w:r>
        <w:rPr>
          <w:sz w:val="22"/>
          <w:szCs w:val="22"/>
        </w:rPr>
        <w:t xml:space="preserve"> in the permit, indicate that trona </w:t>
      </w:r>
      <w:r w:rsidRPr="008F609E">
        <w:rPr>
          <w:sz w:val="22"/>
          <w:szCs w:val="22"/>
        </w:rPr>
        <w:t xml:space="preserve">or </w:t>
      </w:r>
      <w:r w:rsidR="00C03B09">
        <w:rPr>
          <w:sz w:val="22"/>
          <w:szCs w:val="22"/>
        </w:rPr>
        <w:t xml:space="preserve">its </w:t>
      </w:r>
      <w:r w:rsidRPr="008F609E">
        <w:rPr>
          <w:sz w:val="22"/>
          <w:szCs w:val="22"/>
        </w:rPr>
        <w:t>equivalent</w:t>
      </w:r>
      <w:r w:rsidR="00687C7F">
        <w:rPr>
          <w:sz w:val="22"/>
          <w:szCs w:val="22"/>
        </w:rPr>
        <w:t xml:space="preserve"> sorbent</w:t>
      </w:r>
      <w:r>
        <w:rPr>
          <w:sz w:val="22"/>
          <w:szCs w:val="22"/>
        </w:rPr>
        <w:t xml:space="preserve"> can be used for acid gas control;</w:t>
      </w:r>
    </w:p>
    <w:p w:rsidR="008F609E" w:rsidRDefault="008F609E" w:rsidP="00ED7CCC">
      <w:pPr>
        <w:pStyle w:val="ListParagraph"/>
        <w:numPr>
          <w:ilvl w:val="0"/>
          <w:numId w:val="40"/>
        </w:numPr>
        <w:spacing w:after="60"/>
        <w:ind w:left="360"/>
        <w:contextualSpacing w:val="0"/>
        <w:outlineLvl w:val="0"/>
        <w:rPr>
          <w:sz w:val="22"/>
          <w:szCs w:val="22"/>
        </w:rPr>
      </w:pPr>
      <w:r>
        <w:rPr>
          <w:sz w:val="22"/>
          <w:szCs w:val="22"/>
        </w:rPr>
        <w:t>Clarify what federal requirements apply to the ammonia (NH</w:t>
      </w:r>
      <w:r w:rsidRPr="008F609E">
        <w:rPr>
          <w:sz w:val="22"/>
          <w:szCs w:val="22"/>
          <w:vertAlign w:val="subscript"/>
        </w:rPr>
        <w:t>3</w:t>
      </w:r>
      <w:r>
        <w:rPr>
          <w:sz w:val="22"/>
          <w:szCs w:val="22"/>
        </w:rPr>
        <w:t>) storage tank; and</w:t>
      </w:r>
    </w:p>
    <w:p w:rsidR="008F609E" w:rsidRPr="008F609E" w:rsidRDefault="008F609E" w:rsidP="00ED7CCC">
      <w:pPr>
        <w:pStyle w:val="ListParagraph"/>
        <w:numPr>
          <w:ilvl w:val="0"/>
          <w:numId w:val="40"/>
        </w:numPr>
        <w:spacing w:after="60"/>
        <w:ind w:left="360"/>
        <w:contextualSpacing w:val="0"/>
        <w:outlineLvl w:val="0"/>
        <w:rPr>
          <w:sz w:val="22"/>
          <w:szCs w:val="22"/>
        </w:rPr>
      </w:pPr>
      <w:r w:rsidRPr="008F609E">
        <w:rPr>
          <w:sz w:val="22"/>
          <w:szCs w:val="22"/>
        </w:rPr>
        <w:t>Correct the description of the cooling tower to accurately reflect the as-built configuration.</w:t>
      </w:r>
    </w:p>
    <w:p w:rsidR="006E2E51" w:rsidRPr="00F249DC" w:rsidRDefault="00F249DC" w:rsidP="00F249DC">
      <w:pPr>
        <w:numPr>
          <w:ilvl w:val="1"/>
          <w:numId w:val="5"/>
        </w:numPr>
        <w:tabs>
          <w:tab w:val="left" w:pos="720"/>
        </w:tabs>
        <w:spacing w:before="120" w:after="120"/>
        <w:ind w:left="720" w:hanging="720"/>
        <w:jc w:val="both"/>
        <w:outlineLvl w:val="0"/>
        <w:rPr>
          <w:b/>
          <w:sz w:val="22"/>
          <w:szCs w:val="22"/>
        </w:rPr>
      </w:pPr>
      <w:r w:rsidRPr="00874C42">
        <w:rPr>
          <w:b/>
          <w:bCs/>
          <w:sz w:val="22"/>
          <w:szCs w:val="22"/>
        </w:rPr>
        <w:t>Processing Schedule</w:t>
      </w:r>
    </w:p>
    <w:p w:rsidR="00F249DC" w:rsidRDefault="00950158" w:rsidP="00950158">
      <w:pPr>
        <w:numPr>
          <w:ilvl w:val="0"/>
          <w:numId w:val="37"/>
        </w:numPr>
        <w:tabs>
          <w:tab w:val="left" w:pos="360"/>
          <w:tab w:val="left" w:pos="2430"/>
        </w:tabs>
        <w:spacing w:after="60"/>
        <w:ind w:left="2430" w:hanging="2430"/>
        <w:rPr>
          <w:sz w:val="22"/>
          <w:szCs w:val="22"/>
        </w:rPr>
      </w:pPr>
      <w:r>
        <w:rPr>
          <w:sz w:val="22"/>
          <w:szCs w:val="22"/>
        </w:rPr>
        <w:t>September 17</w:t>
      </w:r>
      <w:r w:rsidR="00F249DC">
        <w:rPr>
          <w:sz w:val="22"/>
          <w:szCs w:val="22"/>
        </w:rPr>
        <w:t>, 2013</w:t>
      </w:r>
      <w:r w:rsidR="00F249DC">
        <w:rPr>
          <w:sz w:val="22"/>
          <w:szCs w:val="22"/>
        </w:rPr>
        <w:tab/>
        <w:t xml:space="preserve">The Department received a </w:t>
      </w:r>
      <w:r>
        <w:rPr>
          <w:sz w:val="22"/>
          <w:szCs w:val="22"/>
        </w:rPr>
        <w:t>minor</w:t>
      </w:r>
      <w:r w:rsidR="00F249DC">
        <w:rPr>
          <w:sz w:val="22"/>
          <w:szCs w:val="22"/>
        </w:rPr>
        <w:t xml:space="preserve"> air construction permit application from </w:t>
      </w:r>
      <w:r>
        <w:rPr>
          <w:sz w:val="22"/>
          <w:szCs w:val="22"/>
        </w:rPr>
        <w:t>GREC, LLC</w:t>
      </w:r>
      <w:r w:rsidR="00F249DC">
        <w:rPr>
          <w:sz w:val="22"/>
          <w:szCs w:val="22"/>
        </w:rPr>
        <w:t xml:space="preserve"> </w:t>
      </w:r>
      <w:r>
        <w:rPr>
          <w:sz w:val="22"/>
          <w:szCs w:val="22"/>
        </w:rPr>
        <w:t>to incorporate NESHAP Subpart DDDDD requirements for the GREC BFB Boiler into their construction permit</w:t>
      </w:r>
      <w:r w:rsidR="00F249DC">
        <w:rPr>
          <w:sz w:val="22"/>
          <w:szCs w:val="22"/>
        </w:rPr>
        <w:t>.</w:t>
      </w:r>
      <w:r w:rsidR="00F249DC" w:rsidRPr="003B15E4">
        <w:rPr>
          <w:sz w:val="22"/>
          <w:szCs w:val="22"/>
        </w:rPr>
        <w:t xml:space="preserve"> </w:t>
      </w:r>
    </w:p>
    <w:p w:rsidR="00F249DC" w:rsidRPr="00050E4F" w:rsidRDefault="00F249DC" w:rsidP="00950158">
      <w:pPr>
        <w:numPr>
          <w:ilvl w:val="0"/>
          <w:numId w:val="37"/>
        </w:numPr>
        <w:tabs>
          <w:tab w:val="left" w:pos="360"/>
          <w:tab w:val="left" w:pos="2430"/>
        </w:tabs>
        <w:spacing w:after="120"/>
        <w:ind w:left="2434" w:hanging="2434"/>
        <w:rPr>
          <w:sz w:val="22"/>
          <w:szCs w:val="22"/>
        </w:rPr>
      </w:pPr>
      <w:r w:rsidRPr="003A41F3">
        <w:rPr>
          <w:sz w:val="22"/>
          <w:szCs w:val="22"/>
        </w:rPr>
        <w:t xml:space="preserve">October </w:t>
      </w:r>
      <w:r w:rsidR="00636F78">
        <w:rPr>
          <w:sz w:val="22"/>
          <w:szCs w:val="22"/>
        </w:rPr>
        <w:t>8</w:t>
      </w:r>
      <w:r w:rsidRPr="003A41F3">
        <w:rPr>
          <w:sz w:val="22"/>
          <w:szCs w:val="22"/>
        </w:rPr>
        <w:t>, 2013</w:t>
      </w:r>
      <w:r w:rsidRPr="00050E4F">
        <w:rPr>
          <w:sz w:val="22"/>
          <w:szCs w:val="22"/>
        </w:rPr>
        <w:tab/>
      </w:r>
      <w:r>
        <w:rPr>
          <w:sz w:val="22"/>
          <w:szCs w:val="22"/>
        </w:rPr>
        <w:t xml:space="preserve">The </w:t>
      </w:r>
      <w:r w:rsidRPr="00050E4F">
        <w:rPr>
          <w:sz w:val="22"/>
          <w:szCs w:val="22"/>
        </w:rPr>
        <w:t xml:space="preserve">Department </w:t>
      </w:r>
      <w:r>
        <w:rPr>
          <w:sz w:val="22"/>
          <w:szCs w:val="22"/>
        </w:rPr>
        <w:t>issued draft minor source air construction permit package</w:t>
      </w:r>
      <w:r w:rsidR="00950158">
        <w:rPr>
          <w:sz w:val="22"/>
          <w:szCs w:val="22"/>
        </w:rPr>
        <w:t>.</w:t>
      </w:r>
    </w:p>
    <w:p w:rsidR="003059BE" w:rsidRPr="000F0BA4" w:rsidRDefault="00F249DC" w:rsidP="00F249DC">
      <w:pPr>
        <w:numPr>
          <w:ilvl w:val="0"/>
          <w:numId w:val="5"/>
        </w:numPr>
        <w:tabs>
          <w:tab w:val="left" w:pos="720"/>
        </w:tabs>
        <w:spacing w:after="120"/>
        <w:ind w:left="720" w:hanging="720"/>
        <w:outlineLvl w:val="0"/>
        <w:rPr>
          <w:b/>
          <w:caps/>
          <w:sz w:val="22"/>
          <w:szCs w:val="22"/>
        </w:rPr>
      </w:pPr>
      <w:r>
        <w:rPr>
          <w:b/>
          <w:caps/>
          <w:sz w:val="22"/>
          <w:szCs w:val="22"/>
        </w:rPr>
        <w:t>PSD</w:t>
      </w:r>
      <w:r w:rsidR="003059BE" w:rsidRPr="000F0BA4">
        <w:rPr>
          <w:b/>
          <w:caps/>
          <w:sz w:val="22"/>
          <w:szCs w:val="22"/>
        </w:rPr>
        <w:t xml:space="preserve"> Applicability</w:t>
      </w:r>
      <w:r>
        <w:rPr>
          <w:b/>
          <w:caps/>
          <w:sz w:val="22"/>
          <w:szCs w:val="22"/>
        </w:rPr>
        <w:t xml:space="preserve"> review</w:t>
      </w:r>
    </w:p>
    <w:p w:rsidR="000E3BB7" w:rsidRPr="000F0BA4" w:rsidRDefault="00F249DC" w:rsidP="00F249DC">
      <w:pPr>
        <w:numPr>
          <w:ilvl w:val="1"/>
          <w:numId w:val="5"/>
        </w:numPr>
        <w:tabs>
          <w:tab w:val="left" w:pos="720"/>
        </w:tabs>
        <w:spacing w:after="120"/>
        <w:ind w:left="720" w:hanging="720"/>
        <w:outlineLvl w:val="0"/>
        <w:rPr>
          <w:b/>
          <w:sz w:val="22"/>
          <w:szCs w:val="22"/>
          <w:u w:val="single"/>
        </w:rPr>
      </w:pPr>
      <w:r w:rsidRPr="00193F10">
        <w:rPr>
          <w:b/>
          <w:sz w:val="22"/>
        </w:rPr>
        <w:t xml:space="preserve">General </w:t>
      </w:r>
      <w:r>
        <w:rPr>
          <w:b/>
          <w:sz w:val="22"/>
        </w:rPr>
        <w:t xml:space="preserve">PSD </w:t>
      </w:r>
      <w:r w:rsidRPr="00193F10">
        <w:rPr>
          <w:b/>
          <w:sz w:val="22"/>
        </w:rPr>
        <w:t>Applicability</w:t>
      </w:r>
    </w:p>
    <w:p w:rsidR="00F249DC" w:rsidRDefault="00F249DC" w:rsidP="00F249DC">
      <w:pPr>
        <w:widowControl w:val="0"/>
        <w:spacing w:after="120"/>
        <w:rPr>
          <w:rFonts w:eastAsia="Calibri"/>
          <w:sz w:val="22"/>
          <w:szCs w:val="22"/>
        </w:rPr>
      </w:pPr>
      <w:r w:rsidRPr="005C0768">
        <w:rPr>
          <w:rFonts w:eastAsia="Calibri"/>
          <w:sz w:val="22"/>
          <w:szCs w:val="22"/>
        </w:rPr>
        <w:t xml:space="preserve">The Department regulates major stationary sources in accordance with Florida’s PSD program pursuant to Rule 62-212.400, F.A.C.  PSD preconstruction review is required in areas that are currently in attainment with the state and federal </w:t>
      </w:r>
      <w:r>
        <w:rPr>
          <w:rFonts w:eastAsia="Calibri"/>
          <w:sz w:val="22"/>
          <w:szCs w:val="22"/>
        </w:rPr>
        <w:t>ambient air quality standards (</w:t>
      </w:r>
      <w:r w:rsidRPr="005C0768">
        <w:rPr>
          <w:rFonts w:eastAsia="Calibri"/>
          <w:sz w:val="22"/>
          <w:szCs w:val="22"/>
        </w:rPr>
        <w:t>AAQS</w:t>
      </w:r>
      <w:r>
        <w:rPr>
          <w:rFonts w:eastAsia="Calibri"/>
          <w:sz w:val="22"/>
          <w:szCs w:val="22"/>
        </w:rPr>
        <w:t>)</w:t>
      </w:r>
      <w:r w:rsidRPr="005C0768">
        <w:rPr>
          <w:rFonts w:eastAsia="Calibri"/>
          <w:sz w:val="22"/>
          <w:szCs w:val="22"/>
        </w:rPr>
        <w:t xml:space="preserve"> or areas designated as “unclassifiable” for these regulated pollutants.  </w:t>
      </w:r>
      <w:r>
        <w:rPr>
          <w:rFonts w:eastAsia="Calibri"/>
          <w:sz w:val="22"/>
          <w:szCs w:val="22"/>
        </w:rPr>
        <w:t xml:space="preserve">Commonly addressed </w:t>
      </w:r>
      <w:r w:rsidRPr="005C0768">
        <w:rPr>
          <w:rFonts w:eastAsia="Calibri"/>
          <w:sz w:val="22"/>
          <w:szCs w:val="22"/>
        </w:rPr>
        <w:t xml:space="preserve">PSD pollutants </w:t>
      </w:r>
      <w:r>
        <w:rPr>
          <w:rFonts w:eastAsia="Calibri"/>
          <w:sz w:val="22"/>
          <w:szCs w:val="22"/>
        </w:rPr>
        <w:t xml:space="preserve">in the power industry </w:t>
      </w:r>
      <w:r w:rsidRPr="005C0768">
        <w:rPr>
          <w:rFonts w:eastAsia="Calibri"/>
          <w:sz w:val="22"/>
          <w:szCs w:val="22"/>
        </w:rPr>
        <w:t>include: CO</w:t>
      </w:r>
      <w:r>
        <w:rPr>
          <w:rFonts w:eastAsia="Calibri"/>
          <w:sz w:val="22"/>
          <w:szCs w:val="22"/>
        </w:rPr>
        <w:t>,</w:t>
      </w:r>
      <w:r w:rsidRPr="005C0768">
        <w:rPr>
          <w:rFonts w:eastAsia="Calibri"/>
          <w:sz w:val="22"/>
          <w:szCs w:val="22"/>
        </w:rPr>
        <w:t xml:space="preserve"> </w:t>
      </w:r>
      <w:r w:rsidR="00BA68F0">
        <w:rPr>
          <w:rFonts w:eastAsia="Calibri"/>
          <w:sz w:val="22"/>
          <w:szCs w:val="22"/>
        </w:rPr>
        <w:t>nitrogen oxides (</w:t>
      </w:r>
      <w:r w:rsidRPr="005C0768">
        <w:rPr>
          <w:rFonts w:eastAsia="Calibri"/>
          <w:sz w:val="22"/>
          <w:szCs w:val="22"/>
        </w:rPr>
        <w:t>NO</w:t>
      </w:r>
      <w:r w:rsidRPr="007B78BD">
        <w:rPr>
          <w:rFonts w:eastAsia="Calibri"/>
          <w:sz w:val="22"/>
          <w:szCs w:val="22"/>
          <w:vertAlign w:val="subscript"/>
        </w:rPr>
        <w:t>X</w:t>
      </w:r>
      <w:r w:rsidR="00BA68F0">
        <w:rPr>
          <w:rFonts w:eastAsia="Calibri"/>
          <w:sz w:val="22"/>
          <w:szCs w:val="22"/>
        </w:rPr>
        <w:t>)</w:t>
      </w:r>
      <w:r>
        <w:rPr>
          <w:rFonts w:eastAsia="Calibri"/>
          <w:sz w:val="22"/>
          <w:szCs w:val="22"/>
        </w:rPr>
        <w:t>, PM,</w:t>
      </w:r>
      <w:r w:rsidRPr="005C0768">
        <w:rPr>
          <w:rFonts w:eastAsia="Calibri"/>
          <w:sz w:val="22"/>
          <w:szCs w:val="22"/>
        </w:rPr>
        <w:t xml:space="preserve"> </w:t>
      </w:r>
      <w:r>
        <w:rPr>
          <w:rFonts w:eastAsia="Calibri"/>
          <w:sz w:val="22"/>
          <w:szCs w:val="22"/>
        </w:rPr>
        <w:t>PM with a mean diameter of 10 microns or less (</w:t>
      </w:r>
      <w:r w:rsidRPr="005C0768">
        <w:rPr>
          <w:rFonts w:eastAsia="Calibri"/>
          <w:sz w:val="22"/>
          <w:szCs w:val="22"/>
        </w:rPr>
        <w:t>PM</w:t>
      </w:r>
      <w:r w:rsidRPr="00DB5285">
        <w:rPr>
          <w:rFonts w:eastAsia="Calibri"/>
          <w:sz w:val="22"/>
          <w:szCs w:val="22"/>
          <w:vertAlign w:val="subscript"/>
        </w:rPr>
        <w:t>10</w:t>
      </w:r>
      <w:r>
        <w:rPr>
          <w:rFonts w:eastAsia="Calibri"/>
          <w:sz w:val="22"/>
          <w:szCs w:val="22"/>
        </w:rPr>
        <w:t>),</w:t>
      </w:r>
      <w:r w:rsidRPr="005C0768">
        <w:rPr>
          <w:rFonts w:eastAsia="Calibri"/>
          <w:sz w:val="22"/>
          <w:szCs w:val="22"/>
        </w:rPr>
        <w:t xml:space="preserve"> </w:t>
      </w:r>
      <w:r>
        <w:rPr>
          <w:rFonts w:eastAsia="Calibri"/>
          <w:sz w:val="22"/>
          <w:szCs w:val="22"/>
        </w:rPr>
        <w:t>PM with a mean diameter of 2.5 microns or less (</w:t>
      </w:r>
      <w:r w:rsidRPr="005C0768">
        <w:rPr>
          <w:rFonts w:eastAsia="Calibri"/>
          <w:sz w:val="22"/>
          <w:szCs w:val="22"/>
        </w:rPr>
        <w:t>PM</w:t>
      </w:r>
      <w:r>
        <w:rPr>
          <w:rFonts w:eastAsia="Calibri"/>
          <w:sz w:val="22"/>
          <w:szCs w:val="22"/>
          <w:vertAlign w:val="subscript"/>
        </w:rPr>
        <w:t>2.5</w:t>
      </w:r>
      <w:r>
        <w:rPr>
          <w:rFonts w:eastAsia="Calibri"/>
          <w:sz w:val="22"/>
          <w:szCs w:val="22"/>
        </w:rPr>
        <w:t>), sulfur dioxide (SO</w:t>
      </w:r>
      <w:r w:rsidRPr="00CC5837">
        <w:rPr>
          <w:rFonts w:eastAsia="Calibri"/>
          <w:sz w:val="22"/>
          <w:szCs w:val="22"/>
          <w:vertAlign w:val="subscript"/>
        </w:rPr>
        <w:t>2</w:t>
      </w:r>
      <w:r>
        <w:rPr>
          <w:rFonts w:eastAsia="Calibri"/>
          <w:sz w:val="22"/>
          <w:szCs w:val="22"/>
        </w:rPr>
        <w:t xml:space="preserve">), </w:t>
      </w:r>
      <w:r w:rsidRPr="005C0768">
        <w:rPr>
          <w:rFonts w:eastAsia="Calibri"/>
          <w:sz w:val="22"/>
          <w:szCs w:val="22"/>
        </w:rPr>
        <w:t>volatil</w:t>
      </w:r>
      <w:r>
        <w:rPr>
          <w:rFonts w:eastAsia="Calibri"/>
          <w:sz w:val="22"/>
          <w:szCs w:val="22"/>
        </w:rPr>
        <w:t>e organic compounds (VOC), Pb,</w:t>
      </w:r>
      <w:r w:rsidRPr="005C0768">
        <w:rPr>
          <w:rFonts w:eastAsia="Calibri"/>
          <w:sz w:val="22"/>
          <w:szCs w:val="22"/>
        </w:rPr>
        <w:t xml:space="preserve"> </w:t>
      </w:r>
      <w:r>
        <w:rPr>
          <w:rFonts w:eastAsia="Calibri"/>
          <w:sz w:val="22"/>
          <w:szCs w:val="22"/>
        </w:rPr>
        <w:t>f</w:t>
      </w:r>
      <w:r w:rsidRPr="005C0768">
        <w:rPr>
          <w:rFonts w:eastAsia="Calibri"/>
          <w:sz w:val="22"/>
          <w:szCs w:val="22"/>
        </w:rPr>
        <w:t>luorides</w:t>
      </w:r>
      <w:r>
        <w:rPr>
          <w:rFonts w:eastAsia="Calibri"/>
          <w:sz w:val="22"/>
          <w:szCs w:val="22"/>
        </w:rPr>
        <w:t xml:space="preserve"> (F),</w:t>
      </w:r>
      <w:r w:rsidRPr="005C0768">
        <w:rPr>
          <w:rFonts w:eastAsia="Calibri"/>
          <w:sz w:val="22"/>
          <w:szCs w:val="22"/>
        </w:rPr>
        <w:t xml:space="preserve"> sulfuric acid mist (SAM)</w:t>
      </w:r>
      <w:r>
        <w:rPr>
          <w:rFonts w:eastAsia="Calibri"/>
          <w:sz w:val="22"/>
          <w:szCs w:val="22"/>
        </w:rPr>
        <w:t xml:space="preserve">, and </w:t>
      </w:r>
      <w:r w:rsidR="00BA68F0">
        <w:rPr>
          <w:rFonts w:eastAsia="Calibri"/>
          <w:sz w:val="22"/>
          <w:szCs w:val="22"/>
        </w:rPr>
        <w:t>Hg</w:t>
      </w:r>
      <w:r>
        <w:rPr>
          <w:rFonts w:eastAsia="Calibri"/>
          <w:sz w:val="22"/>
          <w:szCs w:val="22"/>
        </w:rPr>
        <w:t xml:space="preserve">.  </w:t>
      </w:r>
    </w:p>
    <w:p w:rsidR="00F249DC" w:rsidRPr="004E4744" w:rsidRDefault="00F249DC" w:rsidP="00F249DC">
      <w:pPr>
        <w:widowControl w:val="0"/>
        <w:spacing w:after="120"/>
        <w:rPr>
          <w:rFonts w:eastAsia="Calibri"/>
          <w:sz w:val="22"/>
          <w:szCs w:val="22"/>
        </w:rPr>
      </w:pPr>
      <w:r>
        <w:rPr>
          <w:rFonts w:eastAsia="Calibri"/>
          <w:sz w:val="22"/>
          <w:szCs w:val="22"/>
        </w:rPr>
        <w:t>Additional PSD pollutants that are more common to certain other industries include:</w:t>
      </w:r>
      <w:r w:rsidRPr="005C0768">
        <w:rPr>
          <w:rFonts w:eastAsia="Calibri"/>
          <w:sz w:val="22"/>
          <w:szCs w:val="22"/>
        </w:rPr>
        <w:t xml:space="preserve"> </w:t>
      </w:r>
      <w:r>
        <w:rPr>
          <w:rFonts w:eastAsia="Calibri"/>
          <w:sz w:val="22"/>
          <w:szCs w:val="22"/>
        </w:rPr>
        <w:t>hydrogen sulfide (</w:t>
      </w:r>
      <w:r w:rsidRPr="005C0768">
        <w:rPr>
          <w:rFonts w:eastAsia="Calibri"/>
          <w:sz w:val="22"/>
          <w:szCs w:val="22"/>
        </w:rPr>
        <w:t>H</w:t>
      </w:r>
      <w:r w:rsidRPr="007B78BD">
        <w:rPr>
          <w:rFonts w:eastAsia="Calibri"/>
          <w:sz w:val="22"/>
          <w:szCs w:val="22"/>
          <w:vertAlign w:val="subscript"/>
        </w:rPr>
        <w:t>2</w:t>
      </w:r>
      <w:r w:rsidRPr="005C0768">
        <w:rPr>
          <w:rFonts w:eastAsia="Calibri"/>
          <w:sz w:val="22"/>
          <w:szCs w:val="22"/>
        </w:rPr>
        <w:t>S</w:t>
      </w:r>
      <w:r>
        <w:rPr>
          <w:rFonts w:eastAsia="Calibri"/>
          <w:sz w:val="22"/>
          <w:szCs w:val="22"/>
        </w:rPr>
        <w:t xml:space="preserve">), </w:t>
      </w:r>
      <w:r w:rsidR="00687C7F">
        <w:rPr>
          <w:rFonts w:eastAsia="Calibri"/>
          <w:sz w:val="22"/>
          <w:szCs w:val="22"/>
        </w:rPr>
        <w:t>total reduced sulfur (</w:t>
      </w:r>
      <w:r w:rsidRPr="005C0768">
        <w:rPr>
          <w:rFonts w:eastAsia="Calibri"/>
          <w:sz w:val="22"/>
          <w:szCs w:val="22"/>
        </w:rPr>
        <w:t>TRS</w:t>
      </w:r>
      <w:r w:rsidR="00687C7F">
        <w:rPr>
          <w:rFonts w:eastAsia="Calibri"/>
          <w:sz w:val="22"/>
          <w:szCs w:val="22"/>
        </w:rPr>
        <w:t>)</w:t>
      </w:r>
      <w:r w:rsidRPr="005C0768">
        <w:rPr>
          <w:rFonts w:eastAsia="Calibri"/>
          <w:sz w:val="22"/>
          <w:szCs w:val="22"/>
        </w:rPr>
        <w:t xml:space="preserve"> including H</w:t>
      </w:r>
      <w:r w:rsidRPr="007B78BD">
        <w:rPr>
          <w:rFonts w:eastAsia="Calibri"/>
          <w:sz w:val="22"/>
          <w:szCs w:val="22"/>
          <w:vertAlign w:val="subscript"/>
        </w:rPr>
        <w:t>2</w:t>
      </w:r>
      <w:r w:rsidRPr="005C0768">
        <w:rPr>
          <w:rFonts w:eastAsia="Calibri"/>
          <w:sz w:val="22"/>
          <w:szCs w:val="22"/>
        </w:rPr>
        <w:t>S</w:t>
      </w:r>
      <w:r>
        <w:rPr>
          <w:rFonts w:eastAsia="Calibri"/>
          <w:sz w:val="22"/>
          <w:szCs w:val="22"/>
        </w:rPr>
        <w:t>, reduced sulfur compounds (RSC) including H</w:t>
      </w:r>
      <w:r w:rsidRPr="00F81267">
        <w:rPr>
          <w:rFonts w:eastAsia="Calibri"/>
          <w:sz w:val="22"/>
          <w:szCs w:val="22"/>
          <w:vertAlign w:val="subscript"/>
        </w:rPr>
        <w:t>2</w:t>
      </w:r>
      <w:r>
        <w:rPr>
          <w:rFonts w:eastAsia="Calibri"/>
          <w:sz w:val="22"/>
          <w:szCs w:val="22"/>
        </w:rPr>
        <w:t>S, municipal waste combustor (</w:t>
      </w:r>
      <w:r w:rsidRPr="005C0768">
        <w:rPr>
          <w:rFonts w:eastAsia="Calibri"/>
          <w:sz w:val="22"/>
          <w:szCs w:val="22"/>
        </w:rPr>
        <w:t>MWC</w:t>
      </w:r>
      <w:r>
        <w:rPr>
          <w:rFonts w:eastAsia="Calibri"/>
          <w:sz w:val="22"/>
          <w:szCs w:val="22"/>
        </w:rPr>
        <w:t>)</w:t>
      </w:r>
      <w:r w:rsidRPr="005C0768">
        <w:rPr>
          <w:rFonts w:eastAsia="Calibri"/>
          <w:sz w:val="22"/>
          <w:szCs w:val="22"/>
        </w:rPr>
        <w:t xml:space="preserve"> organics measured as total tetra- through octa-chlorinated dibenzo-p-dioxins and dibenzofurans (</w:t>
      </w:r>
      <w:r>
        <w:rPr>
          <w:rFonts w:eastAsia="Calibri"/>
          <w:sz w:val="22"/>
          <w:szCs w:val="22"/>
        </w:rPr>
        <w:t xml:space="preserve">dioxin/furan), </w:t>
      </w:r>
      <w:r w:rsidRPr="005C0768">
        <w:rPr>
          <w:rFonts w:eastAsia="Calibri"/>
          <w:sz w:val="22"/>
          <w:szCs w:val="22"/>
        </w:rPr>
        <w:t xml:space="preserve">MWC metals measured as PM; MWC acid gases </w:t>
      </w:r>
      <w:r w:rsidRPr="004E4744">
        <w:rPr>
          <w:rFonts w:eastAsia="Calibri"/>
          <w:sz w:val="22"/>
          <w:szCs w:val="22"/>
        </w:rPr>
        <w:t>measured as SO</w:t>
      </w:r>
      <w:r w:rsidRPr="004E4744">
        <w:rPr>
          <w:rFonts w:eastAsia="Calibri"/>
          <w:sz w:val="22"/>
          <w:szCs w:val="22"/>
          <w:vertAlign w:val="subscript"/>
        </w:rPr>
        <w:t>2</w:t>
      </w:r>
      <w:r w:rsidRPr="004E4744">
        <w:rPr>
          <w:rFonts w:eastAsia="Calibri"/>
          <w:sz w:val="22"/>
          <w:szCs w:val="22"/>
        </w:rPr>
        <w:t xml:space="preserve"> and HCl, </w:t>
      </w:r>
      <w:r>
        <w:rPr>
          <w:rFonts w:eastAsia="Calibri"/>
          <w:sz w:val="22"/>
          <w:szCs w:val="22"/>
        </w:rPr>
        <w:t xml:space="preserve">and </w:t>
      </w:r>
      <w:r w:rsidRPr="004E4744">
        <w:rPr>
          <w:sz w:val="22"/>
          <w:szCs w:val="22"/>
        </w:rPr>
        <w:t>MSW landfill emissions as non-</w:t>
      </w:r>
      <w:r>
        <w:rPr>
          <w:sz w:val="22"/>
          <w:szCs w:val="22"/>
        </w:rPr>
        <w:t>methane organic compounds (NMOC)</w:t>
      </w:r>
      <w:r w:rsidRPr="004E4744">
        <w:rPr>
          <w:rFonts w:eastAsia="Calibri"/>
          <w:sz w:val="22"/>
          <w:szCs w:val="22"/>
        </w:rPr>
        <w:t xml:space="preserve">.  </w:t>
      </w:r>
    </w:p>
    <w:p w:rsidR="00F249DC" w:rsidRDefault="00F249DC" w:rsidP="00F249DC">
      <w:pPr>
        <w:pStyle w:val="Default"/>
        <w:spacing w:after="60"/>
        <w:rPr>
          <w:sz w:val="22"/>
          <w:szCs w:val="22"/>
        </w:rPr>
      </w:pPr>
      <w:r w:rsidRPr="005C0768">
        <w:rPr>
          <w:rFonts w:eastAsia="Calibri"/>
          <w:sz w:val="22"/>
          <w:szCs w:val="22"/>
        </w:rPr>
        <w:t>As defined in Rule 62-210.200(1</w:t>
      </w:r>
      <w:r>
        <w:rPr>
          <w:rFonts w:eastAsia="Calibri"/>
          <w:sz w:val="22"/>
          <w:szCs w:val="22"/>
        </w:rPr>
        <w:t>8</w:t>
      </w:r>
      <w:r w:rsidRPr="005C0768">
        <w:rPr>
          <w:rFonts w:eastAsia="Calibri"/>
          <w:sz w:val="22"/>
          <w:szCs w:val="22"/>
        </w:rPr>
        <w:t xml:space="preserve">9)(a)1, F.A.C., </w:t>
      </w:r>
      <w:r>
        <w:rPr>
          <w:sz w:val="22"/>
          <w:szCs w:val="22"/>
        </w:rPr>
        <w:t>a stationary source is a “major stationary source” (major PSD source) if it emits or has the PTE:</w:t>
      </w:r>
    </w:p>
    <w:p w:rsidR="00F249DC" w:rsidRPr="00D94522" w:rsidRDefault="00F249DC" w:rsidP="00F249DC">
      <w:pPr>
        <w:pStyle w:val="Default"/>
        <w:numPr>
          <w:ilvl w:val="0"/>
          <w:numId w:val="39"/>
        </w:numPr>
        <w:spacing w:after="60"/>
        <w:ind w:left="360"/>
        <w:rPr>
          <w:rFonts w:eastAsia="Calibri"/>
          <w:sz w:val="22"/>
          <w:szCs w:val="22"/>
        </w:rPr>
      </w:pPr>
      <w:r>
        <w:rPr>
          <w:sz w:val="22"/>
          <w:szCs w:val="22"/>
        </w:rPr>
        <w:lastRenderedPageBreak/>
        <w:t xml:space="preserve">250 tons per year (TPY) or more of any PSD pollutant; </w:t>
      </w:r>
      <w:r w:rsidRPr="00AF28AC">
        <w:rPr>
          <w:sz w:val="22"/>
          <w:szCs w:val="22"/>
          <w:u w:val="single"/>
        </w:rPr>
        <w:t>or</w:t>
      </w:r>
      <w:r>
        <w:rPr>
          <w:sz w:val="22"/>
          <w:szCs w:val="22"/>
        </w:rPr>
        <w:t xml:space="preserve"> </w:t>
      </w:r>
    </w:p>
    <w:p w:rsidR="00F249DC" w:rsidRDefault="00F249DC" w:rsidP="00F249DC">
      <w:pPr>
        <w:pStyle w:val="Default"/>
        <w:numPr>
          <w:ilvl w:val="0"/>
          <w:numId w:val="39"/>
        </w:numPr>
        <w:spacing w:after="120"/>
        <w:ind w:left="360"/>
        <w:rPr>
          <w:rFonts w:eastAsia="Calibri"/>
          <w:sz w:val="22"/>
          <w:szCs w:val="22"/>
        </w:rPr>
      </w:pPr>
      <w:r>
        <w:rPr>
          <w:sz w:val="22"/>
          <w:szCs w:val="22"/>
        </w:rPr>
        <w:t xml:space="preserve">100 TPY or more of any PSD pollutant </w:t>
      </w:r>
      <w:r w:rsidRPr="00AF28AC">
        <w:rPr>
          <w:sz w:val="22"/>
          <w:szCs w:val="22"/>
          <w:u w:val="single"/>
        </w:rPr>
        <w:t>and</w:t>
      </w:r>
      <w:r>
        <w:rPr>
          <w:sz w:val="22"/>
          <w:szCs w:val="22"/>
        </w:rPr>
        <w:t xml:space="preserve"> the facility belongs to one of the 28 listed PSD major facility categories.  </w:t>
      </w:r>
    </w:p>
    <w:p w:rsidR="00F249DC" w:rsidRDefault="00F249DC" w:rsidP="00687C7F">
      <w:pPr>
        <w:widowControl w:val="0"/>
        <w:spacing w:after="120"/>
        <w:rPr>
          <w:rFonts w:eastAsia="Calibri"/>
          <w:sz w:val="22"/>
          <w:szCs w:val="22"/>
        </w:rPr>
      </w:pPr>
      <w:r w:rsidRPr="00B81C9A">
        <w:rPr>
          <w:rFonts w:eastAsia="Calibri"/>
          <w:sz w:val="22"/>
          <w:szCs w:val="22"/>
        </w:rPr>
        <w:t xml:space="preserve">The list given in the citation includes the category of </w:t>
      </w:r>
      <w:r w:rsidRPr="00194F56">
        <w:rPr>
          <w:rFonts w:eastAsia="Calibri"/>
          <w:i/>
          <w:sz w:val="22"/>
          <w:szCs w:val="22"/>
        </w:rPr>
        <w:t>“fossil fuel-fired steam electric plants of more than 250 million British thermal units per hour heat input”</w:t>
      </w:r>
      <w:r w:rsidRPr="00B81C9A">
        <w:rPr>
          <w:rFonts w:eastAsia="Calibri"/>
          <w:sz w:val="22"/>
          <w:szCs w:val="22"/>
        </w:rPr>
        <w:t xml:space="preserve">.  </w:t>
      </w:r>
      <w:r w:rsidR="00687C7F" w:rsidRPr="00687C7F">
        <w:rPr>
          <w:rFonts w:eastAsia="Calibri"/>
          <w:sz w:val="22"/>
          <w:szCs w:val="22"/>
        </w:rPr>
        <w:t xml:space="preserve">The existing GRU DGS is a major stationary source because it </w:t>
      </w:r>
      <w:r w:rsidR="00687C7F">
        <w:rPr>
          <w:rFonts w:eastAsia="Calibri"/>
          <w:sz w:val="22"/>
          <w:szCs w:val="22"/>
        </w:rPr>
        <w:t>meets this definition</w:t>
      </w:r>
      <w:r w:rsidR="00687C7F" w:rsidRPr="00687C7F">
        <w:rPr>
          <w:rFonts w:eastAsia="Calibri"/>
          <w:sz w:val="22"/>
          <w:szCs w:val="22"/>
        </w:rPr>
        <w:t xml:space="preserve"> and emits, or has the PTE, 100 TP</w:t>
      </w:r>
      <w:r w:rsidR="00687C7F">
        <w:rPr>
          <w:rFonts w:eastAsia="Calibri"/>
          <w:sz w:val="22"/>
          <w:szCs w:val="22"/>
        </w:rPr>
        <w:t>Y or more of any PSD pollutant</w:t>
      </w:r>
      <w:r w:rsidRPr="00B81C9A">
        <w:rPr>
          <w:rFonts w:eastAsia="Calibri"/>
          <w:sz w:val="22"/>
          <w:szCs w:val="22"/>
        </w:rPr>
        <w:t xml:space="preserve">.  </w:t>
      </w:r>
    </w:p>
    <w:p w:rsidR="00F249DC" w:rsidRPr="005C0768" w:rsidRDefault="00F249DC" w:rsidP="00F249DC">
      <w:pPr>
        <w:widowControl w:val="0"/>
        <w:spacing w:after="120"/>
        <w:rPr>
          <w:rFonts w:eastAsia="Calibri"/>
          <w:sz w:val="22"/>
          <w:szCs w:val="22"/>
        </w:rPr>
      </w:pPr>
      <w:r w:rsidRPr="005C0768">
        <w:rPr>
          <w:rFonts w:eastAsia="Calibri"/>
          <w:sz w:val="22"/>
          <w:szCs w:val="22"/>
        </w:rPr>
        <w:t>For major stationary sources</w:t>
      </w:r>
      <w:r>
        <w:rPr>
          <w:rFonts w:eastAsia="Calibri"/>
          <w:sz w:val="22"/>
          <w:szCs w:val="22"/>
        </w:rPr>
        <w:t xml:space="preserve"> such as the </w:t>
      </w:r>
      <w:r w:rsidR="00687C7F" w:rsidRPr="00687C7F">
        <w:rPr>
          <w:rFonts w:eastAsia="Calibri"/>
          <w:sz w:val="22"/>
          <w:szCs w:val="22"/>
        </w:rPr>
        <w:t xml:space="preserve">existing GRU DGS </w:t>
      </w:r>
      <w:r w:rsidR="00BA68F0">
        <w:rPr>
          <w:rFonts w:eastAsia="Calibri"/>
          <w:sz w:val="22"/>
          <w:szCs w:val="22"/>
        </w:rPr>
        <w:t>facility</w:t>
      </w:r>
      <w:r w:rsidRPr="005C0768">
        <w:rPr>
          <w:rFonts w:eastAsia="Calibri"/>
          <w:sz w:val="22"/>
          <w:szCs w:val="22"/>
        </w:rPr>
        <w:t xml:space="preserve">, PSD applicability </w:t>
      </w:r>
      <w:r>
        <w:rPr>
          <w:rFonts w:eastAsia="Calibri"/>
          <w:sz w:val="22"/>
          <w:szCs w:val="22"/>
        </w:rPr>
        <w:t xml:space="preserve">for modification projects </w:t>
      </w:r>
      <w:r w:rsidRPr="005C0768">
        <w:rPr>
          <w:rFonts w:eastAsia="Calibri"/>
          <w:sz w:val="22"/>
          <w:szCs w:val="22"/>
        </w:rPr>
        <w:t>is based on thresholds known as the significant emission rates (SER</w:t>
      </w:r>
      <w:r>
        <w:rPr>
          <w:rFonts w:eastAsia="Calibri"/>
          <w:sz w:val="22"/>
          <w:szCs w:val="22"/>
        </w:rPr>
        <w:t>) as defined in Rule 62-210.200(2</w:t>
      </w:r>
      <w:r w:rsidR="003A41F3">
        <w:rPr>
          <w:rFonts w:eastAsia="Calibri"/>
          <w:sz w:val="22"/>
          <w:szCs w:val="22"/>
        </w:rPr>
        <w:t>82</w:t>
      </w:r>
      <w:r>
        <w:rPr>
          <w:rFonts w:eastAsia="Calibri"/>
          <w:sz w:val="22"/>
          <w:szCs w:val="22"/>
        </w:rPr>
        <w:t xml:space="preserve">), </w:t>
      </w:r>
      <w:r w:rsidRPr="005C0768">
        <w:rPr>
          <w:rFonts w:eastAsia="Calibri"/>
          <w:sz w:val="22"/>
          <w:szCs w:val="22"/>
        </w:rPr>
        <w:t xml:space="preserve">F.A.C.  </w:t>
      </w:r>
      <w:r>
        <w:rPr>
          <w:rFonts w:eastAsia="Calibri"/>
          <w:sz w:val="22"/>
          <w:szCs w:val="22"/>
        </w:rPr>
        <w:t xml:space="preserve">Any </w:t>
      </w:r>
      <w:r w:rsidRPr="00194F56">
        <w:rPr>
          <w:rFonts w:eastAsia="Calibri"/>
          <w:i/>
          <w:sz w:val="22"/>
          <w:szCs w:val="22"/>
        </w:rPr>
        <w:t>“net emissions increase”</w:t>
      </w:r>
      <w:r>
        <w:rPr>
          <w:rFonts w:eastAsia="Calibri"/>
          <w:sz w:val="22"/>
          <w:szCs w:val="22"/>
        </w:rPr>
        <w:t xml:space="preserve"> as defined in Rule 62-210.200(2</w:t>
      </w:r>
      <w:r w:rsidR="003A41F3">
        <w:rPr>
          <w:rFonts w:eastAsia="Calibri"/>
          <w:sz w:val="22"/>
          <w:szCs w:val="22"/>
        </w:rPr>
        <w:t>10</w:t>
      </w:r>
      <w:r>
        <w:rPr>
          <w:rFonts w:eastAsia="Calibri"/>
          <w:sz w:val="22"/>
          <w:szCs w:val="22"/>
        </w:rPr>
        <w:t xml:space="preserve">), F.A.C. </w:t>
      </w:r>
      <w:r w:rsidRPr="005C0768">
        <w:rPr>
          <w:rFonts w:eastAsia="Calibri"/>
          <w:sz w:val="22"/>
          <w:szCs w:val="22"/>
        </w:rPr>
        <w:t xml:space="preserve">of </w:t>
      </w:r>
      <w:r>
        <w:rPr>
          <w:rFonts w:eastAsia="Calibri"/>
          <w:sz w:val="22"/>
          <w:szCs w:val="22"/>
        </w:rPr>
        <w:t xml:space="preserve">a </w:t>
      </w:r>
      <w:r w:rsidRPr="005C0768">
        <w:rPr>
          <w:rFonts w:eastAsia="Calibri"/>
          <w:sz w:val="22"/>
          <w:szCs w:val="22"/>
        </w:rPr>
        <w:t>PSD pollutant from the project that equal</w:t>
      </w:r>
      <w:r>
        <w:rPr>
          <w:rFonts w:eastAsia="Calibri"/>
          <w:sz w:val="22"/>
          <w:szCs w:val="22"/>
        </w:rPr>
        <w:t>s</w:t>
      </w:r>
      <w:r w:rsidRPr="005C0768">
        <w:rPr>
          <w:rFonts w:eastAsia="Calibri"/>
          <w:sz w:val="22"/>
          <w:szCs w:val="22"/>
        </w:rPr>
        <w:t xml:space="preserve"> or exceed</w:t>
      </w:r>
      <w:r>
        <w:rPr>
          <w:rFonts w:eastAsia="Calibri"/>
          <w:sz w:val="22"/>
          <w:szCs w:val="22"/>
        </w:rPr>
        <w:t>s</w:t>
      </w:r>
      <w:r w:rsidRPr="005C0768">
        <w:rPr>
          <w:rFonts w:eastAsia="Calibri"/>
          <w:sz w:val="22"/>
          <w:szCs w:val="22"/>
        </w:rPr>
        <w:t xml:space="preserve"> the</w:t>
      </w:r>
      <w:r>
        <w:rPr>
          <w:rFonts w:eastAsia="Calibri"/>
          <w:sz w:val="22"/>
          <w:szCs w:val="22"/>
        </w:rPr>
        <w:t xml:space="preserve"> respective </w:t>
      </w:r>
      <w:r w:rsidRPr="005C0768">
        <w:rPr>
          <w:rFonts w:eastAsia="Calibri"/>
          <w:sz w:val="22"/>
          <w:szCs w:val="22"/>
        </w:rPr>
        <w:t xml:space="preserve">SER </w:t>
      </w:r>
      <w:r>
        <w:rPr>
          <w:rFonts w:eastAsia="Calibri"/>
          <w:sz w:val="22"/>
          <w:szCs w:val="22"/>
        </w:rPr>
        <w:t xml:space="preserve">is </w:t>
      </w:r>
      <w:r w:rsidRPr="005C0768">
        <w:rPr>
          <w:rFonts w:eastAsia="Calibri"/>
          <w:sz w:val="22"/>
          <w:szCs w:val="22"/>
        </w:rPr>
        <w:t xml:space="preserve">considered </w:t>
      </w:r>
      <w:r w:rsidRPr="00194F56">
        <w:rPr>
          <w:rFonts w:eastAsia="Calibri"/>
          <w:i/>
          <w:sz w:val="22"/>
          <w:szCs w:val="22"/>
        </w:rPr>
        <w:t>“significant</w:t>
      </w:r>
      <w:r w:rsidR="00194F56" w:rsidRPr="00194F56">
        <w:rPr>
          <w:rFonts w:eastAsia="Calibri"/>
          <w:i/>
          <w:sz w:val="22"/>
          <w:szCs w:val="22"/>
        </w:rPr>
        <w:t>.</w:t>
      </w:r>
      <w:r w:rsidRPr="00194F56">
        <w:rPr>
          <w:rFonts w:eastAsia="Calibri"/>
          <w:i/>
          <w:sz w:val="22"/>
          <w:szCs w:val="22"/>
        </w:rPr>
        <w:t>”</w:t>
      </w:r>
      <w:r w:rsidRPr="005C0768">
        <w:rPr>
          <w:rFonts w:eastAsia="Calibri"/>
          <w:sz w:val="22"/>
          <w:szCs w:val="22"/>
        </w:rPr>
        <w:t xml:space="preserve">  SER also means any emissions rate or any net emissions increase of a PSD pollutant associated with a major stationary source or major modification which would construct within 10 k</w:t>
      </w:r>
      <w:r>
        <w:rPr>
          <w:rFonts w:eastAsia="Calibri"/>
          <w:sz w:val="22"/>
          <w:szCs w:val="22"/>
        </w:rPr>
        <w:t>m</w:t>
      </w:r>
      <w:r w:rsidRPr="005C0768">
        <w:rPr>
          <w:rFonts w:eastAsia="Calibri"/>
          <w:sz w:val="22"/>
          <w:szCs w:val="22"/>
        </w:rPr>
        <w:t xml:space="preserve"> of a Class I area and have an impact on such area equal to or greater than 1 gram per cubic meter, 24-hour average.  </w:t>
      </w:r>
    </w:p>
    <w:p w:rsidR="00F249DC" w:rsidRPr="00714AC0" w:rsidRDefault="00F249DC" w:rsidP="00F249DC">
      <w:pPr>
        <w:widowControl w:val="0"/>
        <w:spacing w:after="120"/>
        <w:rPr>
          <w:rFonts w:eastAsia="Calibri"/>
          <w:sz w:val="22"/>
          <w:szCs w:val="22"/>
        </w:rPr>
      </w:pPr>
      <w:r w:rsidRPr="005C0768">
        <w:rPr>
          <w:rFonts w:eastAsia="Calibri"/>
          <w:sz w:val="22"/>
          <w:szCs w:val="22"/>
        </w:rPr>
        <w:t xml:space="preserve">Although a facility may be “major” </w:t>
      </w:r>
      <w:r>
        <w:rPr>
          <w:rFonts w:eastAsia="Calibri"/>
          <w:sz w:val="22"/>
          <w:szCs w:val="22"/>
        </w:rPr>
        <w:t xml:space="preserve">(i.e. emits or has the </w:t>
      </w:r>
      <w:r w:rsidR="00194F56">
        <w:rPr>
          <w:rFonts w:eastAsia="Calibri"/>
          <w:sz w:val="22"/>
          <w:szCs w:val="22"/>
        </w:rPr>
        <w:t>PTE</w:t>
      </w:r>
      <w:r>
        <w:rPr>
          <w:rFonts w:eastAsia="Calibri"/>
          <w:sz w:val="22"/>
          <w:szCs w:val="22"/>
        </w:rPr>
        <w:t xml:space="preserve"> 100 or 250 TPY as applicable) </w:t>
      </w:r>
      <w:r w:rsidRPr="005C0768">
        <w:rPr>
          <w:rFonts w:eastAsia="Calibri"/>
          <w:sz w:val="22"/>
          <w:szCs w:val="22"/>
        </w:rPr>
        <w:t xml:space="preserve">for only one PSD pollutant, a project must include BACT controls for any PSD pollutant that exceeds the corresponding </w:t>
      </w:r>
      <w:r>
        <w:rPr>
          <w:rFonts w:eastAsia="Calibri"/>
          <w:sz w:val="22"/>
          <w:szCs w:val="22"/>
        </w:rPr>
        <w:t xml:space="preserve">SER </w:t>
      </w:r>
      <w:r w:rsidRPr="005C0768">
        <w:rPr>
          <w:rFonts w:eastAsia="Calibri"/>
          <w:sz w:val="22"/>
          <w:szCs w:val="22"/>
        </w:rPr>
        <w:t xml:space="preserve">given </w:t>
      </w:r>
      <w:r w:rsidRPr="00714AC0">
        <w:rPr>
          <w:rFonts w:eastAsia="Calibri"/>
          <w:sz w:val="22"/>
          <w:szCs w:val="22"/>
        </w:rPr>
        <w:t>in</w:t>
      </w:r>
      <w:r w:rsidR="00BA68F0">
        <w:rPr>
          <w:rFonts w:eastAsia="Calibri"/>
          <w:sz w:val="22"/>
          <w:szCs w:val="22"/>
        </w:rPr>
        <w:t xml:space="preserve"> </w:t>
      </w:r>
      <w:fldSimple w:instr=" REF _Ref367970333 \h  \* MERGEFORMAT ">
        <w:r w:rsidR="00AF47D7" w:rsidRPr="00AF47D7">
          <w:rPr>
            <w:color w:val="000000" w:themeColor="text1"/>
            <w:sz w:val="22"/>
            <w:szCs w:val="22"/>
          </w:rPr>
          <w:t xml:space="preserve">Table </w:t>
        </w:r>
        <w:r w:rsidR="00AF47D7" w:rsidRPr="00AF47D7">
          <w:rPr>
            <w:noProof/>
            <w:color w:val="000000" w:themeColor="text1"/>
            <w:sz w:val="22"/>
            <w:szCs w:val="22"/>
          </w:rPr>
          <w:t>5</w:t>
        </w:r>
      </w:fldSimple>
      <w:r w:rsidRPr="00BA68F0">
        <w:rPr>
          <w:rFonts w:eastAsia="Calibri"/>
          <w:sz w:val="22"/>
          <w:szCs w:val="22"/>
        </w:rPr>
        <w:t>.</w:t>
      </w:r>
    </w:p>
    <w:p w:rsidR="00F249DC" w:rsidRPr="004E4744" w:rsidRDefault="00F249DC" w:rsidP="00F249DC">
      <w:pPr>
        <w:widowControl w:val="0"/>
        <w:spacing w:after="120"/>
        <w:rPr>
          <w:rFonts w:eastAsia="Calibri"/>
          <w:sz w:val="22"/>
          <w:szCs w:val="22"/>
        </w:rPr>
      </w:pPr>
      <w:r>
        <w:rPr>
          <w:rFonts w:eastAsia="Calibri"/>
          <w:sz w:val="22"/>
          <w:szCs w:val="22"/>
        </w:rPr>
        <w:t>According to 40 CFR 52.21, six greenhouse gases (</w:t>
      </w:r>
      <w:r w:rsidRPr="00ED735F">
        <w:rPr>
          <w:rFonts w:eastAsia="Calibri"/>
          <w:sz w:val="22"/>
          <w:szCs w:val="22"/>
        </w:rPr>
        <w:t>GHG</w:t>
      </w:r>
      <w:r>
        <w:rPr>
          <w:rFonts w:eastAsia="Calibri"/>
          <w:sz w:val="22"/>
          <w:szCs w:val="22"/>
        </w:rPr>
        <w:t>),</w:t>
      </w:r>
      <w:r w:rsidRPr="00ED735F">
        <w:rPr>
          <w:rFonts w:eastAsia="Calibri"/>
          <w:sz w:val="22"/>
          <w:szCs w:val="22"/>
        </w:rPr>
        <w:t xml:space="preserve"> </w:t>
      </w:r>
      <w:r>
        <w:rPr>
          <w:rFonts w:eastAsia="Calibri"/>
          <w:sz w:val="22"/>
          <w:szCs w:val="22"/>
        </w:rPr>
        <w:t xml:space="preserve">are </w:t>
      </w:r>
      <w:r w:rsidRPr="00ED735F">
        <w:rPr>
          <w:rFonts w:eastAsia="Calibri"/>
          <w:sz w:val="22"/>
          <w:szCs w:val="22"/>
        </w:rPr>
        <w:t>also subject to regulation</w:t>
      </w:r>
      <w:r>
        <w:rPr>
          <w:rFonts w:eastAsia="Calibri"/>
          <w:sz w:val="22"/>
          <w:szCs w:val="22"/>
        </w:rPr>
        <w:t xml:space="preserve"> a</w:t>
      </w:r>
      <w:r w:rsidRPr="00ED735F">
        <w:rPr>
          <w:rFonts w:eastAsia="Calibri"/>
          <w:sz w:val="22"/>
          <w:szCs w:val="22"/>
        </w:rPr>
        <w:t>t new stationary source</w:t>
      </w:r>
      <w:r>
        <w:rPr>
          <w:rFonts w:eastAsia="Calibri"/>
          <w:sz w:val="22"/>
          <w:szCs w:val="22"/>
        </w:rPr>
        <w:t>s</w:t>
      </w:r>
      <w:r w:rsidRPr="00ED735F">
        <w:rPr>
          <w:rFonts w:eastAsia="Calibri"/>
          <w:sz w:val="22"/>
          <w:szCs w:val="22"/>
        </w:rPr>
        <w:t xml:space="preserve"> that will emit or have the potential to emit 100,000 </w:t>
      </w:r>
      <w:r>
        <w:rPr>
          <w:rFonts w:eastAsia="Calibri"/>
          <w:sz w:val="22"/>
          <w:szCs w:val="22"/>
        </w:rPr>
        <w:t>TPY expressed as the carbon dioxide equivalent emissions (</w:t>
      </w:r>
      <w:r w:rsidRPr="00ED735F">
        <w:rPr>
          <w:rFonts w:eastAsia="Calibri"/>
          <w:sz w:val="22"/>
          <w:szCs w:val="22"/>
        </w:rPr>
        <w:t>CO</w:t>
      </w:r>
      <w:r w:rsidRPr="00ED735F">
        <w:rPr>
          <w:rFonts w:eastAsia="Calibri"/>
          <w:sz w:val="22"/>
          <w:szCs w:val="22"/>
          <w:vertAlign w:val="subscript"/>
        </w:rPr>
        <w:t>2</w:t>
      </w:r>
      <w:r w:rsidRPr="00ED735F">
        <w:rPr>
          <w:rFonts w:eastAsia="Calibri"/>
          <w:sz w:val="22"/>
          <w:szCs w:val="22"/>
        </w:rPr>
        <w:t>e</w:t>
      </w:r>
      <w:r>
        <w:rPr>
          <w:rFonts w:eastAsia="Calibri"/>
          <w:sz w:val="22"/>
          <w:szCs w:val="22"/>
        </w:rPr>
        <w:t>).  The PSD SER for CO</w:t>
      </w:r>
      <w:r w:rsidRPr="00546117">
        <w:rPr>
          <w:rFonts w:eastAsia="Calibri"/>
          <w:sz w:val="22"/>
          <w:szCs w:val="22"/>
          <w:vertAlign w:val="subscript"/>
        </w:rPr>
        <w:t>2</w:t>
      </w:r>
      <w:r>
        <w:rPr>
          <w:rFonts w:eastAsia="Calibri"/>
          <w:sz w:val="22"/>
          <w:szCs w:val="22"/>
        </w:rPr>
        <w:t xml:space="preserve">e is 75,000 TPY.  This requirement </w:t>
      </w:r>
      <w:r w:rsidRPr="00ED735F">
        <w:rPr>
          <w:rFonts w:eastAsia="Calibri"/>
          <w:sz w:val="22"/>
          <w:szCs w:val="22"/>
        </w:rPr>
        <w:t>has not been incorporated into Department rules</w:t>
      </w:r>
      <w:r>
        <w:rPr>
          <w:rFonts w:eastAsia="Calibri"/>
          <w:sz w:val="22"/>
          <w:szCs w:val="22"/>
        </w:rPr>
        <w:t xml:space="preserve"> but is a separate requirement of the EPA.  </w:t>
      </w:r>
    </w:p>
    <w:p w:rsidR="00F249DC" w:rsidRPr="00BA68F0" w:rsidRDefault="00F249DC" w:rsidP="00BA68F0">
      <w:pPr>
        <w:pStyle w:val="Caption"/>
        <w:spacing w:after="120"/>
        <w:jc w:val="center"/>
        <w:rPr>
          <w:rFonts w:ascii="Times New Roman Bold" w:hAnsi="Times New Roman Bold"/>
          <w:caps/>
          <w:color w:val="000000" w:themeColor="text1"/>
          <w:sz w:val="22"/>
          <w:szCs w:val="22"/>
        </w:rPr>
      </w:pPr>
      <w:bookmarkStart w:id="12" w:name="_Ref367970333"/>
      <w:r w:rsidRPr="00BA68F0">
        <w:rPr>
          <w:rFonts w:ascii="Times New Roman Bold" w:hAnsi="Times New Roman Bold"/>
          <w:caps/>
          <w:color w:val="000000" w:themeColor="text1"/>
          <w:sz w:val="22"/>
          <w:szCs w:val="22"/>
        </w:rPr>
        <w:t xml:space="preserve">Table </w:t>
      </w:r>
      <w:r w:rsidR="00BE3454" w:rsidRPr="00BA68F0">
        <w:rPr>
          <w:rFonts w:ascii="Times New Roman Bold" w:hAnsi="Times New Roman Bold"/>
          <w:caps/>
          <w:color w:val="000000" w:themeColor="text1"/>
          <w:sz w:val="22"/>
          <w:szCs w:val="22"/>
        </w:rPr>
        <w:fldChar w:fldCharType="begin"/>
      </w:r>
      <w:r w:rsidRPr="00BA68F0">
        <w:rPr>
          <w:rFonts w:ascii="Times New Roman Bold" w:hAnsi="Times New Roman Bold"/>
          <w:caps/>
          <w:color w:val="000000" w:themeColor="text1"/>
          <w:sz w:val="22"/>
          <w:szCs w:val="22"/>
        </w:rPr>
        <w:instrText xml:space="preserve"> SEQ Table \* ARABIC </w:instrText>
      </w:r>
      <w:r w:rsidR="00BE3454" w:rsidRPr="00BA68F0">
        <w:rPr>
          <w:rFonts w:ascii="Times New Roman Bold" w:hAnsi="Times New Roman Bold"/>
          <w:caps/>
          <w:color w:val="000000" w:themeColor="text1"/>
          <w:sz w:val="22"/>
          <w:szCs w:val="22"/>
        </w:rPr>
        <w:fldChar w:fldCharType="separate"/>
      </w:r>
      <w:r w:rsidR="00AF47D7">
        <w:rPr>
          <w:rFonts w:ascii="Times New Roman Bold" w:hAnsi="Times New Roman Bold"/>
          <w:caps/>
          <w:noProof/>
          <w:color w:val="000000" w:themeColor="text1"/>
          <w:sz w:val="22"/>
          <w:szCs w:val="22"/>
        </w:rPr>
        <w:t>5</w:t>
      </w:r>
      <w:r w:rsidR="00BE3454" w:rsidRPr="00BA68F0">
        <w:rPr>
          <w:rFonts w:ascii="Times New Roman Bold" w:hAnsi="Times New Roman Bold"/>
          <w:caps/>
          <w:color w:val="000000" w:themeColor="text1"/>
          <w:sz w:val="22"/>
          <w:szCs w:val="22"/>
        </w:rPr>
        <w:fldChar w:fldCharType="end"/>
      </w:r>
      <w:bookmarkEnd w:id="12"/>
      <w:r w:rsidRPr="00BA68F0">
        <w:rPr>
          <w:rFonts w:ascii="Times New Roman Bold" w:hAnsi="Times New Roman Bold"/>
          <w:caps/>
          <w:color w:val="000000" w:themeColor="text1"/>
          <w:sz w:val="22"/>
          <w:szCs w:val="22"/>
        </w:rPr>
        <w:t xml:space="preserve">– List of SER by PSD-Pollutant. </w:t>
      </w:r>
      <w:r w:rsidRPr="00BA68F0">
        <w:rPr>
          <w:rFonts w:ascii="Times New Roman Bold" w:hAnsi="Times New Roman Bold"/>
          <w:caps/>
          <w:color w:val="000000" w:themeColor="text1"/>
          <w:sz w:val="22"/>
          <w:szCs w:val="22"/>
          <w:vertAlign w:val="superscript"/>
        </w:rPr>
        <w:t>1</w:t>
      </w:r>
    </w:p>
    <w:tbl>
      <w:tblPr>
        <w:tblW w:w="9270" w:type="dxa"/>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tblPr>
      <w:tblGrid>
        <w:gridCol w:w="2070"/>
        <w:gridCol w:w="2340"/>
        <w:gridCol w:w="2070"/>
        <w:gridCol w:w="2790"/>
      </w:tblGrid>
      <w:tr w:rsidR="00F249DC" w:rsidRPr="005C0768" w:rsidTr="009171FE">
        <w:trPr>
          <w:trHeight w:val="290"/>
          <w:tblHeader/>
        </w:trPr>
        <w:tc>
          <w:tcPr>
            <w:tcW w:w="2070" w:type="dxa"/>
            <w:tcBorders>
              <w:top w:val="single" w:sz="12" w:space="0" w:color="auto"/>
              <w:left w:val="single" w:sz="12" w:space="0" w:color="auto"/>
              <w:bottom w:val="single" w:sz="4" w:space="0" w:color="auto"/>
              <w:right w:val="single" w:sz="4" w:space="0" w:color="auto"/>
            </w:tcBorders>
            <w:shd w:val="clear" w:color="auto" w:fill="C6D9F1"/>
            <w:vAlign w:val="center"/>
            <w:hideMark/>
          </w:tcPr>
          <w:p w:rsidR="00F249DC" w:rsidRPr="00BA68F0" w:rsidRDefault="00F249DC" w:rsidP="00F249DC">
            <w:pPr>
              <w:autoSpaceDE w:val="0"/>
              <w:autoSpaceDN w:val="0"/>
              <w:adjustRightInd w:val="0"/>
              <w:spacing w:before="20" w:after="20"/>
              <w:jc w:val="center"/>
              <w:rPr>
                <w:b/>
                <w:color w:val="000000"/>
                <w:sz w:val="20"/>
                <w:szCs w:val="20"/>
              </w:rPr>
            </w:pPr>
            <w:r w:rsidRPr="00BA68F0">
              <w:rPr>
                <w:b/>
                <w:color w:val="000000"/>
                <w:sz w:val="20"/>
                <w:szCs w:val="20"/>
              </w:rPr>
              <w:t>Pollutant</w:t>
            </w:r>
          </w:p>
        </w:tc>
        <w:tc>
          <w:tcPr>
            <w:tcW w:w="2340" w:type="dxa"/>
            <w:tcBorders>
              <w:top w:val="single" w:sz="12" w:space="0" w:color="auto"/>
              <w:left w:val="single" w:sz="4" w:space="0" w:color="auto"/>
              <w:bottom w:val="single" w:sz="4" w:space="0" w:color="auto"/>
              <w:right w:val="single" w:sz="4" w:space="0" w:color="auto"/>
            </w:tcBorders>
            <w:shd w:val="clear" w:color="auto" w:fill="C6D9F1"/>
            <w:vAlign w:val="center"/>
            <w:hideMark/>
          </w:tcPr>
          <w:p w:rsidR="00F249DC" w:rsidRPr="00BA68F0" w:rsidRDefault="00F249DC" w:rsidP="00F249DC">
            <w:pPr>
              <w:autoSpaceDE w:val="0"/>
              <w:autoSpaceDN w:val="0"/>
              <w:adjustRightInd w:val="0"/>
              <w:spacing w:before="20" w:after="20"/>
              <w:jc w:val="center"/>
              <w:rPr>
                <w:b/>
                <w:color w:val="000000"/>
                <w:sz w:val="20"/>
                <w:szCs w:val="20"/>
              </w:rPr>
            </w:pPr>
            <w:r w:rsidRPr="00BA68F0">
              <w:rPr>
                <w:b/>
                <w:color w:val="000000"/>
                <w:sz w:val="20"/>
                <w:szCs w:val="20"/>
              </w:rPr>
              <w:t>SER (TPY)</w:t>
            </w:r>
          </w:p>
        </w:tc>
        <w:tc>
          <w:tcPr>
            <w:tcW w:w="2070" w:type="dxa"/>
            <w:tcBorders>
              <w:top w:val="single" w:sz="12" w:space="0" w:color="auto"/>
              <w:left w:val="single" w:sz="4" w:space="0" w:color="auto"/>
              <w:bottom w:val="single" w:sz="4" w:space="0" w:color="auto"/>
              <w:right w:val="single" w:sz="4" w:space="0" w:color="auto"/>
            </w:tcBorders>
            <w:shd w:val="clear" w:color="auto" w:fill="C6D9F1"/>
            <w:vAlign w:val="center"/>
            <w:hideMark/>
          </w:tcPr>
          <w:p w:rsidR="00F249DC" w:rsidRPr="00BA68F0" w:rsidRDefault="00F249DC" w:rsidP="00F249DC">
            <w:pPr>
              <w:autoSpaceDE w:val="0"/>
              <w:autoSpaceDN w:val="0"/>
              <w:adjustRightInd w:val="0"/>
              <w:spacing w:before="20" w:after="20"/>
              <w:jc w:val="center"/>
              <w:rPr>
                <w:b/>
                <w:color w:val="000000"/>
                <w:sz w:val="20"/>
                <w:szCs w:val="20"/>
              </w:rPr>
            </w:pPr>
            <w:r w:rsidRPr="00BA68F0">
              <w:rPr>
                <w:b/>
                <w:color w:val="000000"/>
                <w:sz w:val="20"/>
                <w:szCs w:val="20"/>
              </w:rPr>
              <w:t>Pollutant</w:t>
            </w:r>
          </w:p>
        </w:tc>
        <w:tc>
          <w:tcPr>
            <w:tcW w:w="2790" w:type="dxa"/>
            <w:tcBorders>
              <w:top w:val="single" w:sz="12" w:space="0" w:color="auto"/>
              <w:left w:val="single" w:sz="4" w:space="0" w:color="auto"/>
              <w:bottom w:val="single" w:sz="4" w:space="0" w:color="auto"/>
              <w:right w:val="single" w:sz="12" w:space="0" w:color="auto"/>
            </w:tcBorders>
            <w:shd w:val="clear" w:color="auto" w:fill="C6D9F1"/>
            <w:vAlign w:val="center"/>
            <w:hideMark/>
          </w:tcPr>
          <w:p w:rsidR="00F249DC" w:rsidRPr="00BA68F0" w:rsidRDefault="00F249DC" w:rsidP="00F249DC">
            <w:pPr>
              <w:autoSpaceDE w:val="0"/>
              <w:autoSpaceDN w:val="0"/>
              <w:adjustRightInd w:val="0"/>
              <w:spacing w:before="20" w:after="20"/>
              <w:jc w:val="center"/>
              <w:rPr>
                <w:b/>
                <w:color w:val="000000"/>
                <w:sz w:val="20"/>
                <w:szCs w:val="20"/>
              </w:rPr>
            </w:pPr>
            <w:r w:rsidRPr="00BA68F0">
              <w:rPr>
                <w:b/>
                <w:color w:val="000000"/>
                <w:sz w:val="20"/>
                <w:szCs w:val="20"/>
              </w:rPr>
              <w:t>SER (TPY)</w:t>
            </w:r>
          </w:p>
        </w:tc>
      </w:tr>
      <w:tr w:rsidR="00F249DC" w:rsidRPr="005C0768" w:rsidTr="009171FE">
        <w:trPr>
          <w:trHeight w:val="264"/>
        </w:trPr>
        <w:tc>
          <w:tcPr>
            <w:tcW w:w="2070" w:type="dxa"/>
            <w:tcBorders>
              <w:top w:val="single" w:sz="4" w:space="0" w:color="auto"/>
              <w:left w:val="single" w:sz="12" w:space="0" w:color="auto"/>
              <w:bottom w:val="single" w:sz="6" w:space="0" w:color="000000"/>
              <w:right w:val="single" w:sz="4" w:space="0" w:color="auto"/>
            </w:tcBorders>
            <w:vAlign w:val="center"/>
            <w:hideMark/>
          </w:tcPr>
          <w:p w:rsidR="00F249DC" w:rsidRPr="00BA68F0" w:rsidRDefault="00F249DC" w:rsidP="00F249DC">
            <w:pPr>
              <w:autoSpaceDE w:val="0"/>
              <w:autoSpaceDN w:val="0"/>
              <w:adjustRightInd w:val="0"/>
              <w:spacing w:before="20" w:after="20"/>
              <w:jc w:val="center"/>
              <w:rPr>
                <w:color w:val="000000"/>
                <w:sz w:val="20"/>
                <w:szCs w:val="20"/>
              </w:rPr>
            </w:pPr>
            <w:r w:rsidRPr="00BA68F0">
              <w:rPr>
                <w:color w:val="000000"/>
                <w:sz w:val="20"/>
                <w:szCs w:val="20"/>
              </w:rPr>
              <w:t>CO</w:t>
            </w:r>
          </w:p>
        </w:tc>
        <w:tc>
          <w:tcPr>
            <w:tcW w:w="2340" w:type="dxa"/>
            <w:tcBorders>
              <w:top w:val="single" w:sz="4" w:space="0" w:color="auto"/>
              <w:left w:val="single" w:sz="4" w:space="0" w:color="auto"/>
              <w:bottom w:val="single" w:sz="6" w:space="0" w:color="000000"/>
              <w:right w:val="single" w:sz="4" w:space="0" w:color="auto"/>
            </w:tcBorders>
            <w:shd w:val="clear" w:color="auto" w:fill="DAEEF3"/>
            <w:vAlign w:val="center"/>
            <w:hideMark/>
          </w:tcPr>
          <w:p w:rsidR="00F249DC" w:rsidRPr="00BA68F0" w:rsidRDefault="00F249DC" w:rsidP="00F249DC">
            <w:pPr>
              <w:autoSpaceDE w:val="0"/>
              <w:autoSpaceDN w:val="0"/>
              <w:adjustRightInd w:val="0"/>
              <w:spacing w:before="20" w:after="20"/>
              <w:jc w:val="center"/>
              <w:rPr>
                <w:color w:val="000000"/>
                <w:sz w:val="20"/>
                <w:szCs w:val="20"/>
              </w:rPr>
            </w:pPr>
            <w:r w:rsidRPr="00BA68F0">
              <w:rPr>
                <w:color w:val="000000"/>
                <w:sz w:val="20"/>
                <w:szCs w:val="20"/>
              </w:rPr>
              <w:t>100</w:t>
            </w:r>
          </w:p>
        </w:tc>
        <w:tc>
          <w:tcPr>
            <w:tcW w:w="2070" w:type="dxa"/>
            <w:tcBorders>
              <w:top w:val="single" w:sz="4" w:space="0" w:color="auto"/>
              <w:left w:val="single" w:sz="4" w:space="0" w:color="auto"/>
              <w:bottom w:val="single" w:sz="6" w:space="0" w:color="000000"/>
              <w:right w:val="single" w:sz="4" w:space="0" w:color="auto"/>
            </w:tcBorders>
            <w:vAlign w:val="center"/>
            <w:hideMark/>
          </w:tcPr>
          <w:p w:rsidR="00F249DC" w:rsidRPr="00BA68F0" w:rsidRDefault="00F249DC" w:rsidP="00F249DC">
            <w:pPr>
              <w:autoSpaceDE w:val="0"/>
              <w:autoSpaceDN w:val="0"/>
              <w:adjustRightInd w:val="0"/>
              <w:spacing w:before="20" w:after="20"/>
              <w:jc w:val="center"/>
              <w:rPr>
                <w:color w:val="000000"/>
                <w:sz w:val="20"/>
                <w:szCs w:val="20"/>
              </w:rPr>
            </w:pPr>
            <w:r w:rsidRPr="00BA68F0">
              <w:rPr>
                <w:color w:val="000000"/>
                <w:sz w:val="20"/>
                <w:szCs w:val="20"/>
              </w:rPr>
              <w:t>NO</w:t>
            </w:r>
            <w:r w:rsidRPr="00BA68F0">
              <w:rPr>
                <w:color w:val="000000"/>
                <w:sz w:val="20"/>
                <w:szCs w:val="20"/>
                <w:vertAlign w:val="subscript"/>
              </w:rPr>
              <w:t>X</w:t>
            </w:r>
          </w:p>
        </w:tc>
        <w:tc>
          <w:tcPr>
            <w:tcW w:w="2790" w:type="dxa"/>
            <w:tcBorders>
              <w:top w:val="single" w:sz="4" w:space="0" w:color="auto"/>
              <w:left w:val="single" w:sz="4" w:space="0" w:color="auto"/>
              <w:bottom w:val="single" w:sz="6" w:space="0" w:color="000000"/>
              <w:right w:val="single" w:sz="12" w:space="0" w:color="auto"/>
            </w:tcBorders>
            <w:shd w:val="clear" w:color="auto" w:fill="DAEEF3"/>
            <w:vAlign w:val="center"/>
            <w:hideMark/>
          </w:tcPr>
          <w:p w:rsidR="00F249DC" w:rsidRPr="00BA68F0" w:rsidRDefault="00F249DC" w:rsidP="00F249DC">
            <w:pPr>
              <w:autoSpaceDE w:val="0"/>
              <w:autoSpaceDN w:val="0"/>
              <w:adjustRightInd w:val="0"/>
              <w:spacing w:before="20" w:after="20"/>
              <w:jc w:val="center"/>
              <w:rPr>
                <w:color w:val="000000"/>
                <w:sz w:val="20"/>
                <w:szCs w:val="20"/>
              </w:rPr>
            </w:pPr>
            <w:r w:rsidRPr="00BA68F0">
              <w:rPr>
                <w:color w:val="000000"/>
                <w:sz w:val="20"/>
                <w:szCs w:val="20"/>
              </w:rPr>
              <w:t>40</w:t>
            </w:r>
          </w:p>
        </w:tc>
      </w:tr>
      <w:tr w:rsidR="00F249DC" w:rsidRPr="005C0768" w:rsidTr="009171FE">
        <w:trPr>
          <w:trHeight w:val="264"/>
        </w:trPr>
        <w:tc>
          <w:tcPr>
            <w:tcW w:w="2070" w:type="dxa"/>
            <w:tcBorders>
              <w:top w:val="single" w:sz="6" w:space="0" w:color="000000"/>
              <w:left w:val="single" w:sz="12" w:space="0" w:color="auto"/>
              <w:bottom w:val="single" w:sz="6" w:space="0" w:color="000000"/>
              <w:right w:val="single" w:sz="4" w:space="0" w:color="auto"/>
            </w:tcBorders>
            <w:vAlign w:val="center"/>
            <w:hideMark/>
          </w:tcPr>
          <w:p w:rsidR="00F249DC" w:rsidRPr="00BA68F0" w:rsidRDefault="00F249DC" w:rsidP="00F249DC">
            <w:pPr>
              <w:autoSpaceDE w:val="0"/>
              <w:autoSpaceDN w:val="0"/>
              <w:adjustRightInd w:val="0"/>
              <w:spacing w:before="20" w:after="20"/>
              <w:jc w:val="center"/>
              <w:rPr>
                <w:color w:val="000000"/>
                <w:sz w:val="20"/>
                <w:szCs w:val="20"/>
              </w:rPr>
            </w:pPr>
            <w:r w:rsidRPr="00BA68F0">
              <w:rPr>
                <w:color w:val="000000"/>
                <w:sz w:val="20"/>
                <w:szCs w:val="20"/>
              </w:rPr>
              <w:t>PM/PM</w:t>
            </w:r>
            <w:r w:rsidRPr="00BA68F0">
              <w:rPr>
                <w:sz w:val="20"/>
                <w:szCs w:val="20"/>
                <w:vertAlign w:val="subscript"/>
              </w:rPr>
              <w:t>10</w:t>
            </w:r>
            <w:r w:rsidRPr="00BA68F0">
              <w:rPr>
                <w:color w:val="000000"/>
                <w:sz w:val="20"/>
                <w:szCs w:val="20"/>
              </w:rPr>
              <w:t>/PM</w:t>
            </w:r>
            <w:r w:rsidRPr="00BA68F0">
              <w:rPr>
                <w:color w:val="000000"/>
                <w:sz w:val="20"/>
                <w:szCs w:val="20"/>
                <w:vertAlign w:val="subscript"/>
              </w:rPr>
              <w:t>2.5</w:t>
            </w:r>
          </w:p>
        </w:tc>
        <w:tc>
          <w:tcPr>
            <w:tcW w:w="2340" w:type="dxa"/>
            <w:tcBorders>
              <w:top w:val="single" w:sz="6" w:space="0" w:color="000000"/>
              <w:left w:val="single" w:sz="4" w:space="0" w:color="auto"/>
              <w:bottom w:val="single" w:sz="6" w:space="0" w:color="000000"/>
              <w:right w:val="single" w:sz="4" w:space="0" w:color="auto"/>
            </w:tcBorders>
            <w:shd w:val="clear" w:color="auto" w:fill="DAEEF3"/>
            <w:vAlign w:val="center"/>
            <w:hideMark/>
          </w:tcPr>
          <w:p w:rsidR="00F249DC" w:rsidRPr="00BA68F0" w:rsidRDefault="00F249DC" w:rsidP="00F249DC">
            <w:pPr>
              <w:autoSpaceDE w:val="0"/>
              <w:autoSpaceDN w:val="0"/>
              <w:adjustRightInd w:val="0"/>
              <w:spacing w:before="20" w:after="20"/>
              <w:jc w:val="center"/>
              <w:rPr>
                <w:color w:val="000000"/>
                <w:sz w:val="20"/>
                <w:szCs w:val="20"/>
              </w:rPr>
            </w:pPr>
            <w:r w:rsidRPr="00BA68F0">
              <w:rPr>
                <w:color w:val="000000"/>
                <w:sz w:val="20"/>
                <w:szCs w:val="20"/>
              </w:rPr>
              <w:t>25/15/10</w:t>
            </w:r>
          </w:p>
        </w:tc>
        <w:tc>
          <w:tcPr>
            <w:tcW w:w="2070" w:type="dxa"/>
            <w:tcBorders>
              <w:top w:val="single" w:sz="6" w:space="0" w:color="000000"/>
              <w:left w:val="single" w:sz="4" w:space="0" w:color="auto"/>
              <w:bottom w:val="single" w:sz="6" w:space="0" w:color="000000"/>
              <w:right w:val="single" w:sz="4" w:space="0" w:color="auto"/>
            </w:tcBorders>
            <w:vAlign w:val="center"/>
            <w:hideMark/>
          </w:tcPr>
          <w:p w:rsidR="00F249DC" w:rsidRPr="00BA68F0" w:rsidRDefault="00F249DC" w:rsidP="00F249DC">
            <w:pPr>
              <w:autoSpaceDE w:val="0"/>
              <w:autoSpaceDN w:val="0"/>
              <w:adjustRightInd w:val="0"/>
              <w:spacing w:before="20" w:after="20"/>
              <w:jc w:val="center"/>
              <w:rPr>
                <w:color w:val="000000"/>
                <w:sz w:val="20"/>
                <w:szCs w:val="20"/>
              </w:rPr>
            </w:pPr>
            <w:r w:rsidRPr="00BA68F0">
              <w:rPr>
                <w:color w:val="000000"/>
                <w:sz w:val="20"/>
                <w:szCs w:val="20"/>
              </w:rPr>
              <w:t xml:space="preserve">Ozone (VOC) </w:t>
            </w:r>
            <w:r w:rsidRPr="00BA68F0">
              <w:rPr>
                <w:b/>
                <w:color w:val="000000"/>
                <w:sz w:val="20"/>
                <w:szCs w:val="20"/>
                <w:vertAlign w:val="superscript"/>
              </w:rPr>
              <w:t>2</w:t>
            </w:r>
          </w:p>
        </w:tc>
        <w:tc>
          <w:tcPr>
            <w:tcW w:w="2790" w:type="dxa"/>
            <w:tcBorders>
              <w:top w:val="single" w:sz="6" w:space="0" w:color="000000"/>
              <w:left w:val="single" w:sz="4" w:space="0" w:color="auto"/>
              <w:bottom w:val="single" w:sz="6" w:space="0" w:color="000000"/>
              <w:right w:val="single" w:sz="12" w:space="0" w:color="auto"/>
            </w:tcBorders>
            <w:shd w:val="clear" w:color="auto" w:fill="DAEEF3"/>
            <w:vAlign w:val="center"/>
            <w:hideMark/>
          </w:tcPr>
          <w:p w:rsidR="00F249DC" w:rsidRPr="00BA68F0" w:rsidRDefault="00F249DC" w:rsidP="00F249DC">
            <w:pPr>
              <w:autoSpaceDE w:val="0"/>
              <w:autoSpaceDN w:val="0"/>
              <w:adjustRightInd w:val="0"/>
              <w:spacing w:before="20" w:after="20"/>
              <w:jc w:val="center"/>
              <w:rPr>
                <w:color w:val="000000"/>
                <w:sz w:val="20"/>
                <w:szCs w:val="20"/>
              </w:rPr>
            </w:pPr>
            <w:r w:rsidRPr="00BA68F0">
              <w:rPr>
                <w:color w:val="000000"/>
                <w:sz w:val="20"/>
                <w:szCs w:val="20"/>
              </w:rPr>
              <w:t>40</w:t>
            </w:r>
          </w:p>
        </w:tc>
      </w:tr>
      <w:tr w:rsidR="00F249DC" w:rsidRPr="005C0768" w:rsidTr="009171FE">
        <w:trPr>
          <w:trHeight w:val="264"/>
        </w:trPr>
        <w:tc>
          <w:tcPr>
            <w:tcW w:w="2070" w:type="dxa"/>
            <w:tcBorders>
              <w:top w:val="single" w:sz="6" w:space="0" w:color="000000"/>
              <w:left w:val="single" w:sz="12" w:space="0" w:color="auto"/>
              <w:bottom w:val="single" w:sz="6" w:space="0" w:color="000000"/>
              <w:right w:val="single" w:sz="4" w:space="0" w:color="auto"/>
            </w:tcBorders>
            <w:vAlign w:val="center"/>
            <w:hideMark/>
          </w:tcPr>
          <w:p w:rsidR="00F249DC" w:rsidRPr="00BA68F0" w:rsidRDefault="00F249DC" w:rsidP="00F249DC">
            <w:pPr>
              <w:autoSpaceDE w:val="0"/>
              <w:autoSpaceDN w:val="0"/>
              <w:adjustRightInd w:val="0"/>
              <w:spacing w:before="20" w:after="20"/>
              <w:jc w:val="center"/>
              <w:rPr>
                <w:color w:val="000000"/>
                <w:sz w:val="20"/>
                <w:szCs w:val="20"/>
              </w:rPr>
            </w:pPr>
            <w:r w:rsidRPr="00BA68F0">
              <w:rPr>
                <w:color w:val="000000"/>
                <w:sz w:val="20"/>
                <w:szCs w:val="20"/>
              </w:rPr>
              <w:t>PM</w:t>
            </w:r>
            <w:r w:rsidRPr="00BA68F0">
              <w:rPr>
                <w:color w:val="000000"/>
                <w:sz w:val="20"/>
                <w:szCs w:val="20"/>
                <w:vertAlign w:val="subscript"/>
              </w:rPr>
              <w:t>2.5</w:t>
            </w:r>
            <w:r w:rsidRPr="00BA68F0">
              <w:rPr>
                <w:color w:val="000000"/>
                <w:sz w:val="20"/>
                <w:szCs w:val="20"/>
              </w:rPr>
              <w:t xml:space="preserve"> (NO</w:t>
            </w:r>
            <w:r w:rsidRPr="00BA68F0">
              <w:rPr>
                <w:sz w:val="20"/>
                <w:szCs w:val="20"/>
                <w:vertAlign w:val="subscript"/>
              </w:rPr>
              <w:t>X</w:t>
            </w:r>
            <w:r w:rsidRPr="00BA68F0">
              <w:rPr>
                <w:color w:val="000000"/>
                <w:sz w:val="20"/>
                <w:szCs w:val="20"/>
              </w:rPr>
              <w:t>)</w:t>
            </w:r>
          </w:p>
        </w:tc>
        <w:tc>
          <w:tcPr>
            <w:tcW w:w="2340" w:type="dxa"/>
            <w:tcBorders>
              <w:top w:val="single" w:sz="6" w:space="0" w:color="000000"/>
              <w:left w:val="single" w:sz="4" w:space="0" w:color="auto"/>
              <w:bottom w:val="single" w:sz="6" w:space="0" w:color="000000"/>
              <w:right w:val="single" w:sz="4" w:space="0" w:color="auto"/>
            </w:tcBorders>
            <w:shd w:val="clear" w:color="auto" w:fill="DAEEF3"/>
            <w:vAlign w:val="center"/>
            <w:hideMark/>
          </w:tcPr>
          <w:p w:rsidR="00F249DC" w:rsidRPr="00BA68F0" w:rsidRDefault="00F249DC" w:rsidP="00F249DC">
            <w:pPr>
              <w:autoSpaceDE w:val="0"/>
              <w:autoSpaceDN w:val="0"/>
              <w:adjustRightInd w:val="0"/>
              <w:spacing w:before="20" w:after="20"/>
              <w:jc w:val="center"/>
              <w:rPr>
                <w:color w:val="000000"/>
                <w:sz w:val="20"/>
                <w:szCs w:val="20"/>
              </w:rPr>
            </w:pPr>
            <w:r w:rsidRPr="00BA68F0">
              <w:rPr>
                <w:color w:val="000000"/>
                <w:sz w:val="20"/>
                <w:szCs w:val="20"/>
              </w:rPr>
              <w:t>40</w:t>
            </w:r>
          </w:p>
        </w:tc>
        <w:tc>
          <w:tcPr>
            <w:tcW w:w="2070" w:type="dxa"/>
            <w:tcBorders>
              <w:top w:val="single" w:sz="6" w:space="0" w:color="000000"/>
              <w:left w:val="single" w:sz="4" w:space="0" w:color="auto"/>
              <w:bottom w:val="single" w:sz="6" w:space="0" w:color="000000"/>
              <w:right w:val="single" w:sz="4" w:space="0" w:color="auto"/>
            </w:tcBorders>
            <w:vAlign w:val="center"/>
            <w:hideMark/>
          </w:tcPr>
          <w:p w:rsidR="00F249DC" w:rsidRPr="00BA68F0" w:rsidRDefault="00F249DC" w:rsidP="00F249DC">
            <w:pPr>
              <w:autoSpaceDE w:val="0"/>
              <w:autoSpaceDN w:val="0"/>
              <w:adjustRightInd w:val="0"/>
              <w:spacing w:before="20" w:after="20"/>
              <w:jc w:val="center"/>
              <w:rPr>
                <w:color w:val="000000"/>
                <w:sz w:val="20"/>
                <w:szCs w:val="20"/>
              </w:rPr>
            </w:pPr>
            <w:r w:rsidRPr="00BA68F0">
              <w:rPr>
                <w:color w:val="000000"/>
                <w:sz w:val="20"/>
                <w:szCs w:val="20"/>
              </w:rPr>
              <w:t>PM</w:t>
            </w:r>
            <w:r w:rsidRPr="00BA68F0">
              <w:rPr>
                <w:color w:val="000000"/>
                <w:sz w:val="20"/>
                <w:szCs w:val="20"/>
                <w:vertAlign w:val="subscript"/>
              </w:rPr>
              <w:t>2.5</w:t>
            </w:r>
            <w:r w:rsidRPr="00BA68F0">
              <w:rPr>
                <w:color w:val="000000"/>
                <w:sz w:val="20"/>
                <w:szCs w:val="20"/>
              </w:rPr>
              <w:t xml:space="preserve"> (SO</w:t>
            </w:r>
            <w:r w:rsidRPr="00BA68F0">
              <w:rPr>
                <w:sz w:val="20"/>
                <w:szCs w:val="20"/>
                <w:vertAlign w:val="subscript"/>
              </w:rPr>
              <w:t>2</w:t>
            </w:r>
            <w:r w:rsidRPr="00BA68F0">
              <w:rPr>
                <w:color w:val="000000"/>
                <w:sz w:val="20"/>
                <w:szCs w:val="20"/>
              </w:rPr>
              <w:t>)</w:t>
            </w:r>
          </w:p>
        </w:tc>
        <w:tc>
          <w:tcPr>
            <w:tcW w:w="2790" w:type="dxa"/>
            <w:tcBorders>
              <w:top w:val="single" w:sz="6" w:space="0" w:color="000000"/>
              <w:left w:val="single" w:sz="4" w:space="0" w:color="auto"/>
              <w:bottom w:val="single" w:sz="6" w:space="0" w:color="000000"/>
              <w:right w:val="single" w:sz="12" w:space="0" w:color="auto"/>
            </w:tcBorders>
            <w:shd w:val="clear" w:color="auto" w:fill="DAEEF3"/>
            <w:vAlign w:val="center"/>
            <w:hideMark/>
          </w:tcPr>
          <w:p w:rsidR="00F249DC" w:rsidRPr="00BA68F0" w:rsidRDefault="00F249DC" w:rsidP="00F249DC">
            <w:pPr>
              <w:autoSpaceDE w:val="0"/>
              <w:autoSpaceDN w:val="0"/>
              <w:adjustRightInd w:val="0"/>
              <w:spacing w:before="20" w:after="20"/>
              <w:jc w:val="center"/>
              <w:rPr>
                <w:color w:val="000000"/>
                <w:sz w:val="20"/>
                <w:szCs w:val="20"/>
              </w:rPr>
            </w:pPr>
            <w:r w:rsidRPr="00BA68F0">
              <w:rPr>
                <w:color w:val="000000"/>
                <w:sz w:val="20"/>
                <w:szCs w:val="20"/>
              </w:rPr>
              <w:t>40</w:t>
            </w:r>
          </w:p>
        </w:tc>
      </w:tr>
      <w:tr w:rsidR="00F249DC" w:rsidRPr="005C0768" w:rsidTr="009171FE">
        <w:trPr>
          <w:trHeight w:val="246"/>
        </w:trPr>
        <w:tc>
          <w:tcPr>
            <w:tcW w:w="2070" w:type="dxa"/>
            <w:tcBorders>
              <w:top w:val="single" w:sz="6" w:space="0" w:color="000000"/>
              <w:left w:val="single" w:sz="12" w:space="0" w:color="auto"/>
              <w:bottom w:val="single" w:sz="6" w:space="0" w:color="000000"/>
              <w:right w:val="single" w:sz="4" w:space="0" w:color="auto"/>
            </w:tcBorders>
            <w:vAlign w:val="center"/>
            <w:hideMark/>
          </w:tcPr>
          <w:p w:rsidR="00F249DC" w:rsidRPr="00BA68F0" w:rsidRDefault="00F249DC" w:rsidP="00F249DC">
            <w:pPr>
              <w:autoSpaceDE w:val="0"/>
              <w:autoSpaceDN w:val="0"/>
              <w:adjustRightInd w:val="0"/>
              <w:spacing w:before="20" w:after="20"/>
              <w:jc w:val="center"/>
              <w:rPr>
                <w:color w:val="000000"/>
                <w:sz w:val="20"/>
                <w:szCs w:val="20"/>
              </w:rPr>
            </w:pPr>
            <w:r w:rsidRPr="00BA68F0">
              <w:rPr>
                <w:color w:val="000000"/>
                <w:sz w:val="20"/>
                <w:szCs w:val="20"/>
              </w:rPr>
              <w:t>Ozone (NO</w:t>
            </w:r>
            <w:r w:rsidRPr="00BA68F0">
              <w:rPr>
                <w:sz w:val="20"/>
                <w:szCs w:val="20"/>
                <w:vertAlign w:val="subscript"/>
              </w:rPr>
              <w:t>X</w:t>
            </w:r>
            <w:r w:rsidRPr="00BA68F0">
              <w:rPr>
                <w:color w:val="000000"/>
                <w:sz w:val="20"/>
                <w:szCs w:val="20"/>
              </w:rPr>
              <w:t xml:space="preserve">) </w:t>
            </w:r>
            <w:r w:rsidRPr="00BA68F0">
              <w:rPr>
                <w:b/>
                <w:color w:val="000000"/>
                <w:sz w:val="20"/>
                <w:szCs w:val="20"/>
                <w:vertAlign w:val="superscript"/>
              </w:rPr>
              <w:t>2</w:t>
            </w:r>
          </w:p>
        </w:tc>
        <w:tc>
          <w:tcPr>
            <w:tcW w:w="2340" w:type="dxa"/>
            <w:tcBorders>
              <w:top w:val="single" w:sz="4" w:space="0" w:color="auto"/>
              <w:left w:val="single" w:sz="4" w:space="0" w:color="auto"/>
              <w:bottom w:val="single" w:sz="6" w:space="0" w:color="000000"/>
              <w:right w:val="single" w:sz="4" w:space="0" w:color="auto"/>
            </w:tcBorders>
            <w:shd w:val="clear" w:color="auto" w:fill="DAEEF3"/>
            <w:vAlign w:val="center"/>
            <w:hideMark/>
          </w:tcPr>
          <w:p w:rsidR="00F249DC" w:rsidRPr="00BA68F0" w:rsidRDefault="00F249DC" w:rsidP="00F249DC">
            <w:pPr>
              <w:autoSpaceDE w:val="0"/>
              <w:autoSpaceDN w:val="0"/>
              <w:adjustRightInd w:val="0"/>
              <w:spacing w:before="20" w:after="20"/>
              <w:jc w:val="center"/>
              <w:rPr>
                <w:color w:val="000000"/>
                <w:sz w:val="20"/>
                <w:szCs w:val="20"/>
              </w:rPr>
            </w:pPr>
            <w:r w:rsidRPr="00BA68F0">
              <w:rPr>
                <w:color w:val="000000"/>
                <w:sz w:val="20"/>
                <w:szCs w:val="20"/>
              </w:rPr>
              <w:t>40</w:t>
            </w:r>
          </w:p>
        </w:tc>
        <w:tc>
          <w:tcPr>
            <w:tcW w:w="2070" w:type="dxa"/>
            <w:tcBorders>
              <w:top w:val="single" w:sz="6" w:space="0" w:color="000000"/>
              <w:left w:val="single" w:sz="4" w:space="0" w:color="auto"/>
              <w:bottom w:val="single" w:sz="6" w:space="0" w:color="000000"/>
              <w:right w:val="single" w:sz="4" w:space="0" w:color="auto"/>
            </w:tcBorders>
            <w:vAlign w:val="center"/>
            <w:hideMark/>
          </w:tcPr>
          <w:p w:rsidR="00F249DC" w:rsidRPr="00BA68F0" w:rsidRDefault="00F249DC" w:rsidP="00F249DC">
            <w:pPr>
              <w:autoSpaceDE w:val="0"/>
              <w:autoSpaceDN w:val="0"/>
              <w:adjustRightInd w:val="0"/>
              <w:spacing w:before="20" w:after="20"/>
              <w:jc w:val="center"/>
              <w:rPr>
                <w:color w:val="000000"/>
                <w:sz w:val="20"/>
                <w:szCs w:val="20"/>
              </w:rPr>
            </w:pPr>
            <w:r w:rsidRPr="00BA68F0">
              <w:rPr>
                <w:color w:val="000000"/>
                <w:sz w:val="20"/>
                <w:szCs w:val="20"/>
              </w:rPr>
              <w:t>SAM</w:t>
            </w:r>
          </w:p>
        </w:tc>
        <w:tc>
          <w:tcPr>
            <w:tcW w:w="2790" w:type="dxa"/>
            <w:tcBorders>
              <w:top w:val="single" w:sz="6" w:space="0" w:color="000000"/>
              <w:left w:val="single" w:sz="4" w:space="0" w:color="auto"/>
              <w:bottom w:val="single" w:sz="6" w:space="0" w:color="000000"/>
              <w:right w:val="single" w:sz="12" w:space="0" w:color="auto"/>
            </w:tcBorders>
            <w:shd w:val="clear" w:color="auto" w:fill="DAEEF3"/>
            <w:vAlign w:val="center"/>
            <w:hideMark/>
          </w:tcPr>
          <w:p w:rsidR="00F249DC" w:rsidRPr="00BA68F0" w:rsidRDefault="00F249DC" w:rsidP="00F249DC">
            <w:pPr>
              <w:autoSpaceDE w:val="0"/>
              <w:autoSpaceDN w:val="0"/>
              <w:adjustRightInd w:val="0"/>
              <w:spacing w:before="20" w:after="20"/>
              <w:jc w:val="center"/>
              <w:rPr>
                <w:color w:val="000000"/>
                <w:sz w:val="20"/>
                <w:szCs w:val="20"/>
              </w:rPr>
            </w:pPr>
            <w:r w:rsidRPr="00BA68F0">
              <w:rPr>
                <w:color w:val="000000"/>
                <w:sz w:val="20"/>
                <w:szCs w:val="20"/>
              </w:rPr>
              <w:t>7</w:t>
            </w:r>
          </w:p>
        </w:tc>
      </w:tr>
      <w:tr w:rsidR="00F249DC" w:rsidRPr="005C0768" w:rsidTr="009171FE">
        <w:trPr>
          <w:trHeight w:val="255"/>
        </w:trPr>
        <w:tc>
          <w:tcPr>
            <w:tcW w:w="2070" w:type="dxa"/>
            <w:tcBorders>
              <w:top w:val="single" w:sz="6" w:space="0" w:color="000000"/>
              <w:left w:val="single" w:sz="12" w:space="0" w:color="auto"/>
              <w:bottom w:val="single" w:sz="6" w:space="0" w:color="000000"/>
              <w:right w:val="single" w:sz="4" w:space="0" w:color="auto"/>
            </w:tcBorders>
            <w:vAlign w:val="center"/>
            <w:hideMark/>
          </w:tcPr>
          <w:p w:rsidR="00F249DC" w:rsidRPr="00BA68F0" w:rsidRDefault="00F249DC" w:rsidP="00F249DC">
            <w:pPr>
              <w:autoSpaceDE w:val="0"/>
              <w:autoSpaceDN w:val="0"/>
              <w:adjustRightInd w:val="0"/>
              <w:spacing w:before="20" w:after="20"/>
              <w:jc w:val="center"/>
              <w:rPr>
                <w:color w:val="000000"/>
                <w:sz w:val="20"/>
                <w:szCs w:val="20"/>
              </w:rPr>
            </w:pPr>
            <w:r w:rsidRPr="00BA68F0">
              <w:rPr>
                <w:color w:val="000000"/>
                <w:sz w:val="20"/>
                <w:szCs w:val="20"/>
              </w:rPr>
              <w:t>SO</w:t>
            </w:r>
            <w:r w:rsidRPr="00BA68F0">
              <w:rPr>
                <w:color w:val="000000"/>
                <w:sz w:val="20"/>
                <w:szCs w:val="20"/>
                <w:vertAlign w:val="subscript"/>
              </w:rPr>
              <w:t>2</w:t>
            </w:r>
          </w:p>
        </w:tc>
        <w:tc>
          <w:tcPr>
            <w:tcW w:w="2340" w:type="dxa"/>
            <w:tcBorders>
              <w:top w:val="single" w:sz="6" w:space="0" w:color="000000"/>
              <w:left w:val="single" w:sz="4" w:space="0" w:color="auto"/>
              <w:bottom w:val="single" w:sz="6" w:space="0" w:color="000000"/>
              <w:right w:val="single" w:sz="4" w:space="0" w:color="auto"/>
            </w:tcBorders>
            <w:shd w:val="clear" w:color="auto" w:fill="DAEEF3"/>
            <w:vAlign w:val="center"/>
            <w:hideMark/>
          </w:tcPr>
          <w:p w:rsidR="00F249DC" w:rsidRPr="00BA68F0" w:rsidRDefault="00F249DC" w:rsidP="00F249DC">
            <w:pPr>
              <w:autoSpaceDE w:val="0"/>
              <w:autoSpaceDN w:val="0"/>
              <w:adjustRightInd w:val="0"/>
              <w:spacing w:before="20" w:after="20"/>
              <w:jc w:val="center"/>
              <w:rPr>
                <w:color w:val="000000"/>
                <w:sz w:val="20"/>
                <w:szCs w:val="20"/>
              </w:rPr>
            </w:pPr>
            <w:r w:rsidRPr="00BA68F0">
              <w:rPr>
                <w:color w:val="000000"/>
                <w:sz w:val="20"/>
                <w:szCs w:val="20"/>
              </w:rPr>
              <w:t>40</w:t>
            </w:r>
          </w:p>
        </w:tc>
        <w:tc>
          <w:tcPr>
            <w:tcW w:w="2070" w:type="dxa"/>
            <w:tcBorders>
              <w:top w:val="single" w:sz="6" w:space="0" w:color="000000"/>
              <w:left w:val="single" w:sz="4" w:space="0" w:color="auto"/>
              <w:bottom w:val="single" w:sz="6" w:space="0" w:color="000000"/>
              <w:right w:val="single" w:sz="4" w:space="0" w:color="auto"/>
            </w:tcBorders>
            <w:vAlign w:val="center"/>
            <w:hideMark/>
          </w:tcPr>
          <w:p w:rsidR="00F249DC" w:rsidRPr="00BA68F0" w:rsidRDefault="00F249DC" w:rsidP="00F249DC">
            <w:pPr>
              <w:autoSpaceDE w:val="0"/>
              <w:autoSpaceDN w:val="0"/>
              <w:adjustRightInd w:val="0"/>
              <w:spacing w:before="20" w:after="20"/>
              <w:jc w:val="center"/>
              <w:rPr>
                <w:color w:val="000000"/>
                <w:sz w:val="20"/>
                <w:szCs w:val="20"/>
              </w:rPr>
            </w:pPr>
            <w:r w:rsidRPr="00BA68F0">
              <w:rPr>
                <w:color w:val="000000"/>
                <w:sz w:val="20"/>
                <w:szCs w:val="20"/>
              </w:rPr>
              <w:t>Pb</w:t>
            </w:r>
          </w:p>
        </w:tc>
        <w:tc>
          <w:tcPr>
            <w:tcW w:w="2790" w:type="dxa"/>
            <w:tcBorders>
              <w:top w:val="single" w:sz="6" w:space="0" w:color="000000"/>
              <w:left w:val="single" w:sz="4" w:space="0" w:color="auto"/>
              <w:bottom w:val="single" w:sz="6" w:space="0" w:color="000000"/>
              <w:right w:val="single" w:sz="12" w:space="0" w:color="auto"/>
            </w:tcBorders>
            <w:shd w:val="clear" w:color="auto" w:fill="DAEEF3"/>
            <w:vAlign w:val="center"/>
            <w:hideMark/>
          </w:tcPr>
          <w:p w:rsidR="00F249DC" w:rsidRPr="00BA68F0" w:rsidRDefault="00F249DC" w:rsidP="00F249DC">
            <w:pPr>
              <w:autoSpaceDE w:val="0"/>
              <w:autoSpaceDN w:val="0"/>
              <w:adjustRightInd w:val="0"/>
              <w:spacing w:before="20" w:after="20"/>
              <w:jc w:val="center"/>
              <w:rPr>
                <w:color w:val="000000"/>
                <w:sz w:val="20"/>
                <w:szCs w:val="20"/>
              </w:rPr>
            </w:pPr>
            <w:r w:rsidRPr="00BA68F0">
              <w:rPr>
                <w:color w:val="000000"/>
                <w:sz w:val="20"/>
                <w:szCs w:val="20"/>
              </w:rPr>
              <w:t>0.6</w:t>
            </w:r>
          </w:p>
        </w:tc>
      </w:tr>
      <w:tr w:rsidR="00F249DC" w:rsidRPr="005C0768" w:rsidTr="009171FE">
        <w:trPr>
          <w:trHeight w:val="255"/>
        </w:trPr>
        <w:tc>
          <w:tcPr>
            <w:tcW w:w="2070" w:type="dxa"/>
            <w:tcBorders>
              <w:top w:val="single" w:sz="6" w:space="0" w:color="000000"/>
              <w:left w:val="single" w:sz="12" w:space="0" w:color="auto"/>
              <w:bottom w:val="single" w:sz="6" w:space="0" w:color="000000"/>
              <w:right w:val="single" w:sz="4" w:space="0" w:color="auto"/>
            </w:tcBorders>
            <w:vAlign w:val="center"/>
            <w:hideMark/>
          </w:tcPr>
          <w:p w:rsidR="00F249DC" w:rsidRPr="00BA68F0" w:rsidRDefault="00F249DC" w:rsidP="00F249DC">
            <w:pPr>
              <w:autoSpaceDE w:val="0"/>
              <w:autoSpaceDN w:val="0"/>
              <w:adjustRightInd w:val="0"/>
              <w:spacing w:before="20" w:after="20"/>
              <w:jc w:val="center"/>
              <w:rPr>
                <w:color w:val="000000"/>
                <w:sz w:val="20"/>
                <w:szCs w:val="20"/>
              </w:rPr>
            </w:pPr>
            <w:r w:rsidRPr="00BA68F0">
              <w:rPr>
                <w:color w:val="000000"/>
                <w:sz w:val="20"/>
                <w:szCs w:val="20"/>
              </w:rPr>
              <w:t>Hg</w:t>
            </w:r>
          </w:p>
        </w:tc>
        <w:tc>
          <w:tcPr>
            <w:tcW w:w="2340" w:type="dxa"/>
            <w:tcBorders>
              <w:top w:val="single" w:sz="6" w:space="0" w:color="000000"/>
              <w:left w:val="single" w:sz="4" w:space="0" w:color="auto"/>
              <w:bottom w:val="single" w:sz="6" w:space="0" w:color="000000"/>
              <w:right w:val="single" w:sz="4" w:space="0" w:color="auto"/>
            </w:tcBorders>
            <w:shd w:val="clear" w:color="auto" w:fill="DAEEF3"/>
            <w:vAlign w:val="center"/>
            <w:hideMark/>
          </w:tcPr>
          <w:p w:rsidR="00F249DC" w:rsidRPr="00BA68F0" w:rsidRDefault="00F249DC" w:rsidP="00F249DC">
            <w:pPr>
              <w:autoSpaceDE w:val="0"/>
              <w:autoSpaceDN w:val="0"/>
              <w:adjustRightInd w:val="0"/>
              <w:spacing w:before="20" w:after="20"/>
              <w:jc w:val="center"/>
              <w:rPr>
                <w:color w:val="000000"/>
                <w:sz w:val="20"/>
                <w:szCs w:val="20"/>
              </w:rPr>
            </w:pPr>
            <w:r w:rsidRPr="00BA68F0">
              <w:rPr>
                <w:color w:val="000000"/>
                <w:sz w:val="20"/>
                <w:szCs w:val="20"/>
              </w:rPr>
              <w:t xml:space="preserve">0.1 </w:t>
            </w:r>
          </w:p>
        </w:tc>
        <w:tc>
          <w:tcPr>
            <w:tcW w:w="2070" w:type="dxa"/>
            <w:tcBorders>
              <w:top w:val="single" w:sz="6" w:space="0" w:color="000000"/>
              <w:left w:val="single" w:sz="4" w:space="0" w:color="auto"/>
              <w:bottom w:val="single" w:sz="6" w:space="0" w:color="000000"/>
              <w:right w:val="single" w:sz="4" w:space="0" w:color="auto"/>
            </w:tcBorders>
            <w:vAlign w:val="center"/>
            <w:hideMark/>
          </w:tcPr>
          <w:p w:rsidR="00F249DC" w:rsidRPr="00BA68F0" w:rsidRDefault="00F249DC" w:rsidP="00F249DC">
            <w:pPr>
              <w:autoSpaceDE w:val="0"/>
              <w:autoSpaceDN w:val="0"/>
              <w:adjustRightInd w:val="0"/>
              <w:spacing w:before="20" w:after="20"/>
              <w:jc w:val="center"/>
              <w:rPr>
                <w:color w:val="000000"/>
                <w:sz w:val="20"/>
                <w:szCs w:val="20"/>
              </w:rPr>
            </w:pPr>
            <w:r w:rsidRPr="00BA68F0">
              <w:rPr>
                <w:color w:val="000000"/>
                <w:sz w:val="20"/>
                <w:szCs w:val="20"/>
              </w:rPr>
              <w:t>GHG (CO</w:t>
            </w:r>
            <w:r w:rsidRPr="00BA68F0">
              <w:rPr>
                <w:color w:val="000000"/>
                <w:sz w:val="20"/>
                <w:szCs w:val="20"/>
                <w:vertAlign w:val="subscript"/>
              </w:rPr>
              <w:t>2</w:t>
            </w:r>
            <w:r w:rsidRPr="00BA68F0">
              <w:rPr>
                <w:color w:val="000000"/>
                <w:sz w:val="20"/>
                <w:szCs w:val="20"/>
              </w:rPr>
              <w:t>e)</w:t>
            </w:r>
          </w:p>
        </w:tc>
        <w:tc>
          <w:tcPr>
            <w:tcW w:w="2790" w:type="dxa"/>
            <w:tcBorders>
              <w:top w:val="single" w:sz="6" w:space="0" w:color="000000"/>
              <w:left w:val="single" w:sz="4" w:space="0" w:color="auto"/>
              <w:bottom w:val="single" w:sz="6" w:space="0" w:color="000000"/>
              <w:right w:val="single" w:sz="12" w:space="0" w:color="auto"/>
            </w:tcBorders>
            <w:shd w:val="clear" w:color="auto" w:fill="DAEEF3"/>
            <w:vAlign w:val="center"/>
            <w:hideMark/>
          </w:tcPr>
          <w:p w:rsidR="00F249DC" w:rsidRPr="00BA68F0" w:rsidRDefault="00F249DC" w:rsidP="00F249DC">
            <w:pPr>
              <w:autoSpaceDE w:val="0"/>
              <w:autoSpaceDN w:val="0"/>
              <w:adjustRightInd w:val="0"/>
              <w:spacing w:before="20" w:after="20"/>
              <w:jc w:val="center"/>
              <w:rPr>
                <w:color w:val="000000"/>
                <w:sz w:val="20"/>
                <w:szCs w:val="20"/>
              </w:rPr>
            </w:pPr>
            <w:r w:rsidRPr="00BA68F0">
              <w:rPr>
                <w:color w:val="000000"/>
                <w:sz w:val="20"/>
                <w:szCs w:val="20"/>
              </w:rPr>
              <w:t>75,000</w:t>
            </w:r>
            <w:r w:rsidRPr="00BA68F0">
              <w:rPr>
                <w:b/>
                <w:caps/>
                <w:color w:val="000000"/>
                <w:sz w:val="20"/>
                <w:szCs w:val="20"/>
                <w:vertAlign w:val="superscript"/>
              </w:rPr>
              <w:t xml:space="preserve"> 3</w:t>
            </w:r>
          </w:p>
        </w:tc>
      </w:tr>
      <w:tr w:rsidR="00F249DC" w:rsidRPr="005C0768" w:rsidTr="009171FE">
        <w:trPr>
          <w:trHeight w:val="311"/>
        </w:trPr>
        <w:tc>
          <w:tcPr>
            <w:tcW w:w="9270" w:type="dxa"/>
            <w:gridSpan w:val="4"/>
            <w:tcBorders>
              <w:top w:val="single" w:sz="4" w:space="0" w:color="auto"/>
              <w:left w:val="single" w:sz="12" w:space="0" w:color="auto"/>
              <w:bottom w:val="single" w:sz="12" w:space="0" w:color="auto"/>
              <w:right w:val="single" w:sz="12" w:space="0" w:color="auto"/>
            </w:tcBorders>
            <w:hideMark/>
          </w:tcPr>
          <w:p w:rsidR="00F249DC" w:rsidRPr="00036EE7" w:rsidRDefault="00F249DC" w:rsidP="00F249DC">
            <w:pPr>
              <w:numPr>
                <w:ilvl w:val="0"/>
                <w:numId w:val="38"/>
              </w:numPr>
              <w:tabs>
                <w:tab w:val="clear" w:pos="1080"/>
                <w:tab w:val="num" w:pos="342"/>
              </w:tabs>
              <w:autoSpaceDE w:val="0"/>
              <w:autoSpaceDN w:val="0"/>
              <w:adjustRightInd w:val="0"/>
              <w:spacing w:before="20"/>
              <w:ind w:left="342" w:hanging="328"/>
              <w:rPr>
                <w:color w:val="000000"/>
                <w:sz w:val="18"/>
                <w:szCs w:val="18"/>
              </w:rPr>
            </w:pPr>
            <w:r w:rsidRPr="00036EE7">
              <w:rPr>
                <w:color w:val="000000"/>
                <w:sz w:val="18"/>
                <w:szCs w:val="18"/>
              </w:rPr>
              <w:t>Excluding fluoride and those pollutants defined for Pulp and Paper, MWC, MSW landfills.</w:t>
            </w:r>
          </w:p>
          <w:p w:rsidR="00F249DC" w:rsidRPr="00036EE7" w:rsidRDefault="00F249DC" w:rsidP="00F249DC">
            <w:pPr>
              <w:numPr>
                <w:ilvl w:val="0"/>
                <w:numId w:val="38"/>
              </w:numPr>
              <w:tabs>
                <w:tab w:val="clear" w:pos="1080"/>
                <w:tab w:val="num" w:pos="342"/>
              </w:tabs>
              <w:autoSpaceDE w:val="0"/>
              <w:autoSpaceDN w:val="0"/>
              <w:adjustRightInd w:val="0"/>
              <w:ind w:left="342" w:hanging="328"/>
              <w:rPr>
                <w:color w:val="000000"/>
                <w:sz w:val="18"/>
                <w:szCs w:val="18"/>
              </w:rPr>
            </w:pPr>
            <w:r w:rsidRPr="00036EE7">
              <w:rPr>
                <w:color w:val="000000"/>
                <w:sz w:val="18"/>
                <w:szCs w:val="18"/>
              </w:rPr>
              <w:t>Ozone (O</w:t>
            </w:r>
            <w:r w:rsidRPr="00036EE7">
              <w:rPr>
                <w:color w:val="000000"/>
                <w:sz w:val="18"/>
                <w:szCs w:val="18"/>
                <w:vertAlign w:val="subscript"/>
              </w:rPr>
              <w:t>3</w:t>
            </w:r>
            <w:r w:rsidRPr="00036EE7">
              <w:rPr>
                <w:color w:val="000000"/>
                <w:sz w:val="18"/>
                <w:szCs w:val="18"/>
              </w:rPr>
              <w:t>) is regulated by its precursors (VOC and NO</w:t>
            </w:r>
            <w:r w:rsidRPr="00036EE7">
              <w:rPr>
                <w:color w:val="000000"/>
                <w:sz w:val="18"/>
                <w:szCs w:val="18"/>
                <w:vertAlign w:val="subscript"/>
              </w:rPr>
              <w:t>X</w:t>
            </w:r>
            <w:r w:rsidRPr="00036EE7">
              <w:rPr>
                <w:color w:val="000000"/>
                <w:sz w:val="18"/>
                <w:szCs w:val="18"/>
              </w:rPr>
              <w:t>).  PSD for PM</w:t>
            </w:r>
            <w:r w:rsidRPr="00036EE7">
              <w:rPr>
                <w:color w:val="000000"/>
                <w:sz w:val="18"/>
                <w:szCs w:val="18"/>
                <w:vertAlign w:val="subscript"/>
              </w:rPr>
              <w:t>2.5</w:t>
            </w:r>
            <w:r w:rsidRPr="00036EE7">
              <w:rPr>
                <w:color w:val="000000"/>
                <w:sz w:val="18"/>
                <w:szCs w:val="18"/>
              </w:rPr>
              <w:t xml:space="preserve"> can be triggered by its precursors (NO</w:t>
            </w:r>
            <w:r w:rsidRPr="00036EE7">
              <w:rPr>
                <w:color w:val="000000"/>
                <w:sz w:val="18"/>
                <w:szCs w:val="18"/>
                <w:vertAlign w:val="subscript"/>
              </w:rPr>
              <w:t>X</w:t>
            </w:r>
            <w:r w:rsidRPr="00036EE7">
              <w:rPr>
                <w:color w:val="000000"/>
                <w:sz w:val="18"/>
                <w:szCs w:val="18"/>
              </w:rPr>
              <w:t xml:space="preserve"> and SO</w:t>
            </w:r>
            <w:r w:rsidRPr="00036EE7">
              <w:rPr>
                <w:color w:val="000000"/>
                <w:sz w:val="18"/>
                <w:szCs w:val="18"/>
                <w:vertAlign w:val="subscript"/>
              </w:rPr>
              <w:t>2</w:t>
            </w:r>
            <w:r w:rsidRPr="00036EE7">
              <w:rPr>
                <w:color w:val="000000"/>
                <w:sz w:val="18"/>
                <w:szCs w:val="18"/>
              </w:rPr>
              <w:t>).</w:t>
            </w:r>
          </w:p>
          <w:p w:rsidR="00F249DC" w:rsidRPr="00B11687" w:rsidRDefault="00F249DC" w:rsidP="00270431">
            <w:pPr>
              <w:keepNext/>
              <w:numPr>
                <w:ilvl w:val="0"/>
                <w:numId w:val="38"/>
              </w:numPr>
              <w:tabs>
                <w:tab w:val="clear" w:pos="1080"/>
                <w:tab w:val="num" w:pos="342"/>
              </w:tabs>
              <w:autoSpaceDE w:val="0"/>
              <w:autoSpaceDN w:val="0"/>
              <w:adjustRightInd w:val="0"/>
              <w:spacing w:after="20"/>
              <w:ind w:left="342" w:hanging="328"/>
              <w:outlineLvl w:val="0"/>
              <w:rPr>
                <w:color w:val="000000"/>
                <w:sz w:val="18"/>
                <w:szCs w:val="18"/>
              </w:rPr>
            </w:pPr>
            <w:r w:rsidRPr="004A7F6E">
              <w:rPr>
                <w:color w:val="000000"/>
                <w:sz w:val="18"/>
                <w:szCs w:val="18"/>
              </w:rPr>
              <w:t>GHG is subject to federal regulation for projects at this stationary source that will result in an emissions increase 75,000 TPY of GHG (as CO2e) or more.  GHG regulations have not been incorporated into Department rules.</w:t>
            </w:r>
            <w:r>
              <w:rPr>
                <w:color w:val="000000"/>
                <w:sz w:val="18"/>
                <w:szCs w:val="18"/>
              </w:rPr>
              <w:t xml:space="preserve">  </w:t>
            </w:r>
          </w:p>
        </w:tc>
      </w:tr>
    </w:tbl>
    <w:p w:rsidR="006F69AC" w:rsidRDefault="006F69AC" w:rsidP="00F249DC">
      <w:pPr>
        <w:widowControl w:val="0"/>
        <w:spacing w:before="120" w:after="120"/>
        <w:rPr>
          <w:sz w:val="22"/>
          <w:szCs w:val="22"/>
        </w:rPr>
      </w:pPr>
      <w:r>
        <w:rPr>
          <w:sz w:val="22"/>
          <w:szCs w:val="22"/>
        </w:rPr>
        <w:t xml:space="preserve">The original GREC project wherein the construction of the facility was authorized was subject to the PSD SER limits given in </w:t>
      </w:r>
      <w:fldSimple w:instr=" REF _Ref367970333 \h  \* MERGEFORMAT ">
        <w:r w:rsidRPr="006F69AC">
          <w:rPr>
            <w:color w:val="000000" w:themeColor="text1"/>
            <w:sz w:val="22"/>
            <w:szCs w:val="22"/>
          </w:rPr>
          <w:t>Table</w:t>
        </w:r>
        <w:r w:rsidRPr="00BA68F0">
          <w:rPr>
            <w:rFonts w:ascii="Times New Roman Bold" w:hAnsi="Times New Roman Bold"/>
            <w:caps/>
            <w:color w:val="000000" w:themeColor="text1"/>
            <w:sz w:val="22"/>
            <w:szCs w:val="22"/>
          </w:rPr>
          <w:t xml:space="preserve"> </w:t>
        </w:r>
        <w:r>
          <w:rPr>
            <w:rFonts w:ascii="Times New Roman Bold" w:hAnsi="Times New Roman Bold"/>
            <w:caps/>
            <w:noProof/>
            <w:color w:val="000000" w:themeColor="text1"/>
            <w:sz w:val="22"/>
            <w:szCs w:val="22"/>
          </w:rPr>
          <w:t>5</w:t>
        </w:r>
      </w:fldSimple>
      <w:r>
        <w:rPr>
          <w:sz w:val="22"/>
          <w:szCs w:val="22"/>
        </w:rPr>
        <w:t xml:space="preserve"> above because it was co-located with the GRU DGS.  The original GREC project, exceed the PSD SER for CO, VOC, PM and PM</w:t>
      </w:r>
      <w:r w:rsidRPr="006F69AC">
        <w:rPr>
          <w:sz w:val="22"/>
          <w:szCs w:val="22"/>
          <w:vertAlign w:val="subscript"/>
        </w:rPr>
        <w:t>10</w:t>
      </w:r>
      <w:r>
        <w:rPr>
          <w:sz w:val="22"/>
          <w:szCs w:val="22"/>
        </w:rPr>
        <w:t>.  Due to concurrent reductions in emissions of NO</w:t>
      </w:r>
      <w:r w:rsidRPr="006F69AC">
        <w:rPr>
          <w:sz w:val="22"/>
          <w:szCs w:val="22"/>
          <w:vertAlign w:val="subscript"/>
        </w:rPr>
        <w:t>X</w:t>
      </w:r>
      <w:r>
        <w:rPr>
          <w:sz w:val="22"/>
          <w:szCs w:val="22"/>
        </w:rPr>
        <w:t xml:space="preserve"> and SO</w:t>
      </w:r>
      <w:r w:rsidRPr="006F69AC">
        <w:rPr>
          <w:sz w:val="22"/>
          <w:szCs w:val="22"/>
          <w:vertAlign w:val="subscript"/>
        </w:rPr>
        <w:t>2</w:t>
      </w:r>
      <w:r w:rsidR="00194F56">
        <w:rPr>
          <w:sz w:val="22"/>
          <w:szCs w:val="22"/>
        </w:rPr>
        <w:t xml:space="preserve"> at the GRU DGS</w:t>
      </w:r>
      <w:r>
        <w:rPr>
          <w:sz w:val="22"/>
          <w:szCs w:val="22"/>
        </w:rPr>
        <w:t>, the original GREC project netted out of PSD for these pollutants.  W</w:t>
      </w:r>
      <w:r w:rsidR="00BA68F0">
        <w:rPr>
          <w:sz w:val="22"/>
          <w:szCs w:val="22"/>
        </w:rPr>
        <w:t xml:space="preserve">ith regard to </w:t>
      </w:r>
      <w:r w:rsidR="00270431">
        <w:rPr>
          <w:sz w:val="22"/>
          <w:szCs w:val="22"/>
        </w:rPr>
        <w:t>GHG PSD applicability, GREC received its final PSD permit prior to January 3, 2012 and consequently was exempt from GHG permitting requirements.</w:t>
      </w:r>
      <w:r w:rsidR="00687C7F">
        <w:rPr>
          <w:sz w:val="22"/>
          <w:szCs w:val="22"/>
        </w:rPr>
        <w:t xml:space="preserve">  </w:t>
      </w:r>
      <w:r>
        <w:rPr>
          <w:sz w:val="22"/>
          <w:szCs w:val="22"/>
        </w:rPr>
        <w:t>GREC</w:t>
      </w:r>
      <w:r w:rsidRPr="00290299">
        <w:rPr>
          <w:sz w:val="22"/>
          <w:szCs w:val="22"/>
        </w:rPr>
        <w:t xml:space="preserve"> is located in </w:t>
      </w:r>
      <w:r>
        <w:rPr>
          <w:sz w:val="22"/>
          <w:szCs w:val="22"/>
        </w:rPr>
        <w:t xml:space="preserve">Alachua </w:t>
      </w:r>
      <w:r w:rsidRPr="00290299">
        <w:rPr>
          <w:sz w:val="22"/>
          <w:szCs w:val="22"/>
        </w:rPr>
        <w:t>County, which is in an area that is currently in attainment with the state and federal AAQS or otherwise designated as uncla</w:t>
      </w:r>
      <w:r w:rsidRPr="00AD0C6C">
        <w:rPr>
          <w:sz w:val="22"/>
          <w:szCs w:val="22"/>
        </w:rPr>
        <w:t xml:space="preserve">ssifiable.  </w:t>
      </w:r>
    </w:p>
    <w:p w:rsidR="003059BE" w:rsidRPr="000F0BA4" w:rsidRDefault="00270431" w:rsidP="00270431">
      <w:pPr>
        <w:numPr>
          <w:ilvl w:val="1"/>
          <w:numId w:val="5"/>
        </w:numPr>
        <w:tabs>
          <w:tab w:val="num" w:pos="720"/>
        </w:tabs>
        <w:spacing w:after="120"/>
        <w:ind w:left="720" w:hanging="720"/>
        <w:outlineLvl w:val="0"/>
        <w:rPr>
          <w:b/>
          <w:sz w:val="22"/>
          <w:szCs w:val="22"/>
          <w:u w:val="single"/>
        </w:rPr>
      </w:pPr>
      <w:r w:rsidRPr="00290299">
        <w:rPr>
          <w:b/>
          <w:sz w:val="22"/>
          <w:szCs w:val="22"/>
        </w:rPr>
        <w:t xml:space="preserve">PSD Applicability for the </w:t>
      </w:r>
      <w:r w:rsidR="006F69AC">
        <w:rPr>
          <w:b/>
          <w:sz w:val="22"/>
          <w:szCs w:val="22"/>
        </w:rPr>
        <w:t xml:space="preserve">Current </w:t>
      </w:r>
      <w:r w:rsidRPr="00290299">
        <w:rPr>
          <w:b/>
          <w:sz w:val="22"/>
          <w:szCs w:val="22"/>
        </w:rPr>
        <w:t>Project</w:t>
      </w:r>
    </w:p>
    <w:p w:rsidR="0068067E" w:rsidRPr="006C0330" w:rsidRDefault="006A570A" w:rsidP="006C0330">
      <w:pPr>
        <w:pStyle w:val="BodyText"/>
        <w:widowControl w:val="0"/>
        <w:rPr>
          <w:sz w:val="22"/>
          <w:szCs w:val="22"/>
        </w:rPr>
      </w:pPr>
      <w:r>
        <w:rPr>
          <w:sz w:val="22"/>
          <w:szCs w:val="22"/>
        </w:rPr>
        <w:t xml:space="preserve">No emission increase of </w:t>
      </w:r>
      <w:r w:rsidR="00D700E6">
        <w:rPr>
          <w:sz w:val="22"/>
          <w:szCs w:val="22"/>
        </w:rPr>
        <w:t xml:space="preserve">the </w:t>
      </w:r>
      <w:r>
        <w:rPr>
          <w:sz w:val="22"/>
          <w:szCs w:val="22"/>
        </w:rPr>
        <w:t>PSD pollutant</w:t>
      </w:r>
      <w:r w:rsidR="00D700E6">
        <w:rPr>
          <w:sz w:val="22"/>
          <w:szCs w:val="22"/>
        </w:rPr>
        <w:t>s NO</w:t>
      </w:r>
      <w:r w:rsidR="00D700E6" w:rsidRPr="00D700E6">
        <w:rPr>
          <w:sz w:val="22"/>
          <w:szCs w:val="22"/>
          <w:vertAlign w:val="subscript"/>
        </w:rPr>
        <w:t>X</w:t>
      </w:r>
      <w:r w:rsidR="00D700E6">
        <w:rPr>
          <w:sz w:val="22"/>
          <w:szCs w:val="22"/>
        </w:rPr>
        <w:t>, CO, VOC, SO</w:t>
      </w:r>
      <w:r w:rsidR="00D700E6" w:rsidRPr="00D700E6">
        <w:rPr>
          <w:sz w:val="22"/>
          <w:szCs w:val="22"/>
          <w:vertAlign w:val="subscript"/>
        </w:rPr>
        <w:t>2</w:t>
      </w:r>
      <w:r w:rsidR="00D700E6">
        <w:rPr>
          <w:sz w:val="22"/>
          <w:szCs w:val="22"/>
        </w:rPr>
        <w:t xml:space="preserve"> and PM/PM</w:t>
      </w:r>
      <w:r w:rsidR="00D700E6" w:rsidRPr="00D700E6">
        <w:rPr>
          <w:sz w:val="22"/>
          <w:szCs w:val="22"/>
          <w:vertAlign w:val="subscript"/>
        </w:rPr>
        <w:t>10</w:t>
      </w:r>
      <w:r w:rsidR="00D700E6">
        <w:rPr>
          <w:sz w:val="22"/>
          <w:szCs w:val="22"/>
        </w:rPr>
        <w:t>/PM</w:t>
      </w:r>
      <w:r w:rsidR="00D700E6" w:rsidRPr="00D700E6">
        <w:rPr>
          <w:sz w:val="22"/>
          <w:szCs w:val="22"/>
          <w:vertAlign w:val="subscript"/>
        </w:rPr>
        <w:t>2.5</w:t>
      </w:r>
      <w:r>
        <w:rPr>
          <w:sz w:val="22"/>
          <w:szCs w:val="22"/>
        </w:rPr>
        <w:t xml:space="preserve"> will occur as a result of </w:t>
      </w:r>
      <w:r w:rsidR="00D700E6">
        <w:rPr>
          <w:sz w:val="22"/>
          <w:szCs w:val="22"/>
        </w:rPr>
        <w:t>this project</w:t>
      </w:r>
      <w:r>
        <w:rPr>
          <w:sz w:val="22"/>
          <w:szCs w:val="22"/>
        </w:rPr>
        <w:t xml:space="preserve">.  </w:t>
      </w:r>
      <w:r w:rsidR="00D700E6">
        <w:rPr>
          <w:sz w:val="22"/>
          <w:szCs w:val="22"/>
        </w:rPr>
        <w:t>In addition, the Department does not expect an increase in Pb or any other HAP (organic, metal or acid gas) to result from this project since the pollution control system, fuels and operation</w:t>
      </w:r>
      <w:r w:rsidR="00772223">
        <w:rPr>
          <w:sz w:val="22"/>
          <w:szCs w:val="22"/>
        </w:rPr>
        <w:t>al</w:t>
      </w:r>
      <w:r w:rsidR="00D700E6">
        <w:rPr>
          <w:sz w:val="22"/>
          <w:szCs w:val="22"/>
        </w:rPr>
        <w:t xml:space="preserve"> procedures at the GREC will not change.  However, stack testing for meta</w:t>
      </w:r>
      <w:r w:rsidR="00641F4A">
        <w:rPr>
          <w:sz w:val="22"/>
          <w:szCs w:val="22"/>
        </w:rPr>
        <w:t>l and organic HAP described in</w:t>
      </w:r>
      <w:r w:rsidR="00D700E6">
        <w:rPr>
          <w:sz w:val="22"/>
          <w:szCs w:val="22"/>
        </w:rPr>
        <w:t xml:space="preserve"> </w:t>
      </w:r>
      <w:r w:rsidR="00641F4A" w:rsidRPr="00EF3AD1">
        <w:rPr>
          <w:b/>
          <w:color w:val="000000"/>
          <w:sz w:val="22"/>
          <w:szCs w:val="22"/>
        </w:rPr>
        <w:t>subsection 1.3</w:t>
      </w:r>
      <w:r w:rsidR="00641F4A">
        <w:rPr>
          <w:b/>
          <w:color w:val="000000"/>
          <w:sz w:val="22"/>
          <w:szCs w:val="22"/>
        </w:rPr>
        <w:t xml:space="preserve"> </w:t>
      </w:r>
      <w:r w:rsidR="00641F4A">
        <w:rPr>
          <w:sz w:val="22"/>
          <w:szCs w:val="22"/>
        </w:rPr>
        <w:t xml:space="preserve">will no longer be required since such testing is superseded by the </w:t>
      </w:r>
      <w:r w:rsidR="00641F4A">
        <w:rPr>
          <w:sz w:val="22"/>
          <w:szCs w:val="22"/>
        </w:rPr>
        <w:lastRenderedPageBreak/>
        <w:t xml:space="preserve">requirements of NESHAP Subpart DDDDD. </w:t>
      </w:r>
      <w:r w:rsidR="009B2354">
        <w:rPr>
          <w:sz w:val="22"/>
          <w:szCs w:val="22"/>
        </w:rPr>
        <w:t xml:space="preserve"> </w:t>
      </w:r>
      <w:r w:rsidR="00A17B7B">
        <w:rPr>
          <w:sz w:val="22"/>
          <w:szCs w:val="22"/>
        </w:rPr>
        <w:t>However, in addition to meeting the NESHAP Subpart DDDDD HCl emission limit</w:t>
      </w:r>
      <w:r w:rsidR="00A731ED">
        <w:rPr>
          <w:sz w:val="22"/>
          <w:szCs w:val="22"/>
        </w:rPr>
        <w:t>,</w:t>
      </w:r>
      <w:r w:rsidR="00A17B7B">
        <w:rPr>
          <w:sz w:val="22"/>
          <w:szCs w:val="22"/>
        </w:rPr>
        <w:t xml:space="preserve"> </w:t>
      </w:r>
      <w:r w:rsidR="00A731ED">
        <w:rPr>
          <w:sz w:val="22"/>
          <w:szCs w:val="22"/>
        </w:rPr>
        <w:t>GREC will</w:t>
      </w:r>
      <w:r w:rsidR="00A17B7B">
        <w:rPr>
          <w:sz w:val="22"/>
          <w:szCs w:val="22"/>
        </w:rPr>
        <w:t xml:space="preserve"> continue to meet the HF emission limit in the permit</w:t>
      </w:r>
      <w:r w:rsidR="00A731ED">
        <w:rPr>
          <w:sz w:val="22"/>
          <w:szCs w:val="22"/>
        </w:rPr>
        <w:t>.  This limit</w:t>
      </w:r>
      <w:r w:rsidR="00A17B7B">
        <w:rPr>
          <w:sz w:val="22"/>
          <w:szCs w:val="22"/>
        </w:rPr>
        <w:t xml:space="preserve"> equates to 0.0016 lb/MMBtu</w:t>
      </w:r>
      <w:r w:rsidR="00A731ED">
        <w:rPr>
          <w:sz w:val="22"/>
          <w:szCs w:val="22"/>
        </w:rPr>
        <w:t xml:space="preserve"> or 2.2 pounds per hour (lb/hr)</w:t>
      </w:r>
      <w:r w:rsidR="00A17B7B">
        <w:rPr>
          <w:sz w:val="22"/>
          <w:szCs w:val="22"/>
        </w:rPr>
        <w:t xml:space="preserve">.  </w:t>
      </w:r>
      <w:r w:rsidR="00A731ED">
        <w:rPr>
          <w:sz w:val="22"/>
          <w:szCs w:val="22"/>
        </w:rPr>
        <w:t>As a result of this project, c</w:t>
      </w:r>
      <w:r w:rsidR="00A17B7B">
        <w:rPr>
          <w:sz w:val="22"/>
          <w:szCs w:val="22"/>
        </w:rPr>
        <w:t>ompliance with both the HCL and HF limits will be by annual stack tests</w:t>
      </w:r>
      <w:r w:rsidR="00772223">
        <w:rPr>
          <w:sz w:val="22"/>
          <w:szCs w:val="22"/>
        </w:rPr>
        <w:t xml:space="preserve"> with the HCl and HF CEMS requirements removed from the permit</w:t>
      </w:r>
      <w:r w:rsidR="00A17B7B">
        <w:rPr>
          <w:sz w:val="22"/>
          <w:szCs w:val="22"/>
        </w:rPr>
        <w:t xml:space="preserve">.  </w:t>
      </w:r>
      <w:r>
        <w:rPr>
          <w:sz w:val="22"/>
          <w:szCs w:val="22"/>
        </w:rPr>
        <w:t>Also, since PSD is not trigger</w:t>
      </w:r>
      <w:r w:rsidR="009171FE">
        <w:rPr>
          <w:sz w:val="22"/>
          <w:szCs w:val="22"/>
        </w:rPr>
        <w:t>,</w:t>
      </w:r>
      <w:r>
        <w:rPr>
          <w:sz w:val="22"/>
          <w:szCs w:val="22"/>
        </w:rPr>
        <w:t xml:space="preserve"> air dispersion modeling is not required</w:t>
      </w:r>
      <w:r w:rsidR="00A731ED">
        <w:rPr>
          <w:sz w:val="22"/>
          <w:szCs w:val="22"/>
        </w:rPr>
        <w:t xml:space="preserve"> for this project</w:t>
      </w:r>
      <w:r w:rsidRPr="00A17B7B">
        <w:rPr>
          <w:sz w:val="22"/>
          <w:szCs w:val="22"/>
        </w:rPr>
        <w:t>.</w:t>
      </w:r>
      <w:r w:rsidR="0068067E" w:rsidRPr="00641F4A">
        <w:rPr>
          <w:sz w:val="22"/>
          <w:szCs w:val="22"/>
          <w:highlight w:val="yellow"/>
        </w:rPr>
        <w:t xml:space="preserve">  </w:t>
      </w:r>
    </w:p>
    <w:p w:rsidR="00222AA4" w:rsidRPr="000D1D21" w:rsidRDefault="000D1D21" w:rsidP="006A570A">
      <w:pPr>
        <w:numPr>
          <w:ilvl w:val="0"/>
          <w:numId w:val="5"/>
        </w:numPr>
        <w:tabs>
          <w:tab w:val="left" w:pos="720"/>
        </w:tabs>
        <w:spacing w:after="120"/>
        <w:ind w:left="720" w:hanging="720"/>
        <w:outlineLvl w:val="0"/>
        <w:rPr>
          <w:rFonts w:ascii="Times New Roman Bold" w:hAnsi="Times New Roman Bold"/>
          <w:b/>
          <w:caps/>
          <w:sz w:val="22"/>
          <w:szCs w:val="22"/>
        </w:rPr>
      </w:pPr>
      <w:r w:rsidRPr="000D1D21">
        <w:rPr>
          <w:rFonts w:ascii="Times New Roman Bold" w:hAnsi="Times New Roman Bold"/>
          <w:b/>
          <w:caps/>
          <w:sz w:val="22"/>
          <w:szCs w:val="22"/>
        </w:rPr>
        <w:t>Department analysis</w:t>
      </w:r>
    </w:p>
    <w:p w:rsidR="00222AA4" w:rsidRPr="006A570A" w:rsidRDefault="006A570A" w:rsidP="00611651">
      <w:pPr>
        <w:numPr>
          <w:ilvl w:val="1"/>
          <w:numId w:val="5"/>
        </w:numPr>
        <w:tabs>
          <w:tab w:val="num" w:pos="720"/>
        </w:tabs>
        <w:spacing w:after="120"/>
        <w:ind w:left="720" w:hanging="720"/>
        <w:outlineLvl w:val="0"/>
        <w:rPr>
          <w:b/>
          <w:sz w:val="22"/>
          <w:szCs w:val="22"/>
        </w:rPr>
      </w:pPr>
      <w:r w:rsidRPr="006A570A">
        <w:rPr>
          <w:b/>
          <w:sz w:val="22"/>
          <w:szCs w:val="22"/>
        </w:rPr>
        <w:t>NE</w:t>
      </w:r>
      <w:r w:rsidR="00700D40">
        <w:rPr>
          <w:b/>
          <w:sz w:val="22"/>
          <w:szCs w:val="22"/>
        </w:rPr>
        <w:t>S</w:t>
      </w:r>
      <w:r w:rsidRPr="006A570A">
        <w:rPr>
          <w:b/>
          <w:sz w:val="22"/>
          <w:szCs w:val="22"/>
        </w:rPr>
        <w:t>HAP Subpart DDDDD</w:t>
      </w:r>
    </w:p>
    <w:p w:rsidR="006F69AC" w:rsidRDefault="00A731ED" w:rsidP="00222AA4">
      <w:pPr>
        <w:autoSpaceDE w:val="0"/>
        <w:autoSpaceDN w:val="0"/>
        <w:adjustRightInd w:val="0"/>
        <w:spacing w:after="120"/>
        <w:rPr>
          <w:color w:val="000000"/>
          <w:sz w:val="22"/>
          <w:szCs w:val="22"/>
        </w:rPr>
      </w:pPr>
      <w:r>
        <w:rPr>
          <w:color w:val="000000"/>
          <w:sz w:val="22"/>
          <w:szCs w:val="22"/>
        </w:rPr>
        <w:t>GREC</w:t>
      </w:r>
      <w:r w:rsidR="006A570A">
        <w:rPr>
          <w:color w:val="000000"/>
          <w:sz w:val="22"/>
          <w:szCs w:val="22"/>
        </w:rPr>
        <w:t>, LLC</w:t>
      </w:r>
      <w:r w:rsidR="009171FE">
        <w:rPr>
          <w:color w:val="000000"/>
          <w:sz w:val="22"/>
          <w:szCs w:val="22"/>
        </w:rPr>
        <w:t xml:space="preserve"> has requested that the requirements of NESHAP 40 CFR 63, Subpart DDDDD be incorporated into the GREC permit and that other HAP emission limits and monitoring requirements be removed.  Based on the discussion</w:t>
      </w:r>
      <w:r w:rsidR="00395EB3">
        <w:rPr>
          <w:color w:val="000000"/>
          <w:sz w:val="22"/>
          <w:szCs w:val="22"/>
        </w:rPr>
        <w:t>s</w:t>
      </w:r>
      <w:r w:rsidR="009171FE">
        <w:rPr>
          <w:color w:val="000000"/>
          <w:sz w:val="22"/>
          <w:szCs w:val="22"/>
        </w:rPr>
        <w:t xml:space="preserve"> provided in </w:t>
      </w:r>
      <w:r w:rsidR="009171FE" w:rsidRPr="00EF3AD1">
        <w:rPr>
          <w:b/>
          <w:color w:val="000000"/>
          <w:sz w:val="22"/>
          <w:szCs w:val="22"/>
        </w:rPr>
        <w:t>subsection</w:t>
      </w:r>
      <w:r w:rsidR="00395EB3">
        <w:rPr>
          <w:b/>
          <w:color w:val="000000"/>
          <w:sz w:val="22"/>
          <w:szCs w:val="22"/>
        </w:rPr>
        <w:t>s</w:t>
      </w:r>
      <w:r w:rsidR="009171FE" w:rsidRPr="00EF3AD1">
        <w:rPr>
          <w:b/>
          <w:color w:val="000000"/>
          <w:sz w:val="22"/>
          <w:szCs w:val="22"/>
        </w:rPr>
        <w:t xml:space="preserve"> 1.3</w:t>
      </w:r>
      <w:r w:rsidR="00395EB3">
        <w:rPr>
          <w:color w:val="000000"/>
          <w:sz w:val="22"/>
          <w:szCs w:val="22"/>
        </w:rPr>
        <w:t xml:space="preserve"> and </w:t>
      </w:r>
      <w:r w:rsidR="00395EB3" w:rsidRPr="00395EB3">
        <w:rPr>
          <w:b/>
          <w:color w:val="000000"/>
          <w:sz w:val="22"/>
          <w:szCs w:val="22"/>
        </w:rPr>
        <w:t>2.2</w:t>
      </w:r>
      <w:r w:rsidR="009171FE">
        <w:rPr>
          <w:color w:val="000000"/>
          <w:sz w:val="22"/>
          <w:szCs w:val="22"/>
        </w:rPr>
        <w:t xml:space="preserve"> the Department concurs with this request.  The permit contained in this </w:t>
      </w:r>
      <w:r w:rsidR="00EF3AD1">
        <w:rPr>
          <w:color w:val="000000"/>
          <w:sz w:val="22"/>
          <w:szCs w:val="22"/>
        </w:rPr>
        <w:t xml:space="preserve">draft minor air construction permit </w:t>
      </w:r>
      <w:r w:rsidR="009171FE">
        <w:rPr>
          <w:color w:val="000000"/>
          <w:sz w:val="22"/>
          <w:szCs w:val="22"/>
        </w:rPr>
        <w:t xml:space="preserve">package has been modified accordingly. </w:t>
      </w:r>
    </w:p>
    <w:p w:rsidR="00AF47D7" w:rsidRPr="00AF47D7" w:rsidRDefault="00AF47D7" w:rsidP="00963EF4">
      <w:pPr>
        <w:numPr>
          <w:ilvl w:val="1"/>
          <w:numId w:val="5"/>
        </w:numPr>
        <w:tabs>
          <w:tab w:val="num" w:pos="720"/>
        </w:tabs>
        <w:spacing w:after="120"/>
        <w:ind w:left="720" w:hanging="720"/>
        <w:outlineLvl w:val="0"/>
        <w:rPr>
          <w:b/>
          <w:sz w:val="22"/>
          <w:szCs w:val="22"/>
        </w:rPr>
      </w:pPr>
      <w:r>
        <w:rPr>
          <w:b/>
          <w:sz w:val="22"/>
          <w:szCs w:val="22"/>
        </w:rPr>
        <w:t>Removal of CAIR</w:t>
      </w:r>
    </w:p>
    <w:p w:rsidR="00AF47D7" w:rsidRPr="00AF47D7" w:rsidRDefault="00AF47D7" w:rsidP="00AF47D7">
      <w:pPr>
        <w:spacing w:after="60"/>
        <w:rPr>
          <w:sz w:val="22"/>
          <w:szCs w:val="22"/>
        </w:rPr>
      </w:pPr>
      <w:r w:rsidRPr="00AF47D7">
        <w:rPr>
          <w:sz w:val="22"/>
          <w:szCs w:val="22"/>
        </w:rPr>
        <w:t>The requirements for the CAIR program are set forth in 40 CFR Part 96.  Pursuant to 40 CFR Section 96.4(a), CAIR applies to:</w:t>
      </w:r>
    </w:p>
    <w:p w:rsidR="00AF47D7" w:rsidRPr="00400A83" w:rsidRDefault="00AF47D7" w:rsidP="00AF47D7">
      <w:pPr>
        <w:pStyle w:val="ListParagraph"/>
        <w:numPr>
          <w:ilvl w:val="0"/>
          <w:numId w:val="41"/>
        </w:numPr>
        <w:spacing w:after="60"/>
        <w:ind w:left="900" w:hanging="540"/>
        <w:contextualSpacing w:val="0"/>
        <w:rPr>
          <w:i/>
          <w:sz w:val="22"/>
          <w:szCs w:val="22"/>
        </w:rPr>
      </w:pPr>
      <w:r w:rsidRPr="00400A83">
        <w:rPr>
          <w:i/>
          <w:sz w:val="22"/>
          <w:szCs w:val="22"/>
        </w:rPr>
        <w:t>any unit that, any time on or after January 1, 1995, serves a generator with a nameplate capacity greater than 25 MWe and sells any amount of electricity; or</w:t>
      </w:r>
    </w:p>
    <w:p w:rsidR="00AF47D7" w:rsidRPr="00400A83" w:rsidRDefault="00AF47D7" w:rsidP="00AF47D7">
      <w:pPr>
        <w:pStyle w:val="ListParagraph"/>
        <w:numPr>
          <w:ilvl w:val="0"/>
          <w:numId w:val="41"/>
        </w:numPr>
        <w:spacing w:after="120"/>
        <w:ind w:left="907" w:hanging="547"/>
        <w:contextualSpacing w:val="0"/>
        <w:rPr>
          <w:i/>
          <w:sz w:val="22"/>
          <w:szCs w:val="22"/>
        </w:rPr>
      </w:pPr>
      <w:r w:rsidRPr="00400A83">
        <w:rPr>
          <w:i/>
          <w:sz w:val="22"/>
          <w:szCs w:val="22"/>
        </w:rPr>
        <w:t>Any unit that is not a unit under paragraph (a) of this section and that has a maximum design heat input greater than 250 MMBtu/hr.</w:t>
      </w:r>
    </w:p>
    <w:p w:rsidR="00AF47D7" w:rsidRPr="00AF47D7" w:rsidRDefault="00AF47D7" w:rsidP="00AF47D7">
      <w:pPr>
        <w:spacing w:after="120"/>
        <w:ind w:left="360"/>
        <w:rPr>
          <w:sz w:val="22"/>
          <w:szCs w:val="22"/>
        </w:rPr>
      </w:pPr>
      <w:r w:rsidRPr="00AF47D7">
        <w:rPr>
          <w:sz w:val="22"/>
          <w:szCs w:val="22"/>
        </w:rPr>
        <w:t xml:space="preserve">Section 96.2 defines </w:t>
      </w:r>
      <w:r w:rsidRPr="00A731ED">
        <w:rPr>
          <w:iCs/>
          <w:sz w:val="22"/>
          <w:szCs w:val="22"/>
        </w:rPr>
        <w:t>unit</w:t>
      </w:r>
      <w:r w:rsidRPr="00AF47D7">
        <w:rPr>
          <w:sz w:val="22"/>
          <w:szCs w:val="22"/>
        </w:rPr>
        <w:t xml:space="preserve"> as </w:t>
      </w:r>
      <w:r w:rsidRPr="00A731ED">
        <w:rPr>
          <w:i/>
          <w:sz w:val="22"/>
          <w:szCs w:val="22"/>
        </w:rPr>
        <w:t>“a fossil fuel-fired stationary boiler, combustion turbine, or combined cycle system.”</w:t>
      </w:r>
    </w:p>
    <w:p w:rsidR="00AF47D7" w:rsidRPr="00AF47D7" w:rsidRDefault="00AF47D7" w:rsidP="00AF47D7">
      <w:pPr>
        <w:spacing w:after="60"/>
        <w:ind w:left="360"/>
        <w:rPr>
          <w:sz w:val="22"/>
          <w:szCs w:val="22"/>
        </w:rPr>
      </w:pPr>
      <w:r w:rsidRPr="00AF47D7">
        <w:rPr>
          <w:sz w:val="22"/>
          <w:szCs w:val="22"/>
        </w:rPr>
        <w:t xml:space="preserve">Section 96.2 defines </w:t>
      </w:r>
      <w:r w:rsidR="00A731ED">
        <w:rPr>
          <w:sz w:val="22"/>
          <w:szCs w:val="22"/>
        </w:rPr>
        <w:t>“</w:t>
      </w:r>
      <w:r w:rsidRPr="00AF47D7">
        <w:rPr>
          <w:i/>
          <w:iCs/>
          <w:sz w:val="22"/>
          <w:szCs w:val="22"/>
        </w:rPr>
        <w:t>fossil fuel-fired</w:t>
      </w:r>
      <w:r w:rsidR="00A731ED">
        <w:rPr>
          <w:sz w:val="22"/>
          <w:szCs w:val="22"/>
        </w:rPr>
        <w:t xml:space="preserve">” </w:t>
      </w:r>
      <w:r w:rsidRPr="00AF47D7">
        <w:rPr>
          <w:sz w:val="22"/>
          <w:szCs w:val="22"/>
        </w:rPr>
        <w:t>to mean, with regard to a unit:</w:t>
      </w:r>
    </w:p>
    <w:p w:rsidR="00AF47D7" w:rsidRPr="00400A83" w:rsidRDefault="00AF47D7" w:rsidP="00AF47D7">
      <w:pPr>
        <w:pStyle w:val="ListParagraph"/>
        <w:numPr>
          <w:ilvl w:val="0"/>
          <w:numId w:val="43"/>
        </w:numPr>
        <w:spacing w:after="60"/>
        <w:ind w:left="900" w:hanging="540"/>
        <w:contextualSpacing w:val="0"/>
        <w:rPr>
          <w:i/>
          <w:sz w:val="22"/>
          <w:szCs w:val="22"/>
        </w:rPr>
      </w:pPr>
      <w:r w:rsidRPr="00400A83">
        <w:rPr>
          <w:i/>
          <w:sz w:val="22"/>
          <w:szCs w:val="22"/>
        </w:rPr>
        <w:t>The combustion of fossil fuel, alone or in combination with any other fuel, where fossil fuel actually combusted comprises more than 50 percent of the annual heat input on a Btu basis during any year starting in 1995 or, if a unit had no heat input starting in 1995, during the last year of operation of the unit prior to 1995; or</w:t>
      </w:r>
    </w:p>
    <w:p w:rsidR="00AF47D7" w:rsidRPr="00400A83" w:rsidRDefault="00AF47D7" w:rsidP="00AF47D7">
      <w:pPr>
        <w:pStyle w:val="ListParagraph"/>
        <w:numPr>
          <w:ilvl w:val="0"/>
          <w:numId w:val="43"/>
        </w:numPr>
        <w:spacing w:after="120"/>
        <w:ind w:left="907" w:hanging="547"/>
        <w:contextualSpacing w:val="0"/>
        <w:rPr>
          <w:i/>
          <w:sz w:val="22"/>
          <w:szCs w:val="22"/>
        </w:rPr>
      </w:pPr>
      <w:r w:rsidRPr="00400A83">
        <w:rPr>
          <w:i/>
          <w:sz w:val="22"/>
          <w:szCs w:val="22"/>
        </w:rPr>
        <w:t>The combustion of fossil fuel, alone or in combination with any other fuel, where fossil fuel is projected to comprise more than 50 percent of the annual heat input on a Btu basis during any year; provided that the unit shall be “fossil fuel-fired” as of the date, during such year, on which the unit begins combusting fossil fuel.</w:t>
      </w:r>
    </w:p>
    <w:p w:rsidR="00AF47D7" w:rsidRDefault="00AF47D7" w:rsidP="00AF47D7">
      <w:pPr>
        <w:autoSpaceDE w:val="0"/>
        <w:autoSpaceDN w:val="0"/>
        <w:adjustRightInd w:val="0"/>
        <w:spacing w:after="120"/>
        <w:rPr>
          <w:sz w:val="22"/>
          <w:szCs w:val="22"/>
        </w:rPr>
      </w:pPr>
      <w:r>
        <w:rPr>
          <w:sz w:val="22"/>
          <w:szCs w:val="22"/>
        </w:rPr>
        <w:t xml:space="preserve">According to </w:t>
      </w:r>
      <w:r w:rsidR="00A731ED">
        <w:rPr>
          <w:sz w:val="22"/>
          <w:szCs w:val="22"/>
        </w:rPr>
        <w:t>GREC</w:t>
      </w:r>
      <w:r>
        <w:rPr>
          <w:sz w:val="22"/>
          <w:szCs w:val="22"/>
        </w:rPr>
        <w:t>, LLC, t</w:t>
      </w:r>
      <w:r w:rsidRPr="00AF47D7">
        <w:rPr>
          <w:sz w:val="22"/>
          <w:szCs w:val="22"/>
        </w:rPr>
        <w:t xml:space="preserve">he GREC BFB boiler will only combust natural gas during startups and, therefore, fossil fuel will not comprise more than 50 percent of the annual heat input on a Btu basis.  Consequently, the GREC BFB boiler is not “fossil fuel-fired,” as that term is defined in 40 CFR Part 96.  Since the GREC BFB boiler is not fossil fuel-fired, it also is not a </w:t>
      </w:r>
      <w:r w:rsidR="00A731ED">
        <w:rPr>
          <w:i/>
          <w:sz w:val="22"/>
          <w:szCs w:val="22"/>
        </w:rPr>
        <w:t>“unit</w:t>
      </w:r>
      <w:r w:rsidRPr="00A731ED">
        <w:rPr>
          <w:i/>
          <w:sz w:val="22"/>
          <w:szCs w:val="22"/>
        </w:rPr>
        <w:t>”</w:t>
      </w:r>
      <w:r w:rsidRPr="00AF47D7">
        <w:rPr>
          <w:sz w:val="22"/>
          <w:szCs w:val="22"/>
        </w:rPr>
        <w:t xml:space="preserve"> as that term is defined in 40 CFR Part 96.  Based on the Part 96 provisions, the GREC BFB boiler is not subject to CAIR</w:t>
      </w:r>
      <w:r>
        <w:rPr>
          <w:sz w:val="22"/>
          <w:szCs w:val="22"/>
        </w:rPr>
        <w:t>.</w:t>
      </w:r>
    </w:p>
    <w:p w:rsidR="00AF47D7" w:rsidRPr="00AF47D7" w:rsidRDefault="00AF47D7" w:rsidP="00AF47D7">
      <w:pPr>
        <w:autoSpaceDE w:val="0"/>
        <w:autoSpaceDN w:val="0"/>
        <w:adjustRightInd w:val="0"/>
        <w:spacing w:after="120"/>
        <w:rPr>
          <w:sz w:val="22"/>
          <w:szCs w:val="22"/>
        </w:rPr>
      </w:pPr>
      <w:r>
        <w:rPr>
          <w:sz w:val="22"/>
          <w:szCs w:val="22"/>
        </w:rPr>
        <w:t>The Department agrees with this conclusion and reference</w:t>
      </w:r>
      <w:r w:rsidR="00AF22C9">
        <w:rPr>
          <w:sz w:val="22"/>
          <w:szCs w:val="22"/>
        </w:rPr>
        <w:t>s</w:t>
      </w:r>
      <w:r>
        <w:rPr>
          <w:sz w:val="22"/>
          <w:szCs w:val="22"/>
        </w:rPr>
        <w:t xml:space="preserve"> to CAIR will be removed from the GREC permit.</w:t>
      </w:r>
    </w:p>
    <w:p w:rsidR="00222AA4" w:rsidRPr="00AF47D7" w:rsidRDefault="00AF22C9" w:rsidP="00963EF4">
      <w:pPr>
        <w:numPr>
          <w:ilvl w:val="1"/>
          <w:numId w:val="5"/>
        </w:numPr>
        <w:tabs>
          <w:tab w:val="num" w:pos="720"/>
        </w:tabs>
        <w:spacing w:after="120"/>
        <w:ind w:left="720" w:hanging="720"/>
        <w:outlineLvl w:val="0"/>
        <w:rPr>
          <w:b/>
          <w:sz w:val="22"/>
          <w:szCs w:val="22"/>
        </w:rPr>
      </w:pPr>
      <w:r>
        <w:rPr>
          <w:b/>
          <w:sz w:val="22"/>
          <w:szCs w:val="22"/>
        </w:rPr>
        <w:t>NSPS Subpart Da</w:t>
      </w:r>
    </w:p>
    <w:p w:rsidR="00400A83" w:rsidRDefault="00AF22C9" w:rsidP="00AF22C9">
      <w:pPr>
        <w:spacing w:after="120"/>
        <w:rPr>
          <w:color w:val="000000"/>
          <w:sz w:val="22"/>
          <w:szCs w:val="22"/>
        </w:rPr>
      </w:pPr>
      <w:r w:rsidRPr="00C03B56">
        <w:rPr>
          <w:color w:val="000000"/>
          <w:sz w:val="22"/>
          <w:szCs w:val="22"/>
        </w:rPr>
        <w:t xml:space="preserve">This </w:t>
      </w:r>
      <w:r>
        <w:rPr>
          <w:color w:val="000000"/>
          <w:sz w:val="22"/>
          <w:szCs w:val="22"/>
        </w:rPr>
        <w:t>GREC BFB boiler</w:t>
      </w:r>
      <w:r w:rsidRPr="00C03B56">
        <w:rPr>
          <w:color w:val="000000"/>
          <w:sz w:val="22"/>
          <w:szCs w:val="22"/>
        </w:rPr>
        <w:t xml:space="preserve"> is subject to NSPS Subpart Da </w:t>
      </w:r>
      <w:r w:rsidRPr="00C03B56">
        <w:rPr>
          <w:sz w:val="22"/>
          <w:szCs w:val="22"/>
        </w:rPr>
        <w:t>–</w:t>
      </w:r>
      <w:r w:rsidRPr="00C03B56">
        <w:t xml:space="preserve"> </w:t>
      </w:r>
      <w:r w:rsidRPr="00C03B56">
        <w:rPr>
          <w:sz w:val="22"/>
          <w:szCs w:val="22"/>
        </w:rPr>
        <w:t xml:space="preserve">Standards of Performance for Electric Utility Steam Generating Units for Which Construction is Commenced after September 18, 1978 </w:t>
      </w:r>
      <w:r w:rsidRPr="00400A83">
        <w:rPr>
          <w:i/>
          <w:sz w:val="22"/>
          <w:szCs w:val="22"/>
        </w:rPr>
        <w:t>{72 Federal Register (FR) 32722, June 13, 2007, as amended at 78 FR 24082, Apr</w:t>
      </w:r>
      <w:r w:rsidR="00400A83" w:rsidRPr="00400A83">
        <w:rPr>
          <w:i/>
          <w:sz w:val="22"/>
          <w:szCs w:val="22"/>
        </w:rPr>
        <w:t>il</w:t>
      </w:r>
      <w:r w:rsidRPr="00400A83">
        <w:rPr>
          <w:i/>
          <w:sz w:val="22"/>
          <w:szCs w:val="22"/>
        </w:rPr>
        <w:t xml:space="preserve"> 24, 2013}</w:t>
      </w:r>
      <w:r w:rsidRPr="00C03B56">
        <w:rPr>
          <w:sz w:val="22"/>
          <w:szCs w:val="22"/>
        </w:rPr>
        <w:t xml:space="preserve">, </w:t>
      </w:r>
      <w:r w:rsidRPr="00C03B56">
        <w:rPr>
          <w:color w:val="000000"/>
          <w:sz w:val="22"/>
          <w:szCs w:val="22"/>
        </w:rPr>
        <w:t xml:space="preserve">because it has a maximum heat input capacity greater than 250 </w:t>
      </w:r>
      <w:r>
        <w:rPr>
          <w:color w:val="000000"/>
          <w:sz w:val="22"/>
          <w:szCs w:val="22"/>
        </w:rPr>
        <w:t>MM</w:t>
      </w:r>
      <w:r w:rsidRPr="00C03B56">
        <w:rPr>
          <w:color w:val="000000"/>
          <w:sz w:val="22"/>
          <w:szCs w:val="22"/>
        </w:rPr>
        <w:t>Btu/hr from the fossil fuels (natural gas) combusted.</w:t>
      </w:r>
      <w:r>
        <w:rPr>
          <w:color w:val="000000"/>
          <w:sz w:val="22"/>
          <w:szCs w:val="22"/>
        </w:rPr>
        <w:t xml:space="preserve">  </w:t>
      </w:r>
      <w:r w:rsidR="00A731ED">
        <w:rPr>
          <w:color w:val="000000"/>
          <w:sz w:val="22"/>
          <w:szCs w:val="22"/>
        </w:rPr>
        <w:t>T</w:t>
      </w:r>
      <w:r>
        <w:rPr>
          <w:color w:val="000000"/>
          <w:sz w:val="22"/>
          <w:szCs w:val="22"/>
        </w:rPr>
        <w:t xml:space="preserve">his subpart has been </w:t>
      </w:r>
      <w:r w:rsidRPr="00C03B56">
        <w:rPr>
          <w:sz w:val="22"/>
          <w:szCs w:val="22"/>
        </w:rPr>
        <w:t xml:space="preserve">amended </w:t>
      </w:r>
      <w:r>
        <w:rPr>
          <w:color w:val="000000"/>
          <w:sz w:val="22"/>
          <w:szCs w:val="22"/>
        </w:rPr>
        <w:t>since the final GREC PSD permit was issued</w:t>
      </w:r>
      <w:r w:rsidR="00A731ED">
        <w:rPr>
          <w:color w:val="000000"/>
          <w:sz w:val="22"/>
          <w:szCs w:val="22"/>
        </w:rPr>
        <w:t>.  Consequently,</w:t>
      </w:r>
      <w:r>
        <w:rPr>
          <w:color w:val="000000"/>
          <w:sz w:val="22"/>
          <w:szCs w:val="22"/>
        </w:rPr>
        <w:t xml:space="preserve"> </w:t>
      </w:r>
      <w:r w:rsidR="00A731ED">
        <w:rPr>
          <w:color w:val="000000"/>
          <w:sz w:val="22"/>
          <w:szCs w:val="22"/>
        </w:rPr>
        <w:t>GREC</w:t>
      </w:r>
      <w:r>
        <w:rPr>
          <w:color w:val="000000"/>
          <w:sz w:val="22"/>
          <w:szCs w:val="22"/>
        </w:rPr>
        <w:t>, LLC has requested that the latest version be included in the revised permit.  The Department agrees with this request, and the latest version of NSPS Subpart Da will be included in the GREC permit.</w:t>
      </w:r>
      <w:r w:rsidR="00400A83">
        <w:rPr>
          <w:color w:val="000000"/>
          <w:sz w:val="22"/>
          <w:szCs w:val="22"/>
        </w:rPr>
        <w:t xml:space="preserve">  </w:t>
      </w:r>
    </w:p>
    <w:p w:rsidR="00AF22C9" w:rsidRDefault="00400A83" w:rsidP="00400A83">
      <w:pPr>
        <w:spacing w:after="120"/>
        <w:rPr>
          <w:color w:val="000000"/>
          <w:sz w:val="22"/>
          <w:szCs w:val="22"/>
        </w:rPr>
      </w:pPr>
      <w:r>
        <w:rPr>
          <w:color w:val="000000"/>
          <w:sz w:val="22"/>
          <w:szCs w:val="22"/>
        </w:rPr>
        <w:lastRenderedPageBreak/>
        <w:t xml:space="preserve">In addition to incorporating the latest version of NSPS Subpart Da, </w:t>
      </w:r>
      <w:r w:rsidR="00A731ED">
        <w:rPr>
          <w:color w:val="000000"/>
          <w:sz w:val="22"/>
          <w:szCs w:val="22"/>
        </w:rPr>
        <w:t>GREC</w:t>
      </w:r>
      <w:r>
        <w:rPr>
          <w:color w:val="000000"/>
          <w:sz w:val="22"/>
          <w:szCs w:val="22"/>
        </w:rPr>
        <w:t>, LLC has request</w:t>
      </w:r>
      <w:r w:rsidR="0060443C">
        <w:rPr>
          <w:color w:val="000000"/>
          <w:sz w:val="22"/>
          <w:szCs w:val="22"/>
        </w:rPr>
        <w:t>ed</w:t>
      </w:r>
      <w:r>
        <w:rPr>
          <w:color w:val="000000"/>
          <w:sz w:val="22"/>
          <w:szCs w:val="22"/>
        </w:rPr>
        <w:t xml:space="preserve"> that the GREC BFB boiler be subjected to the requirements of the Subpart for units</w:t>
      </w:r>
      <w:r w:rsidRPr="00400A83">
        <w:rPr>
          <w:color w:val="000000"/>
          <w:sz w:val="22"/>
          <w:szCs w:val="22"/>
        </w:rPr>
        <w:t xml:space="preserve"> that commenced construction after February 28, 2005 and before May 4, 2011</w:t>
      </w:r>
      <w:r>
        <w:rPr>
          <w:color w:val="000000"/>
          <w:sz w:val="22"/>
          <w:szCs w:val="22"/>
        </w:rPr>
        <w:t xml:space="preserve">.  </w:t>
      </w:r>
      <w:r w:rsidRPr="00400A83">
        <w:rPr>
          <w:color w:val="000000"/>
          <w:sz w:val="22"/>
          <w:szCs w:val="22"/>
        </w:rPr>
        <w:t xml:space="preserve">For </w:t>
      </w:r>
      <w:r>
        <w:rPr>
          <w:color w:val="000000"/>
          <w:sz w:val="22"/>
          <w:szCs w:val="22"/>
        </w:rPr>
        <w:t xml:space="preserve">such </w:t>
      </w:r>
      <w:r w:rsidRPr="00400A83">
        <w:rPr>
          <w:color w:val="000000"/>
          <w:sz w:val="22"/>
          <w:szCs w:val="22"/>
        </w:rPr>
        <w:t>units,</w:t>
      </w:r>
      <w:r>
        <w:rPr>
          <w:color w:val="000000"/>
          <w:sz w:val="22"/>
          <w:szCs w:val="22"/>
        </w:rPr>
        <w:t xml:space="preserve"> </w:t>
      </w:r>
      <w:r w:rsidRPr="00400A83">
        <w:rPr>
          <w:color w:val="000000"/>
          <w:sz w:val="22"/>
          <w:szCs w:val="22"/>
        </w:rPr>
        <w:t xml:space="preserve">the applicable Subpart Da PM standards are specified in §60.42Da(c). </w:t>
      </w:r>
      <w:r>
        <w:rPr>
          <w:color w:val="000000"/>
          <w:sz w:val="22"/>
          <w:szCs w:val="22"/>
        </w:rPr>
        <w:t xml:space="preserve"> </w:t>
      </w:r>
      <w:r w:rsidRPr="00400A83">
        <w:rPr>
          <w:color w:val="000000"/>
          <w:sz w:val="22"/>
          <w:szCs w:val="22"/>
        </w:rPr>
        <w:t>The PM limits in</w:t>
      </w:r>
      <w:r>
        <w:rPr>
          <w:color w:val="000000"/>
          <w:sz w:val="22"/>
          <w:szCs w:val="22"/>
        </w:rPr>
        <w:t xml:space="preserve"> </w:t>
      </w:r>
      <w:r w:rsidRPr="00400A83">
        <w:rPr>
          <w:color w:val="000000"/>
          <w:sz w:val="22"/>
          <w:szCs w:val="22"/>
        </w:rPr>
        <w:t>§60.42Da(c) include the option to comply with either an output-based limit of 0.14 lb/MWh,</w:t>
      </w:r>
      <w:r>
        <w:rPr>
          <w:color w:val="000000"/>
          <w:sz w:val="22"/>
          <w:szCs w:val="22"/>
        </w:rPr>
        <w:t xml:space="preserve"> </w:t>
      </w:r>
      <w:r w:rsidRPr="00400A83">
        <w:rPr>
          <w:color w:val="000000"/>
          <w:sz w:val="22"/>
          <w:szCs w:val="22"/>
        </w:rPr>
        <w:t>gross energy output §60.42Da(c)(1)], or an input-based limit of 0.015 lb/MMBtu heat input</w:t>
      </w:r>
      <w:r>
        <w:rPr>
          <w:color w:val="000000"/>
          <w:sz w:val="22"/>
          <w:szCs w:val="22"/>
        </w:rPr>
        <w:t xml:space="preserve"> </w:t>
      </w:r>
      <w:r w:rsidRPr="00400A83">
        <w:rPr>
          <w:color w:val="000000"/>
          <w:sz w:val="22"/>
          <w:szCs w:val="22"/>
        </w:rPr>
        <w:t xml:space="preserve">[§60.42Da(c)(2)]. </w:t>
      </w:r>
      <w:r>
        <w:rPr>
          <w:color w:val="000000"/>
          <w:sz w:val="22"/>
          <w:szCs w:val="22"/>
        </w:rPr>
        <w:t xml:space="preserve"> </w:t>
      </w:r>
      <w:r w:rsidRPr="00400A83">
        <w:rPr>
          <w:color w:val="000000"/>
          <w:sz w:val="22"/>
          <w:szCs w:val="22"/>
        </w:rPr>
        <w:t>The applicable compliance provisions for the §60.42Da(c)(1) output-based PM</w:t>
      </w:r>
      <w:r>
        <w:rPr>
          <w:color w:val="000000"/>
          <w:sz w:val="22"/>
          <w:szCs w:val="22"/>
        </w:rPr>
        <w:t xml:space="preserve"> </w:t>
      </w:r>
      <w:r w:rsidRPr="00400A83">
        <w:rPr>
          <w:color w:val="000000"/>
          <w:sz w:val="22"/>
          <w:szCs w:val="22"/>
        </w:rPr>
        <w:t>standard are stated in §60.48Da(n), and for the §60.42Da(c)(2) input-based PM standard in</w:t>
      </w:r>
      <w:r>
        <w:rPr>
          <w:color w:val="000000"/>
          <w:sz w:val="22"/>
          <w:szCs w:val="22"/>
        </w:rPr>
        <w:t xml:space="preserve"> </w:t>
      </w:r>
      <w:r w:rsidRPr="00400A83">
        <w:rPr>
          <w:color w:val="000000"/>
          <w:sz w:val="22"/>
          <w:szCs w:val="22"/>
        </w:rPr>
        <w:t>§60.48Da(o).</w:t>
      </w:r>
      <w:r>
        <w:rPr>
          <w:color w:val="000000"/>
          <w:sz w:val="22"/>
          <w:szCs w:val="22"/>
        </w:rPr>
        <w:t xml:space="preserve">  </w:t>
      </w:r>
      <w:r w:rsidRPr="00400A83">
        <w:rPr>
          <w:color w:val="000000"/>
          <w:sz w:val="22"/>
          <w:szCs w:val="22"/>
        </w:rPr>
        <w:t>Applicable Subpart Da SO</w:t>
      </w:r>
      <w:r w:rsidRPr="00400A83">
        <w:rPr>
          <w:color w:val="000000"/>
          <w:sz w:val="22"/>
          <w:szCs w:val="22"/>
          <w:vertAlign w:val="subscript"/>
        </w:rPr>
        <w:t>2</w:t>
      </w:r>
      <w:r w:rsidRPr="00400A83">
        <w:rPr>
          <w:color w:val="000000"/>
          <w:sz w:val="22"/>
          <w:szCs w:val="22"/>
        </w:rPr>
        <w:t xml:space="preserve"> and NO</w:t>
      </w:r>
      <w:r w:rsidRPr="00400A83">
        <w:rPr>
          <w:color w:val="000000"/>
          <w:sz w:val="22"/>
          <w:szCs w:val="22"/>
          <w:vertAlign w:val="subscript"/>
        </w:rPr>
        <w:t>X</w:t>
      </w:r>
      <w:r w:rsidRPr="00400A83">
        <w:rPr>
          <w:color w:val="000000"/>
          <w:sz w:val="22"/>
          <w:szCs w:val="22"/>
        </w:rPr>
        <w:t xml:space="preserve"> standards for affected units that commenced construction</w:t>
      </w:r>
      <w:r>
        <w:rPr>
          <w:color w:val="000000"/>
          <w:sz w:val="22"/>
          <w:szCs w:val="22"/>
        </w:rPr>
        <w:t xml:space="preserve"> </w:t>
      </w:r>
      <w:r w:rsidRPr="00400A83">
        <w:rPr>
          <w:color w:val="000000"/>
          <w:sz w:val="22"/>
          <w:szCs w:val="22"/>
        </w:rPr>
        <w:t>after February 28, 2005 and before May 4, 2011 are provided in §60.43Da(i) and §60.44Da(e),</w:t>
      </w:r>
      <w:r>
        <w:rPr>
          <w:color w:val="000000"/>
          <w:sz w:val="22"/>
          <w:szCs w:val="22"/>
        </w:rPr>
        <w:t xml:space="preserve"> </w:t>
      </w:r>
      <w:r w:rsidRPr="00400A83">
        <w:rPr>
          <w:color w:val="000000"/>
          <w:sz w:val="22"/>
          <w:szCs w:val="22"/>
        </w:rPr>
        <w:t>respectively.</w:t>
      </w:r>
    </w:p>
    <w:p w:rsidR="00400A83" w:rsidRDefault="00400A83" w:rsidP="00400A83">
      <w:pPr>
        <w:spacing w:after="120"/>
        <w:rPr>
          <w:color w:val="000000"/>
          <w:sz w:val="22"/>
          <w:szCs w:val="22"/>
        </w:rPr>
      </w:pPr>
      <w:r w:rsidRPr="00400A83">
        <w:rPr>
          <w:color w:val="000000"/>
          <w:sz w:val="22"/>
          <w:szCs w:val="22"/>
        </w:rPr>
        <w:t>As stated in EPA’s Response to Public</w:t>
      </w:r>
      <w:r>
        <w:rPr>
          <w:color w:val="000000"/>
          <w:sz w:val="22"/>
          <w:szCs w:val="22"/>
        </w:rPr>
        <w:t xml:space="preserve"> </w:t>
      </w:r>
      <w:r w:rsidRPr="00400A83">
        <w:rPr>
          <w:color w:val="000000"/>
          <w:sz w:val="22"/>
          <w:szCs w:val="22"/>
        </w:rPr>
        <w:t>Comments on Rule Amendments Proposed May 3, 2011 (73 FR 33642),</w:t>
      </w:r>
      <w:r w:rsidR="00A731ED">
        <w:rPr>
          <w:color w:val="000000"/>
          <w:sz w:val="22"/>
          <w:szCs w:val="22"/>
        </w:rPr>
        <w:t xml:space="preserve"> a</w:t>
      </w:r>
      <w:r w:rsidRPr="00400A83">
        <w:rPr>
          <w:color w:val="000000"/>
          <w:sz w:val="22"/>
          <w:szCs w:val="22"/>
        </w:rPr>
        <w:t>pplicability to</w:t>
      </w:r>
      <w:r>
        <w:rPr>
          <w:color w:val="000000"/>
          <w:sz w:val="22"/>
          <w:szCs w:val="22"/>
        </w:rPr>
        <w:t xml:space="preserve"> </w:t>
      </w:r>
      <w:r w:rsidRPr="00400A83">
        <w:rPr>
          <w:color w:val="000000"/>
          <w:sz w:val="22"/>
          <w:szCs w:val="22"/>
        </w:rPr>
        <w:t>Permitted EGUs for which Construction Has Not Commenced:</w:t>
      </w:r>
    </w:p>
    <w:p w:rsidR="00400A83" w:rsidRDefault="00400A83" w:rsidP="00A731ED">
      <w:pPr>
        <w:autoSpaceDE w:val="0"/>
        <w:autoSpaceDN w:val="0"/>
        <w:adjustRightInd w:val="0"/>
        <w:spacing w:after="120"/>
        <w:ind w:left="360"/>
        <w:rPr>
          <w:i/>
          <w:iCs/>
          <w:sz w:val="22"/>
          <w:szCs w:val="22"/>
        </w:rPr>
      </w:pPr>
      <w:r>
        <w:rPr>
          <w:i/>
          <w:iCs/>
          <w:sz w:val="22"/>
          <w:szCs w:val="22"/>
        </w:rPr>
        <w:t>Section 111(a) of the CAA defines a new source as one for which construction or modification commences after the publication of proposed regulations applicable to the source.  In this case, the relevant date is May 4, 2011 and any source which commences construction or modification after that date is a new source for purposes of the final regulations.  EPA has long defined “commenced” in this context to mean “that an owner or operator has undertaken a continuous program of construction or modification or that an owner or operator has entered into a contractual obligation to undertake and complete, within a reasonable time, a continuous program of construction or modification.” (40 CFR 60.2).</w:t>
      </w:r>
    </w:p>
    <w:p w:rsidR="00925B39" w:rsidRDefault="00A731ED" w:rsidP="00925B39">
      <w:pPr>
        <w:autoSpaceDE w:val="0"/>
        <w:autoSpaceDN w:val="0"/>
        <w:adjustRightInd w:val="0"/>
        <w:spacing w:after="120"/>
        <w:rPr>
          <w:sz w:val="22"/>
          <w:szCs w:val="22"/>
        </w:rPr>
      </w:pPr>
      <w:r>
        <w:rPr>
          <w:iCs/>
          <w:sz w:val="22"/>
          <w:szCs w:val="22"/>
        </w:rPr>
        <w:t>GREC</w:t>
      </w:r>
      <w:r w:rsidR="00925B39">
        <w:rPr>
          <w:iCs/>
          <w:sz w:val="22"/>
          <w:szCs w:val="22"/>
        </w:rPr>
        <w:t>, LLC</w:t>
      </w:r>
      <w:r w:rsidR="00046F33">
        <w:rPr>
          <w:iCs/>
          <w:sz w:val="22"/>
          <w:szCs w:val="22"/>
        </w:rPr>
        <w:t xml:space="preserve"> had</w:t>
      </w:r>
      <w:r w:rsidR="00925B39">
        <w:rPr>
          <w:iCs/>
          <w:sz w:val="22"/>
          <w:szCs w:val="22"/>
        </w:rPr>
        <w:t xml:space="preserve"> </w:t>
      </w:r>
      <w:r w:rsidR="00925B39">
        <w:rPr>
          <w:sz w:val="22"/>
          <w:szCs w:val="22"/>
        </w:rPr>
        <w:t xml:space="preserve">a firm contract for the GREC BFB boiler, including provisions for cancellation penalties, finalized with the boiler vendor (Metso) on April 19, 2011.  </w:t>
      </w:r>
      <w:r w:rsidR="00925B39" w:rsidRPr="00925B39">
        <w:rPr>
          <w:sz w:val="22"/>
          <w:szCs w:val="22"/>
        </w:rPr>
        <w:t>Since a contractual obligation for the BFB boiler prior to May 4, 2011</w:t>
      </w:r>
      <w:r w:rsidR="00925B39">
        <w:rPr>
          <w:sz w:val="22"/>
          <w:szCs w:val="22"/>
        </w:rPr>
        <w:t xml:space="preserve"> was in place</w:t>
      </w:r>
      <w:r w:rsidR="00925B39" w:rsidRPr="00925B39">
        <w:rPr>
          <w:sz w:val="22"/>
          <w:szCs w:val="22"/>
        </w:rPr>
        <w:t>,</w:t>
      </w:r>
      <w:r w:rsidR="00925B39">
        <w:rPr>
          <w:sz w:val="22"/>
          <w:szCs w:val="22"/>
        </w:rPr>
        <w:t xml:space="preserve"> according to </w:t>
      </w:r>
      <w:r>
        <w:rPr>
          <w:iCs/>
          <w:sz w:val="22"/>
          <w:szCs w:val="22"/>
        </w:rPr>
        <w:t>GREC</w:t>
      </w:r>
      <w:r w:rsidR="00925B39">
        <w:rPr>
          <w:iCs/>
          <w:sz w:val="22"/>
          <w:szCs w:val="22"/>
        </w:rPr>
        <w:t>, LLC</w:t>
      </w:r>
      <w:r w:rsidR="00925B39">
        <w:rPr>
          <w:sz w:val="22"/>
          <w:szCs w:val="22"/>
        </w:rPr>
        <w:t xml:space="preserve">, </w:t>
      </w:r>
      <w:r w:rsidR="00925B39" w:rsidRPr="00925B39">
        <w:rPr>
          <w:sz w:val="22"/>
          <w:szCs w:val="22"/>
        </w:rPr>
        <w:t>the GREC BFB boiler is not a new source for purposes of the final NSPS Subpart Da regulations</w:t>
      </w:r>
      <w:r>
        <w:rPr>
          <w:sz w:val="22"/>
          <w:szCs w:val="22"/>
        </w:rPr>
        <w:t xml:space="preserve">, i.e., </w:t>
      </w:r>
      <w:r w:rsidR="00561D0D">
        <w:rPr>
          <w:sz w:val="22"/>
          <w:szCs w:val="22"/>
        </w:rPr>
        <w:t xml:space="preserve">the BFB boiler contract represents </w:t>
      </w:r>
      <w:r>
        <w:rPr>
          <w:sz w:val="22"/>
          <w:szCs w:val="22"/>
        </w:rPr>
        <w:t>the</w:t>
      </w:r>
      <w:r w:rsidR="00561D0D">
        <w:rPr>
          <w:sz w:val="22"/>
          <w:szCs w:val="22"/>
        </w:rPr>
        <w:t xml:space="preserve"> start of construction and the GREC facility </w:t>
      </w:r>
      <w:r w:rsidR="007919CB">
        <w:rPr>
          <w:sz w:val="22"/>
          <w:szCs w:val="22"/>
        </w:rPr>
        <w:t>undertook continuous</w:t>
      </w:r>
      <w:r w:rsidR="00561D0D">
        <w:rPr>
          <w:sz w:val="22"/>
          <w:szCs w:val="22"/>
        </w:rPr>
        <w:t xml:space="preserve"> construction </w:t>
      </w:r>
      <w:r w:rsidR="007919CB">
        <w:rPr>
          <w:sz w:val="22"/>
          <w:szCs w:val="22"/>
        </w:rPr>
        <w:t>from that date until the</w:t>
      </w:r>
      <w:r w:rsidR="00561D0D">
        <w:rPr>
          <w:sz w:val="22"/>
          <w:szCs w:val="22"/>
        </w:rPr>
        <w:t xml:space="preserve"> start</w:t>
      </w:r>
      <w:r w:rsidR="007919CB">
        <w:rPr>
          <w:sz w:val="22"/>
          <w:szCs w:val="22"/>
        </w:rPr>
        <w:t>up</w:t>
      </w:r>
      <w:r w:rsidR="00561D0D">
        <w:rPr>
          <w:sz w:val="22"/>
          <w:szCs w:val="22"/>
        </w:rPr>
        <w:t xml:space="preserve"> of the facility in the summer of 2013.</w:t>
      </w:r>
      <w:r w:rsidR="00925B39">
        <w:rPr>
          <w:sz w:val="22"/>
          <w:szCs w:val="22"/>
        </w:rPr>
        <w:t xml:space="preserve">  </w:t>
      </w:r>
    </w:p>
    <w:p w:rsidR="00925B39" w:rsidRPr="00925B39" w:rsidRDefault="00925B39" w:rsidP="00925B39">
      <w:pPr>
        <w:autoSpaceDE w:val="0"/>
        <w:autoSpaceDN w:val="0"/>
        <w:adjustRightInd w:val="0"/>
        <w:spacing w:after="120"/>
        <w:rPr>
          <w:color w:val="000000"/>
          <w:sz w:val="22"/>
          <w:szCs w:val="22"/>
        </w:rPr>
      </w:pPr>
      <w:r>
        <w:rPr>
          <w:sz w:val="22"/>
          <w:szCs w:val="22"/>
        </w:rPr>
        <w:t xml:space="preserve">The Department received parts of the contract between </w:t>
      </w:r>
      <w:r w:rsidR="00A731ED">
        <w:rPr>
          <w:sz w:val="22"/>
          <w:szCs w:val="22"/>
        </w:rPr>
        <w:t>GREC,</w:t>
      </w:r>
      <w:r>
        <w:rPr>
          <w:sz w:val="22"/>
          <w:szCs w:val="22"/>
        </w:rPr>
        <w:t xml:space="preserve"> LLC and Metso that provide</w:t>
      </w:r>
      <w:r w:rsidR="007919CB">
        <w:rPr>
          <w:sz w:val="22"/>
          <w:szCs w:val="22"/>
        </w:rPr>
        <w:t>d</w:t>
      </w:r>
      <w:r>
        <w:rPr>
          <w:sz w:val="22"/>
          <w:szCs w:val="22"/>
        </w:rPr>
        <w:t xml:space="preserve"> reasonable assurance that a firm contract was in-place prior to </w:t>
      </w:r>
      <w:r w:rsidR="000A2678">
        <w:rPr>
          <w:sz w:val="22"/>
          <w:szCs w:val="22"/>
        </w:rPr>
        <w:t xml:space="preserve">the </w:t>
      </w:r>
      <w:r w:rsidRPr="00925B39">
        <w:rPr>
          <w:sz w:val="22"/>
          <w:szCs w:val="22"/>
        </w:rPr>
        <w:t>May 4, 2011</w:t>
      </w:r>
      <w:r>
        <w:rPr>
          <w:sz w:val="22"/>
          <w:szCs w:val="22"/>
        </w:rPr>
        <w:t xml:space="preserve"> </w:t>
      </w:r>
      <w:r w:rsidR="007919CB">
        <w:rPr>
          <w:sz w:val="22"/>
          <w:szCs w:val="22"/>
        </w:rPr>
        <w:t>date</w:t>
      </w:r>
      <w:r w:rsidR="000A2678">
        <w:rPr>
          <w:sz w:val="22"/>
          <w:szCs w:val="22"/>
        </w:rPr>
        <w:t xml:space="preserve"> cited in NSPS Subpart Da</w:t>
      </w:r>
      <w:r w:rsidR="007919CB">
        <w:rPr>
          <w:sz w:val="22"/>
          <w:szCs w:val="22"/>
        </w:rPr>
        <w:t xml:space="preserve"> </w:t>
      </w:r>
      <w:r>
        <w:rPr>
          <w:sz w:val="22"/>
          <w:szCs w:val="22"/>
        </w:rPr>
        <w:t xml:space="preserve">with </w:t>
      </w:r>
      <w:r w:rsidR="007919CB">
        <w:rPr>
          <w:sz w:val="22"/>
          <w:szCs w:val="22"/>
        </w:rPr>
        <w:t>financial</w:t>
      </w:r>
      <w:r>
        <w:rPr>
          <w:sz w:val="22"/>
          <w:szCs w:val="22"/>
        </w:rPr>
        <w:t xml:space="preserve"> penalties if the contract was not fulfilled.  Consequently</w:t>
      </w:r>
      <w:r w:rsidR="000A2678">
        <w:rPr>
          <w:sz w:val="22"/>
          <w:szCs w:val="22"/>
        </w:rPr>
        <w:t>,</w:t>
      </w:r>
      <w:r>
        <w:rPr>
          <w:sz w:val="22"/>
          <w:szCs w:val="22"/>
        </w:rPr>
        <w:t xml:space="preserve"> the BFB boiler is subject to the emission limits for units </w:t>
      </w:r>
      <w:r w:rsidRPr="00400A83">
        <w:rPr>
          <w:color w:val="000000"/>
          <w:sz w:val="22"/>
          <w:szCs w:val="22"/>
        </w:rPr>
        <w:t>that commenced construction after February 28, 2005 and before May 4, 2011</w:t>
      </w:r>
      <w:r>
        <w:rPr>
          <w:color w:val="000000"/>
          <w:sz w:val="22"/>
          <w:szCs w:val="22"/>
        </w:rPr>
        <w:t>.</w:t>
      </w:r>
      <w:r w:rsidR="007919CB" w:rsidRPr="007919CB">
        <w:rPr>
          <w:sz w:val="22"/>
          <w:szCs w:val="22"/>
        </w:rPr>
        <w:t xml:space="preserve"> </w:t>
      </w:r>
      <w:r w:rsidR="007919CB">
        <w:rPr>
          <w:sz w:val="22"/>
          <w:szCs w:val="22"/>
        </w:rPr>
        <w:t xml:space="preserve"> </w:t>
      </w:r>
    </w:p>
    <w:p w:rsidR="00AF22C9" w:rsidRPr="00AF22C9" w:rsidRDefault="00AF22C9" w:rsidP="00963EF4">
      <w:pPr>
        <w:numPr>
          <w:ilvl w:val="1"/>
          <w:numId w:val="5"/>
        </w:numPr>
        <w:tabs>
          <w:tab w:val="num" w:pos="720"/>
        </w:tabs>
        <w:spacing w:after="120"/>
        <w:ind w:left="720" w:hanging="720"/>
        <w:outlineLvl w:val="0"/>
        <w:rPr>
          <w:b/>
          <w:sz w:val="22"/>
          <w:szCs w:val="22"/>
        </w:rPr>
      </w:pPr>
      <w:r>
        <w:rPr>
          <w:b/>
          <w:sz w:val="22"/>
          <w:szCs w:val="22"/>
        </w:rPr>
        <w:t>Sorbent for Acid Gas Control</w:t>
      </w:r>
    </w:p>
    <w:p w:rsidR="00AF22C9" w:rsidRDefault="00A731ED" w:rsidP="00AF22C9">
      <w:pPr>
        <w:spacing w:before="60" w:after="60"/>
        <w:rPr>
          <w:color w:val="000000"/>
          <w:sz w:val="22"/>
          <w:szCs w:val="22"/>
        </w:rPr>
      </w:pPr>
      <w:r>
        <w:rPr>
          <w:color w:val="000000"/>
          <w:sz w:val="22"/>
          <w:szCs w:val="22"/>
        </w:rPr>
        <w:t>GREC</w:t>
      </w:r>
      <w:r w:rsidR="00611651">
        <w:rPr>
          <w:color w:val="000000"/>
          <w:sz w:val="22"/>
          <w:szCs w:val="22"/>
        </w:rPr>
        <w:t xml:space="preserve">, LLC has requested that the permit be modified to reflect that trona or an equivalent sorbent be allowed for acid gas control from the BFB boiler.  The Department agrees with this request.  So long as </w:t>
      </w:r>
      <w:r>
        <w:rPr>
          <w:color w:val="000000"/>
          <w:sz w:val="22"/>
          <w:szCs w:val="22"/>
        </w:rPr>
        <w:t xml:space="preserve">the </w:t>
      </w:r>
      <w:r w:rsidR="00611651">
        <w:rPr>
          <w:color w:val="000000"/>
          <w:sz w:val="22"/>
          <w:szCs w:val="22"/>
        </w:rPr>
        <w:t>SO</w:t>
      </w:r>
      <w:r w:rsidR="00611651" w:rsidRPr="00611651">
        <w:rPr>
          <w:color w:val="000000"/>
          <w:sz w:val="22"/>
          <w:szCs w:val="22"/>
          <w:vertAlign w:val="subscript"/>
        </w:rPr>
        <w:t>2</w:t>
      </w:r>
      <w:r w:rsidR="007F47AF">
        <w:rPr>
          <w:color w:val="000000"/>
          <w:sz w:val="22"/>
          <w:szCs w:val="22"/>
        </w:rPr>
        <w:t>, HF</w:t>
      </w:r>
      <w:r w:rsidR="00611651">
        <w:rPr>
          <w:color w:val="000000"/>
          <w:sz w:val="22"/>
          <w:szCs w:val="22"/>
        </w:rPr>
        <w:t xml:space="preserve"> and HCl emission limits are met, it does not matter what type of sorbent is used for acid gas control.</w:t>
      </w:r>
      <w:r w:rsidR="00E96A43">
        <w:rPr>
          <w:color w:val="000000"/>
          <w:sz w:val="22"/>
          <w:szCs w:val="22"/>
        </w:rPr>
        <w:t xml:space="preserve">  In addition, this change will provide consistency in the permit</w:t>
      </w:r>
      <w:r>
        <w:rPr>
          <w:color w:val="000000"/>
          <w:sz w:val="22"/>
          <w:szCs w:val="22"/>
        </w:rPr>
        <w:t>.  For example,</w:t>
      </w:r>
      <w:r w:rsidR="00E96A43">
        <w:rPr>
          <w:color w:val="000000"/>
          <w:sz w:val="22"/>
          <w:szCs w:val="22"/>
        </w:rPr>
        <w:t xml:space="preserve"> only trona is specified in </w:t>
      </w:r>
      <w:r w:rsidR="00E96A43" w:rsidRPr="00E96A43">
        <w:rPr>
          <w:b/>
          <w:color w:val="000000"/>
          <w:sz w:val="22"/>
          <w:szCs w:val="22"/>
        </w:rPr>
        <w:t>Specific Condition 3.</w:t>
      </w:r>
      <w:r w:rsidR="00E96A43">
        <w:rPr>
          <w:b/>
          <w:color w:val="000000"/>
          <w:sz w:val="22"/>
          <w:szCs w:val="22"/>
        </w:rPr>
        <w:t>B</w:t>
      </w:r>
      <w:r w:rsidR="00E96A43" w:rsidRPr="00E96A43">
        <w:rPr>
          <w:b/>
          <w:color w:val="000000"/>
          <w:sz w:val="22"/>
          <w:szCs w:val="22"/>
        </w:rPr>
        <w:t>.2-c</w:t>
      </w:r>
      <w:r w:rsidR="00E96A43">
        <w:rPr>
          <w:color w:val="000000"/>
          <w:sz w:val="22"/>
          <w:szCs w:val="22"/>
        </w:rPr>
        <w:t xml:space="preserve"> while trona or hydrated lime is specified in </w:t>
      </w:r>
      <w:r w:rsidR="00E96A43" w:rsidRPr="00E96A43">
        <w:rPr>
          <w:b/>
          <w:color w:val="000000"/>
          <w:sz w:val="22"/>
          <w:szCs w:val="22"/>
        </w:rPr>
        <w:t>Specific Condition 3.B.3</w:t>
      </w:r>
      <w:r w:rsidR="00E96A43">
        <w:rPr>
          <w:color w:val="000000"/>
          <w:sz w:val="22"/>
          <w:szCs w:val="22"/>
        </w:rPr>
        <w:t>.</w:t>
      </w:r>
    </w:p>
    <w:p w:rsidR="00611651" w:rsidRPr="00611651" w:rsidRDefault="00611651" w:rsidP="00963EF4">
      <w:pPr>
        <w:numPr>
          <w:ilvl w:val="1"/>
          <w:numId w:val="5"/>
        </w:numPr>
        <w:tabs>
          <w:tab w:val="num" w:pos="720"/>
        </w:tabs>
        <w:spacing w:after="120"/>
        <w:ind w:left="720" w:hanging="720"/>
        <w:outlineLvl w:val="0"/>
        <w:rPr>
          <w:b/>
          <w:sz w:val="22"/>
          <w:szCs w:val="22"/>
        </w:rPr>
      </w:pPr>
      <w:r>
        <w:rPr>
          <w:b/>
          <w:sz w:val="22"/>
          <w:szCs w:val="22"/>
        </w:rPr>
        <w:t>NH</w:t>
      </w:r>
      <w:r w:rsidRPr="00611651">
        <w:rPr>
          <w:b/>
          <w:sz w:val="22"/>
          <w:szCs w:val="22"/>
          <w:vertAlign w:val="subscript"/>
        </w:rPr>
        <w:t>3</w:t>
      </w:r>
      <w:r>
        <w:rPr>
          <w:b/>
          <w:sz w:val="22"/>
          <w:szCs w:val="22"/>
        </w:rPr>
        <w:t xml:space="preserve"> Storage</w:t>
      </w:r>
    </w:p>
    <w:p w:rsidR="00A731ED" w:rsidRDefault="00E96A43" w:rsidP="00AF22C9">
      <w:pPr>
        <w:spacing w:before="60" w:after="60"/>
        <w:rPr>
          <w:color w:val="000000"/>
          <w:sz w:val="22"/>
          <w:szCs w:val="22"/>
        </w:rPr>
      </w:pPr>
      <w:r w:rsidRPr="00E96A43">
        <w:rPr>
          <w:b/>
          <w:color w:val="000000"/>
          <w:sz w:val="22"/>
          <w:szCs w:val="22"/>
        </w:rPr>
        <w:t>Specific Condition 3.B.4</w:t>
      </w:r>
      <w:r>
        <w:rPr>
          <w:color w:val="000000"/>
          <w:sz w:val="22"/>
          <w:szCs w:val="22"/>
        </w:rPr>
        <w:t xml:space="preserve"> of the permit states “</w:t>
      </w:r>
      <w:r w:rsidRPr="00E96A43">
        <w:rPr>
          <w:i/>
          <w:sz w:val="22"/>
          <w:szCs w:val="22"/>
        </w:rPr>
        <w:t>In accordance with 40 CFR 60.130, the storage of NH</w:t>
      </w:r>
      <w:r w:rsidRPr="00E96A43">
        <w:rPr>
          <w:i/>
          <w:sz w:val="22"/>
          <w:szCs w:val="22"/>
          <w:vertAlign w:val="subscript"/>
        </w:rPr>
        <w:t>3</w:t>
      </w:r>
      <w:r w:rsidRPr="00E96A43">
        <w:rPr>
          <w:i/>
          <w:sz w:val="22"/>
          <w:szCs w:val="22"/>
        </w:rPr>
        <w:t xml:space="preserve"> shall comply with all applicable requirements of the Chemical Accident Prevention Provisions in 40 CFR 68.</w:t>
      </w:r>
      <w:r>
        <w:rPr>
          <w:i/>
          <w:sz w:val="22"/>
          <w:szCs w:val="22"/>
        </w:rPr>
        <w:t xml:space="preserve">  </w:t>
      </w:r>
      <w:r w:rsidRPr="00E96A43">
        <w:rPr>
          <w:i/>
          <w:sz w:val="22"/>
          <w:szCs w:val="22"/>
        </w:rPr>
        <w:t>The aqueous ammonia, containing 19% ammonia by volume will be stored in one outdoor 30,000 gallon tank designed and fabricated in accordance with U.S. Department of Labor Chapter 29, Part 1910.111, Code of Federal Regulations (CFR), American Society of Mechanical Engineers (ASME) Boiler and Pressure Vessel Code, ANSI K 61.1, and applicable requirements of Chapter 62-762, F.A.C., Above Ground Storage Tank (AST) Systems</w:t>
      </w:r>
      <w:r>
        <w:rPr>
          <w:sz w:val="22"/>
          <w:szCs w:val="22"/>
        </w:rPr>
        <w:t xml:space="preserve">.”  However according to </w:t>
      </w:r>
      <w:r w:rsidR="00A731ED">
        <w:rPr>
          <w:color w:val="000000"/>
          <w:sz w:val="22"/>
          <w:szCs w:val="22"/>
        </w:rPr>
        <w:t>GREC</w:t>
      </w:r>
      <w:r>
        <w:rPr>
          <w:color w:val="000000"/>
          <w:sz w:val="22"/>
          <w:szCs w:val="22"/>
        </w:rPr>
        <w:t>, LLC, n</w:t>
      </w:r>
      <w:r w:rsidRPr="00E96A43">
        <w:rPr>
          <w:color w:val="000000"/>
          <w:sz w:val="22"/>
          <w:szCs w:val="22"/>
        </w:rPr>
        <w:t xml:space="preserve">either 40 CFR 60.130 (applicability provisions of NSPS Subpart M - Standards of Performance for Secondary Brass and Bronze Production Plants) nor 40 CFR 68 apply to GREC’s ammonia storage tank. </w:t>
      </w:r>
      <w:r>
        <w:rPr>
          <w:color w:val="000000"/>
          <w:sz w:val="22"/>
          <w:szCs w:val="22"/>
        </w:rPr>
        <w:t xml:space="preserve"> </w:t>
      </w:r>
      <w:r w:rsidRPr="00E96A43">
        <w:rPr>
          <w:color w:val="000000"/>
          <w:sz w:val="22"/>
          <w:szCs w:val="22"/>
        </w:rPr>
        <w:t xml:space="preserve">As stated in Table 1 to §68.130, regulated ammonia substances include anhydrous ammonia and </w:t>
      </w:r>
      <w:r>
        <w:rPr>
          <w:color w:val="000000"/>
          <w:sz w:val="22"/>
          <w:szCs w:val="22"/>
        </w:rPr>
        <w:t xml:space="preserve">ammonia with concentrations of </w:t>
      </w:r>
      <w:r w:rsidRPr="00E96A43">
        <w:rPr>
          <w:color w:val="000000"/>
          <w:sz w:val="22"/>
          <w:szCs w:val="22"/>
        </w:rPr>
        <w:lastRenderedPageBreak/>
        <w:t xml:space="preserve">20% or greater. </w:t>
      </w:r>
      <w:r>
        <w:rPr>
          <w:color w:val="000000"/>
          <w:sz w:val="22"/>
          <w:szCs w:val="22"/>
        </w:rPr>
        <w:t xml:space="preserve"> </w:t>
      </w:r>
      <w:r w:rsidRPr="00E96A43">
        <w:rPr>
          <w:color w:val="000000"/>
          <w:sz w:val="22"/>
          <w:szCs w:val="22"/>
        </w:rPr>
        <w:t xml:space="preserve">The requirements in 40 CFR 68 do not apply in this case because </w:t>
      </w:r>
      <w:r w:rsidR="00D050CC">
        <w:rPr>
          <w:color w:val="000000"/>
          <w:sz w:val="22"/>
          <w:szCs w:val="22"/>
        </w:rPr>
        <w:t xml:space="preserve">the ammonia storage tank at </w:t>
      </w:r>
      <w:r w:rsidRPr="00E96A43">
        <w:rPr>
          <w:color w:val="000000"/>
          <w:sz w:val="22"/>
          <w:szCs w:val="22"/>
        </w:rPr>
        <w:t xml:space="preserve">GREC will contain aqueous ammonia with a concentration </w:t>
      </w:r>
      <w:r w:rsidR="00D050CC">
        <w:rPr>
          <w:color w:val="000000"/>
          <w:sz w:val="22"/>
          <w:szCs w:val="22"/>
        </w:rPr>
        <w:t xml:space="preserve">of </w:t>
      </w:r>
      <w:r w:rsidRPr="00E96A43">
        <w:rPr>
          <w:color w:val="000000"/>
          <w:sz w:val="22"/>
          <w:szCs w:val="22"/>
        </w:rPr>
        <w:t>19% that is less than 20%</w:t>
      </w:r>
      <w:r w:rsidR="00D050CC">
        <w:rPr>
          <w:color w:val="000000"/>
          <w:sz w:val="22"/>
          <w:szCs w:val="22"/>
        </w:rPr>
        <w:t xml:space="preserve"> threshold</w:t>
      </w:r>
      <w:r w:rsidRPr="00E96A43">
        <w:rPr>
          <w:color w:val="000000"/>
          <w:sz w:val="22"/>
          <w:szCs w:val="22"/>
        </w:rPr>
        <w:t>.</w:t>
      </w:r>
      <w:r w:rsidR="00963EF4">
        <w:rPr>
          <w:color w:val="000000"/>
          <w:sz w:val="22"/>
          <w:szCs w:val="22"/>
        </w:rPr>
        <w:t xml:space="preserve">  The Department agrees with this assessment and the references to </w:t>
      </w:r>
      <w:r w:rsidR="00963EF4" w:rsidRPr="00963EF4">
        <w:rPr>
          <w:color w:val="000000"/>
          <w:sz w:val="22"/>
          <w:szCs w:val="22"/>
        </w:rPr>
        <w:t>40 CFR 60.130</w:t>
      </w:r>
      <w:r w:rsidR="00963EF4">
        <w:rPr>
          <w:color w:val="000000"/>
          <w:sz w:val="22"/>
          <w:szCs w:val="22"/>
        </w:rPr>
        <w:t xml:space="preserve"> and </w:t>
      </w:r>
      <w:r w:rsidR="00963EF4" w:rsidRPr="00963EF4">
        <w:rPr>
          <w:color w:val="000000"/>
          <w:sz w:val="22"/>
          <w:szCs w:val="22"/>
        </w:rPr>
        <w:t>40 CFR 68</w:t>
      </w:r>
      <w:r w:rsidR="00963EF4">
        <w:rPr>
          <w:color w:val="000000"/>
          <w:sz w:val="22"/>
          <w:szCs w:val="22"/>
        </w:rPr>
        <w:t xml:space="preserve"> will be removed from the permit.</w:t>
      </w:r>
    </w:p>
    <w:p w:rsidR="00963EF4" w:rsidRPr="00963EF4" w:rsidRDefault="00963EF4" w:rsidP="00963EF4">
      <w:pPr>
        <w:numPr>
          <w:ilvl w:val="1"/>
          <w:numId w:val="5"/>
        </w:numPr>
        <w:tabs>
          <w:tab w:val="num" w:pos="720"/>
        </w:tabs>
        <w:spacing w:after="120"/>
        <w:ind w:left="720" w:hanging="720"/>
        <w:outlineLvl w:val="0"/>
        <w:rPr>
          <w:b/>
          <w:sz w:val="22"/>
          <w:szCs w:val="22"/>
        </w:rPr>
      </w:pPr>
      <w:r>
        <w:rPr>
          <w:b/>
          <w:sz w:val="22"/>
          <w:szCs w:val="22"/>
        </w:rPr>
        <w:t>Cooling Tower</w:t>
      </w:r>
    </w:p>
    <w:p w:rsidR="00963EF4" w:rsidRPr="00C03B56" w:rsidRDefault="002254B4" w:rsidP="00AF22C9">
      <w:pPr>
        <w:spacing w:before="60" w:after="60"/>
        <w:rPr>
          <w:color w:val="000000"/>
          <w:sz w:val="22"/>
          <w:szCs w:val="22"/>
        </w:rPr>
      </w:pPr>
      <w:r w:rsidRPr="002254B4">
        <w:rPr>
          <w:b/>
          <w:color w:val="000000"/>
          <w:sz w:val="22"/>
          <w:szCs w:val="22"/>
        </w:rPr>
        <w:t>Specific Condition 3.D.1</w:t>
      </w:r>
      <w:r>
        <w:rPr>
          <w:color w:val="000000"/>
          <w:sz w:val="22"/>
          <w:szCs w:val="22"/>
        </w:rPr>
        <w:t xml:space="preserve"> of the permits states “</w:t>
      </w:r>
      <w:r w:rsidRPr="000A2678">
        <w:rPr>
          <w:i/>
          <w:color w:val="000000"/>
          <w:sz w:val="22"/>
          <w:szCs w:val="22"/>
        </w:rPr>
        <w:t>The permittee is authorized to construct a 4-cell mechanical draft cooling tower system 53 feet in height with a circulating water flow rate of 78,000 gallons per minute (gpm).  The design air flow will be approximately 2,425,000 acfm.  The tower will be equipped with drift eliminators to meet a proposed drift rate of 0.0005%.</w:t>
      </w:r>
      <w:r>
        <w:rPr>
          <w:color w:val="000000"/>
          <w:sz w:val="22"/>
          <w:szCs w:val="22"/>
        </w:rPr>
        <w:t xml:space="preserve">”  However, according to </w:t>
      </w:r>
      <w:r w:rsidR="00D050CC">
        <w:rPr>
          <w:color w:val="000000"/>
          <w:sz w:val="22"/>
          <w:szCs w:val="22"/>
        </w:rPr>
        <w:t>GREC</w:t>
      </w:r>
      <w:r>
        <w:rPr>
          <w:color w:val="000000"/>
          <w:sz w:val="22"/>
          <w:szCs w:val="22"/>
        </w:rPr>
        <w:t>, LLC, t</w:t>
      </w:r>
      <w:r w:rsidRPr="002254B4">
        <w:rPr>
          <w:color w:val="000000"/>
          <w:sz w:val="22"/>
          <w:szCs w:val="22"/>
        </w:rPr>
        <w:t xml:space="preserve">he cooling tower has been </w:t>
      </w:r>
      <w:r w:rsidR="00D050CC">
        <w:rPr>
          <w:color w:val="000000"/>
          <w:sz w:val="22"/>
          <w:szCs w:val="22"/>
        </w:rPr>
        <w:t>constructed</w:t>
      </w:r>
      <w:r w:rsidRPr="002254B4">
        <w:rPr>
          <w:color w:val="000000"/>
          <w:sz w:val="22"/>
          <w:szCs w:val="22"/>
        </w:rPr>
        <w:t xml:space="preserve"> with 5 cells, rather than 4, because the additional cell enable</w:t>
      </w:r>
      <w:r>
        <w:rPr>
          <w:color w:val="000000"/>
          <w:sz w:val="22"/>
          <w:szCs w:val="22"/>
        </w:rPr>
        <w:t>s</w:t>
      </w:r>
      <w:r w:rsidRPr="002254B4">
        <w:rPr>
          <w:color w:val="000000"/>
          <w:sz w:val="22"/>
          <w:szCs w:val="22"/>
        </w:rPr>
        <w:t xml:space="preserve"> the cooling tower to operate more efficiently, without increasing airborne emissions, water usage, or other impacts.  The </w:t>
      </w:r>
      <w:r>
        <w:rPr>
          <w:color w:val="000000"/>
          <w:sz w:val="22"/>
          <w:szCs w:val="22"/>
        </w:rPr>
        <w:t xml:space="preserve">Department will revise the </w:t>
      </w:r>
      <w:r w:rsidRPr="002254B4">
        <w:rPr>
          <w:color w:val="000000"/>
          <w:sz w:val="22"/>
          <w:szCs w:val="22"/>
        </w:rPr>
        <w:t>permit to reflect the current, improved, design of the cooling tower.</w:t>
      </w:r>
    </w:p>
    <w:p w:rsidR="003174A9" w:rsidRPr="00C20342" w:rsidRDefault="003174A9" w:rsidP="00AF22C9">
      <w:pPr>
        <w:numPr>
          <w:ilvl w:val="0"/>
          <w:numId w:val="5"/>
        </w:numPr>
        <w:tabs>
          <w:tab w:val="left" w:pos="720"/>
        </w:tabs>
        <w:spacing w:before="120" w:after="120"/>
        <w:ind w:left="720" w:hanging="720"/>
        <w:outlineLvl w:val="0"/>
        <w:rPr>
          <w:b/>
          <w:sz w:val="22"/>
          <w:szCs w:val="22"/>
        </w:rPr>
      </w:pPr>
      <w:r w:rsidRPr="00C20342">
        <w:rPr>
          <w:b/>
          <w:sz w:val="22"/>
          <w:szCs w:val="22"/>
        </w:rPr>
        <w:t>C</w:t>
      </w:r>
      <w:r>
        <w:rPr>
          <w:b/>
          <w:sz w:val="22"/>
          <w:szCs w:val="22"/>
        </w:rPr>
        <w:t>ONCLUSION</w:t>
      </w:r>
    </w:p>
    <w:p w:rsidR="0094338D" w:rsidRDefault="003174A9" w:rsidP="00EA0815">
      <w:pPr>
        <w:spacing w:after="120"/>
        <w:rPr>
          <w:sz w:val="22"/>
          <w:szCs w:val="22"/>
        </w:rPr>
      </w:pPr>
      <w:r w:rsidRPr="007A5388">
        <w:rPr>
          <w:sz w:val="22"/>
          <w:szCs w:val="22"/>
        </w:rPr>
        <w:t>The Department makes a preliminary determination that the proposed project will comply with all applicable state and federal air pollution control regulations as conditioned by the Draft Permit.</w:t>
      </w:r>
    </w:p>
    <w:sectPr w:rsidR="0094338D" w:rsidSect="00776138">
      <w:headerReference w:type="default" r:id="rId24"/>
      <w:footerReference w:type="default" r:id="rId25"/>
      <w:endnotePr>
        <w:numFmt w:val="decimal"/>
      </w:endnotePr>
      <w:pgSz w:w="12240" w:h="15840"/>
      <w:pgMar w:top="1267" w:right="1440" w:bottom="1260" w:left="1440" w:header="720" w:footer="354"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723F3" w:rsidRDefault="001723F3">
      <w:r>
        <w:separator/>
      </w:r>
    </w:p>
  </w:endnote>
  <w:endnote w:type="continuationSeparator" w:id="0">
    <w:p w:rsidR="001723F3" w:rsidRDefault="001723F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TimesNewRoman">
    <w:panose1 w:val="00000000000000000000"/>
    <w:charset w:val="00"/>
    <w:family w:val="roman"/>
    <w:notTrueType/>
    <w:pitch w:val="default"/>
    <w:sig w:usb0="00000003" w:usb1="00000000" w:usb2="00000000" w:usb3="00000000" w:csb0="00000001" w:csb1="00000000"/>
  </w:font>
  <w:font w:name="Times New Roman Bold">
    <w:panose1 w:val="02020803070505020304"/>
    <w:charset w:val="00"/>
    <w:family w:val="roman"/>
    <w:notTrueType/>
    <w:pitch w:val="default"/>
    <w:sig w:usb0="00000000" w:usb1="00000000" w:usb2="00000000" w:usb3="00000000" w:csb0="00000000"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5EB3" w:rsidRPr="00776138" w:rsidRDefault="00395EB3" w:rsidP="00776138">
    <w:pPr>
      <w:pBdr>
        <w:top w:val="single" w:sz="6" w:space="1" w:color="auto"/>
      </w:pBdr>
      <w:tabs>
        <w:tab w:val="right" w:pos="9360"/>
      </w:tabs>
      <w:spacing w:before="240"/>
      <w:rPr>
        <w:rStyle w:val="PageNumber"/>
        <w:sz w:val="20"/>
        <w:szCs w:val="20"/>
      </w:rPr>
    </w:pPr>
    <w:r>
      <w:rPr>
        <w:rStyle w:val="PageNumber"/>
        <w:sz w:val="20"/>
        <w:szCs w:val="20"/>
      </w:rPr>
      <w:t>GREC Facility</w:t>
    </w:r>
    <w:r w:rsidRPr="00776138">
      <w:rPr>
        <w:rStyle w:val="PageNumber"/>
        <w:sz w:val="20"/>
        <w:szCs w:val="20"/>
      </w:rPr>
      <w:t xml:space="preserve">, </w:t>
    </w:r>
    <w:r>
      <w:rPr>
        <w:rStyle w:val="PageNumber"/>
        <w:sz w:val="20"/>
        <w:szCs w:val="20"/>
      </w:rPr>
      <w:t>Alachua</w:t>
    </w:r>
    <w:r w:rsidRPr="00776138">
      <w:rPr>
        <w:rStyle w:val="PageNumber"/>
        <w:sz w:val="20"/>
        <w:szCs w:val="20"/>
      </w:rPr>
      <w:t xml:space="preserve"> County</w:t>
    </w:r>
    <w:r w:rsidRPr="00776138">
      <w:rPr>
        <w:rStyle w:val="PageNumber"/>
        <w:color w:val="FF0000"/>
        <w:sz w:val="20"/>
        <w:szCs w:val="20"/>
      </w:rPr>
      <w:tab/>
    </w:r>
    <w:r w:rsidRPr="00776138">
      <w:rPr>
        <w:rStyle w:val="PageNumber"/>
        <w:sz w:val="20"/>
        <w:szCs w:val="20"/>
      </w:rPr>
      <w:t xml:space="preserve">Project No. </w:t>
    </w:r>
    <w:r>
      <w:rPr>
        <w:rStyle w:val="PageNumber"/>
        <w:sz w:val="20"/>
        <w:szCs w:val="20"/>
      </w:rPr>
      <w:t>0010131-002</w:t>
    </w:r>
    <w:r w:rsidRPr="00776138">
      <w:rPr>
        <w:rStyle w:val="PageNumber"/>
        <w:sz w:val="20"/>
        <w:szCs w:val="20"/>
      </w:rPr>
      <w:t>-AC</w:t>
    </w:r>
  </w:p>
  <w:p w:rsidR="00395EB3" w:rsidRPr="00776138" w:rsidRDefault="00395EB3" w:rsidP="00776138">
    <w:pPr>
      <w:pBdr>
        <w:top w:val="single" w:sz="6" w:space="1" w:color="auto"/>
      </w:pBdr>
      <w:tabs>
        <w:tab w:val="right" w:pos="9360"/>
      </w:tabs>
      <w:rPr>
        <w:sz w:val="20"/>
        <w:szCs w:val="20"/>
      </w:rPr>
    </w:pPr>
    <w:r>
      <w:rPr>
        <w:rStyle w:val="PageNumber"/>
        <w:sz w:val="20"/>
        <w:szCs w:val="20"/>
      </w:rPr>
      <w:t>Addition of NESHAP Subpart DDDDD Requirements</w:t>
    </w:r>
    <w:r w:rsidRPr="00776138">
      <w:rPr>
        <w:rStyle w:val="PageNumber"/>
        <w:sz w:val="20"/>
        <w:szCs w:val="20"/>
      </w:rPr>
      <w:tab/>
    </w:r>
    <w:r w:rsidRPr="00776138">
      <w:rPr>
        <w:sz w:val="20"/>
        <w:szCs w:val="20"/>
      </w:rPr>
      <w:t>PSD-FL-</w:t>
    </w:r>
    <w:r>
      <w:rPr>
        <w:sz w:val="20"/>
        <w:szCs w:val="20"/>
      </w:rPr>
      <w:t>411A</w:t>
    </w:r>
  </w:p>
  <w:p w:rsidR="00395EB3" w:rsidRPr="00776138" w:rsidRDefault="00395EB3" w:rsidP="00776138">
    <w:pPr>
      <w:pStyle w:val="Footer"/>
      <w:tabs>
        <w:tab w:val="left" w:pos="7380"/>
      </w:tabs>
      <w:jc w:val="center"/>
      <w:rPr>
        <w:sz w:val="20"/>
        <w:szCs w:val="20"/>
      </w:rPr>
    </w:pPr>
    <w:r w:rsidRPr="00776138">
      <w:rPr>
        <w:rStyle w:val="PageNumber"/>
        <w:sz w:val="20"/>
        <w:szCs w:val="20"/>
      </w:rPr>
      <w:t xml:space="preserve">Page </w:t>
    </w:r>
    <w:r w:rsidR="00BE3454" w:rsidRPr="00776138">
      <w:rPr>
        <w:rStyle w:val="PageNumber"/>
        <w:sz w:val="20"/>
        <w:szCs w:val="20"/>
      </w:rPr>
      <w:fldChar w:fldCharType="begin"/>
    </w:r>
    <w:r w:rsidRPr="00776138">
      <w:rPr>
        <w:rStyle w:val="PageNumber"/>
        <w:sz w:val="20"/>
        <w:szCs w:val="20"/>
      </w:rPr>
      <w:instrText xml:space="preserve"> PAGE </w:instrText>
    </w:r>
    <w:r w:rsidR="00BE3454" w:rsidRPr="00776138">
      <w:rPr>
        <w:rStyle w:val="PageNumber"/>
        <w:sz w:val="20"/>
        <w:szCs w:val="20"/>
      </w:rPr>
      <w:fldChar w:fldCharType="separate"/>
    </w:r>
    <w:r w:rsidR="00636F78">
      <w:rPr>
        <w:rStyle w:val="PageNumber"/>
        <w:noProof/>
        <w:sz w:val="20"/>
        <w:szCs w:val="20"/>
      </w:rPr>
      <w:t>2</w:t>
    </w:r>
    <w:r w:rsidR="00BE3454" w:rsidRPr="00776138">
      <w:rPr>
        <w:rStyle w:val="PageNumber"/>
        <w:sz w:val="20"/>
        <w:szCs w:val="20"/>
      </w:rPr>
      <w:fldChar w:fldCharType="end"/>
    </w:r>
    <w:r w:rsidRPr="00776138">
      <w:rPr>
        <w:rStyle w:val="PageNumber"/>
        <w:sz w:val="20"/>
        <w:szCs w:val="20"/>
      </w:rPr>
      <w:t xml:space="preserve"> of </w:t>
    </w:r>
    <w:r w:rsidR="00BE3454" w:rsidRPr="00776138">
      <w:rPr>
        <w:rStyle w:val="PageNumber"/>
        <w:sz w:val="20"/>
        <w:szCs w:val="20"/>
      </w:rPr>
      <w:fldChar w:fldCharType="begin"/>
    </w:r>
    <w:r w:rsidRPr="00776138">
      <w:rPr>
        <w:rStyle w:val="PageNumber"/>
        <w:sz w:val="20"/>
        <w:szCs w:val="20"/>
      </w:rPr>
      <w:instrText xml:space="preserve"> NUMPAGES </w:instrText>
    </w:r>
    <w:r w:rsidR="00BE3454" w:rsidRPr="00776138">
      <w:rPr>
        <w:rStyle w:val="PageNumber"/>
        <w:sz w:val="20"/>
        <w:szCs w:val="20"/>
      </w:rPr>
      <w:fldChar w:fldCharType="separate"/>
    </w:r>
    <w:r w:rsidR="00636F78">
      <w:rPr>
        <w:rStyle w:val="PageNumber"/>
        <w:noProof/>
        <w:sz w:val="20"/>
        <w:szCs w:val="20"/>
      </w:rPr>
      <w:t>11</w:t>
    </w:r>
    <w:r w:rsidR="00BE3454" w:rsidRPr="00776138">
      <w:rPr>
        <w:rStyle w:val="PageNumber"/>
        <w:sz w:val="20"/>
        <w:szCs w:val="2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723F3" w:rsidRDefault="001723F3">
      <w:r>
        <w:separator/>
      </w:r>
    </w:p>
  </w:footnote>
  <w:footnote w:type="continuationSeparator" w:id="0">
    <w:p w:rsidR="001723F3" w:rsidRDefault="001723F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5EB3" w:rsidRDefault="00395EB3">
    <w:pPr>
      <w:pStyle w:val="Header"/>
      <w:pBdr>
        <w:bottom w:val="single" w:sz="6" w:space="1" w:color="auto"/>
      </w:pBdr>
      <w:jc w:val="center"/>
      <w:rPr>
        <w:b/>
        <w:caps/>
        <w:sz w:val="22"/>
      </w:rPr>
    </w:pPr>
    <w:r>
      <w:rPr>
        <w:b/>
        <w:caps/>
        <w:sz w:val="22"/>
      </w:rPr>
      <w:t>TECHNICAL EVALUATION AND PRELIMINARY DETERMINATION</w:t>
    </w:r>
  </w:p>
  <w:p w:rsidR="00395EB3" w:rsidRDefault="00395EB3" w:rsidP="007A4643">
    <w:pPr>
      <w:pStyle w:val="Header"/>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rPr>
        <w:rFonts w:cs="Times New Roman"/>
      </w:rPr>
    </w:lvl>
  </w:abstractNum>
  <w:abstractNum w:abstractNumId="1">
    <w:nsid w:val="01C63E29"/>
    <w:multiLevelType w:val="hybridMultilevel"/>
    <w:tmpl w:val="D19C042E"/>
    <w:lvl w:ilvl="0" w:tplc="D286F23A">
      <w:start w:val="1"/>
      <w:numFmt w:val="decimal"/>
      <w:lvlText w:val="%1."/>
      <w:lvlJc w:val="left"/>
      <w:pPr>
        <w:tabs>
          <w:tab w:val="num" w:pos="0"/>
        </w:tabs>
        <w:ind w:left="234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67B4440"/>
    <w:multiLevelType w:val="hybridMultilevel"/>
    <w:tmpl w:val="0AC23756"/>
    <w:lvl w:ilvl="0" w:tplc="72CEAFDC">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68839B9"/>
    <w:multiLevelType w:val="hybridMultilevel"/>
    <w:tmpl w:val="8E1425D2"/>
    <w:lvl w:ilvl="0" w:tplc="04090001">
      <w:start w:val="1"/>
      <w:numFmt w:val="bullet"/>
      <w:lvlText w:val=""/>
      <w:lvlJc w:val="left"/>
      <w:pPr>
        <w:tabs>
          <w:tab w:val="num" w:pos="1170"/>
        </w:tabs>
        <w:ind w:left="117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CB8EC344">
      <w:start w:val="1"/>
      <w:numFmt w:val="lowerRoman"/>
      <w:lvlText w:val="%3."/>
      <w:lvlJc w:val="left"/>
      <w:pPr>
        <w:tabs>
          <w:tab w:val="num" w:pos="0"/>
        </w:tabs>
        <w:ind w:left="2160" w:hanging="180"/>
      </w:pPr>
      <w:rPr>
        <w:rFonts w:cs="Times New Roman" w:hint="default"/>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
    <w:nsid w:val="0BD80848"/>
    <w:multiLevelType w:val="hybridMultilevel"/>
    <w:tmpl w:val="1024A45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14D30702"/>
    <w:multiLevelType w:val="multilevel"/>
    <w:tmpl w:val="25629124"/>
    <w:lvl w:ilvl="0">
      <w:start w:val="1"/>
      <w:numFmt w:val="lowerLetter"/>
      <w:lvlText w:val="(%1)"/>
      <w:lvlJc w:val="left"/>
      <w:pPr>
        <w:ind w:left="720" w:hanging="360"/>
      </w:pPr>
      <w:rPr>
        <w:rFonts w:ascii="Times New Roman" w:hAnsi="Times New Roman" w:cs="Times New Roman" w:hint="default"/>
        <w:b w:val="0"/>
        <w:i w:val="0"/>
      </w:rPr>
    </w:lvl>
    <w:lvl w:ilvl="1">
      <w:start w:val="1"/>
      <w:numFmt w:val="decimal"/>
      <w:lvlText w:val="(%2)"/>
      <w:lvlJc w:val="left"/>
      <w:pPr>
        <w:ind w:left="1440" w:hanging="360"/>
      </w:pPr>
      <w:rPr>
        <w:rFonts w:hint="default"/>
      </w:rPr>
    </w:lvl>
    <w:lvl w:ilvl="2">
      <w:start w:val="1"/>
      <w:numFmt w:val="decimal"/>
      <w:lvlText w:val="%3."/>
      <w:lvlJc w:val="left"/>
      <w:pPr>
        <w:ind w:left="2340" w:hanging="360"/>
      </w:pPr>
      <w:rPr>
        <w:rFonts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nsid w:val="1C466E25"/>
    <w:multiLevelType w:val="multilevel"/>
    <w:tmpl w:val="0409001F"/>
    <w:styleLink w:val="111111"/>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7">
    <w:nsid w:val="1DEF107A"/>
    <w:multiLevelType w:val="hybridMultilevel"/>
    <w:tmpl w:val="79BA3EA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1F564F41"/>
    <w:multiLevelType w:val="multilevel"/>
    <w:tmpl w:val="D416EAD8"/>
    <w:lvl w:ilvl="0">
      <w:start w:val="1"/>
      <w:numFmt w:val="decimal"/>
      <w:lvlText w:val="%1."/>
      <w:lvlJc w:val="left"/>
      <w:pPr>
        <w:tabs>
          <w:tab w:val="num" w:pos="720"/>
        </w:tabs>
        <w:ind w:left="720" w:hanging="360"/>
      </w:pPr>
      <w:rPr>
        <w:rFonts w:hint="default"/>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nsid w:val="1F704C6E"/>
    <w:multiLevelType w:val="hybridMultilevel"/>
    <w:tmpl w:val="CDA830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FB344F6"/>
    <w:multiLevelType w:val="hybridMultilevel"/>
    <w:tmpl w:val="4D6C9716"/>
    <w:lvl w:ilvl="0" w:tplc="0068D748">
      <w:start w:val="1"/>
      <w:numFmt w:val="lowerLetter"/>
      <w:lvlText w:val="%1."/>
      <w:lvlJc w:val="left"/>
      <w:pPr>
        <w:tabs>
          <w:tab w:val="num" w:pos="1440"/>
        </w:tabs>
        <w:ind w:left="144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1">
    <w:nsid w:val="20405CFE"/>
    <w:multiLevelType w:val="hybridMultilevel"/>
    <w:tmpl w:val="2506B3E2"/>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79247D1"/>
    <w:multiLevelType w:val="hybridMultilevel"/>
    <w:tmpl w:val="E496CF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89E6A36"/>
    <w:multiLevelType w:val="hybridMultilevel"/>
    <w:tmpl w:val="9CDE85D6"/>
    <w:lvl w:ilvl="0" w:tplc="04090001">
      <w:start w:val="1"/>
      <w:numFmt w:val="bullet"/>
      <w:lvlText w:val=""/>
      <w:lvlJc w:val="left"/>
      <w:pPr>
        <w:tabs>
          <w:tab w:val="num" w:pos="1080"/>
        </w:tabs>
        <w:ind w:left="1080" w:hanging="360"/>
      </w:pPr>
      <w:rPr>
        <w:rFonts w:ascii="Symbol" w:hAnsi="Symbol" w:hint="default"/>
      </w:rPr>
    </w:lvl>
    <w:lvl w:ilvl="1" w:tplc="A22ABC1C">
      <w:numFmt w:val="bullet"/>
      <w:lvlText w:val="•"/>
      <w:lvlJc w:val="left"/>
      <w:pPr>
        <w:ind w:left="1800" w:hanging="360"/>
      </w:pPr>
      <w:rPr>
        <w:rFonts w:ascii="Times New Roman" w:eastAsia="Times New Roman" w:hAnsi="Times New Roman" w:cs="Times New Roman" w:hint="default"/>
      </w:rPr>
    </w:lvl>
    <w:lvl w:ilvl="2" w:tplc="DE2E09FA">
      <w:start w:val="1"/>
      <w:numFmt w:val="lowerLetter"/>
      <w:lvlText w:val="%3."/>
      <w:lvlJc w:val="left"/>
      <w:pPr>
        <w:tabs>
          <w:tab w:val="num" w:pos="0"/>
        </w:tabs>
        <w:ind w:left="2700" w:hanging="360"/>
      </w:pPr>
      <w:rPr>
        <w:rFonts w:hint="default"/>
        <w:sz w:val="16"/>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4">
    <w:nsid w:val="28BE4159"/>
    <w:multiLevelType w:val="hybridMultilevel"/>
    <w:tmpl w:val="35600648"/>
    <w:lvl w:ilvl="0" w:tplc="FD843504">
      <w:start w:val="1"/>
      <w:numFmt w:val="lowerLetter"/>
      <w:lvlText w:val="%1)"/>
      <w:lvlJc w:val="left"/>
      <w:pPr>
        <w:tabs>
          <w:tab w:val="num" w:pos="1170"/>
        </w:tabs>
        <w:ind w:left="1170" w:hanging="360"/>
      </w:pPr>
      <w:rPr>
        <w:rFonts w:hint="default"/>
        <w:b w:val="0"/>
        <w:i w:val="0"/>
      </w:rPr>
    </w:lvl>
    <w:lvl w:ilvl="1" w:tplc="04090019" w:tentative="1">
      <w:start w:val="1"/>
      <w:numFmt w:val="lowerLetter"/>
      <w:lvlText w:val="%2."/>
      <w:lvlJc w:val="left"/>
      <w:pPr>
        <w:tabs>
          <w:tab w:val="num" w:pos="1890"/>
        </w:tabs>
        <w:ind w:left="1890" w:hanging="360"/>
      </w:pPr>
    </w:lvl>
    <w:lvl w:ilvl="2" w:tplc="0409001B" w:tentative="1">
      <w:start w:val="1"/>
      <w:numFmt w:val="lowerRoman"/>
      <w:lvlText w:val="%3."/>
      <w:lvlJc w:val="right"/>
      <w:pPr>
        <w:tabs>
          <w:tab w:val="num" w:pos="2610"/>
        </w:tabs>
        <w:ind w:left="2610" w:hanging="180"/>
      </w:pPr>
    </w:lvl>
    <w:lvl w:ilvl="3" w:tplc="0409000F" w:tentative="1">
      <w:start w:val="1"/>
      <w:numFmt w:val="decimal"/>
      <w:lvlText w:val="%4."/>
      <w:lvlJc w:val="left"/>
      <w:pPr>
        <w:tabs>
          <w:tab w:val="num" w:pos="3330"/>
        </w:tabs>
        <w:ind w:left="3330" w:hanging="360"/>
      </w:pPr>
    </w:lvl>
    <w:lvl w:ilvl="4" w:tplc="04090019" w:tentative="1">
      <w:start w:val="1"/>
      <w:numFmt w:val="lowerLetter"/>
      <w:lvlText w:val="%5."/>
      <w:lvlJc w:val="left"/>
      <w:pPr>
        <w:tabs>
          <w:tab w:val="num" w:pos="4050"/>
        </w:tabs>
        <w:ind w:left="4050" w:hanging="360"/>
      </w:pPr>
    </w:lvl>
    <w:lvl w:ilvl="5" w:tplc="0409001B" w:tentative="1">
      <w:start w:val="1"/>
      <w:numFmt w:val="lowerRoman"/>
      <w:lvlText w:val="%6."/>
      <w:lvlJc w:val="right"/>
      <w:pPr>
        <w:tabs>
          <w:tab w:val="num" w:pos="4770"/>
        </w:tabs>
        <w:ind w:left="4770" w:hanging="180"/>
      </w:pPr>
    </w:lvl>
    <w:lvl w:ilvl="6" w:tplc="0409000F" w:tentative="1">
      <w:start w:val="1"/>
      <w:numFmt w:val="decimal"/>
      <w:lvlText w:val="%7."/>
      <w:lvlJc w:val="left"/>
      <w:pPr>
        <w:tabs>
          <w:tab w:val="num" w:pos="5490"/>
        </w:tabs>
        <w:ind w:left="5490" w:hanging="360"/>
      </w:pPr>
    </w:lvl>
    <w:lvl w:ilvl="7" w:tplc="04090019" w:tentative="1">
      <w:start w:val="1"/>
      <w:numFmt w:val="lowerLetter"/>
      <w:lvlText w:val="%8."/>
      <w:lvlJc w:val="left"/>
      <w:pPr>
        <w:tabs>
          <w:tab w:val="num" w:pos="6210"/>
        </w:tabs>
        <w:ind w:left="6210" w:hanging="360"/>
      </w:pPr>
    </w:lvl>
    <w:lvl w:ilvl="8" w:tplc="0409001B" w:tentative="1">
      <w:start w:val="1"/>
      <w:numFmt w:val="lowerRoman"/>
      <w:lvlText w:val="%9."/>
      <w:lvlJc w:val="right"/>
      <w:pPr>
        <w:tabs>
          <w:tab w:val="num" w:pos="6930"/>
        </w:tabs>
        <w:ind w:left="6930" w:hanging="180"/>
      </w:pPr>
    </w:lvl>
  </w:abstractNum>
  <w:abstractNum w:abstractNumId="15">
    <w:nsid w:val="307E0E7E"/>
    <w:multiLevelType w:val="hybridMultilevel"/>
    <w:tmpl w:val="F2C4CB9E"/>
    <w:lvl w:ilvl="0" w:tplc="45FC39C4">
      <w:start w:val="1"/>
      <w:numFmt w:val="lowerLetter"/>
      <w:lvlText w:val="(%1)"/>
      <w:lvlJc w:val="left"/>
      <w:pPr>
        <w:ind w:left="720" w:hanging="360"/>
      </w:pPr>
      <w:rPr>
        <w:rFonts w:ascii="Times New Roman" w:hAnsi="Times New Roman" w:cs="Times New Roman" w:hint="default"/>
        <w:b w:val="0"/>
        <w:i w:val="0"/>
      </w:rPr>
    </w:lvl>
    <w:lvl w:ilvl="1" w:tplc="C5221B4E">
      <w:start w:val="1"/>
      <w:numFmt w:val="decimal"/>
      <w:lvlText w:val="(%2)"/>
      <w:lvlJc w:val="left"/>
      <w:pPr>
        <w:ind w:left="1440" w:hanging="360"/>
      </w:pPr>
      <w:rPr>
        <w:rFonts w:hint="default"/>
      </w:rPr>
    </w:lvl>
    <w:lvl w:ilvl="2" w:tplc="D286F23A">
      <w:start w:val="1"/>
      <w:numFmt w:val="decimal"/>
      <w:lvlText w:val="%3."/>
      <w:lvlJc w:val="left"/>
      <w:pPr>
        <w:tabs>
          <w:tab w:val="num" w:pos="0"/>
        </w:tabs>
        <w:ind w:left="2340" w:hanging="360"/>
      </w:pPr>
      <w:rPr>
        <w:rFonts w:hint="default"/>
        <w:b w:val="0"/>
        <w:i w:val="0"/>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0EE47E2"/>
    <w:multiLevelType w:val="hybridMultilevel"/>
    <w:tmpl w:val="BB647666"/>
    <w:lvl w:ilvl="0" w:tplc="76CCE88E">
      <w:start w:val="1"/>
      <w:numFmt w:val="decimal"/>
      <w:lvlText w:val="%1."/>
      <w:lvlJc w:val="left"/>
      <w:pPr>
        <w:tabs>
          <w:tab w:val="num" w:pos="360"/>
        </w:tabs>
        <w:ind w:left="360" w:hanging="360"/>
      </w:pPr>
      <w:rPr>
        <w:rFonts w:hint="default"/>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312753AA"/>
    <w:multiLevelType w:val="hybridMultilevel"/>
    <w:tmpl w:val="1C94B1C8"/>
    <w:lvl w:ilvl="0" w:tplc="95BCCBA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8210D56"/>
    <w:multiLevelType w:val="hybridMultilevel"/>
    <w:tmpl w:val="AC1EA2FE"/>
    <w:lvl w:ilvl="0" w:tplc="95BCCBAC">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B1B2B47"/>
    <w:multiLevelType w:val="hybridMultilevel"/>
    <w:tmpl w:val="01D003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C456942"/>
    <w:multiLevelType w:val="hybridMultilevel"/>
    <w:tmpl w:val="A5068A42"/>
    <w:lvl w:ilvl="0" w:tplc="04090001">
      <w:start w:val="1"/>
      <w:numFmt w:val="bullet"/>
      <w:lvlText w:val=""/>
      <w:lvlJc w:val="left"/>
      <w:pPr>
        <w:tabs>
          <w:tab w:val="num" w:pos="1170"/>
        </w:tabs>
        <w:ind w:left="1170" w:hanging="360"/>
      </w:pPr>
      <w:rPr>
        <w:rFonts w:ascii="Symbol" w:hAnsi="Symbol" w:hint="default"/>
      </w:rPr>
    </w:lvl>
    <w:lvl w:ilvl="1" w:tplc="04090003">
      <w:start w:val="1"/>
      <w:numFmt w:val="bullet"/>
      <w:lvlText w:val="o"/>
      <w:lvlJc w:val="left"/>
      <w:pPr>
        <w:tabs>
          <w:tab w:val="num" w:pos="1890"/>
        </w:tabs>
        <w:ind w:left="1890" w:hanging="360"/>
      </w:pPr>
      <w:rPr>
        <w:rFonts w:ascii="Courier New" w:hAnsi="Courier New" w:hint="default"/>
      </w:rPr>
    </w:lvl>
    <w:lvl w:ilvl="2" w:tplc="04090005" w:tentative="1">
      <w:start w:val="1"/>
      <w:numFmt w:val="bullet"/>
      <w:lvlText w:val=""/>
      <w:lvlJc w:val="left"/>
      <w:pPr>
        <w:tabs>
          <w:tab w:val="num" w:pos="2610"/>
        </w:tabs>
        <w:ind w:left="2610" w:hanging="360"/>
      </w:pPr>
      <w:rPr>
        <w:rFonts w:ascii="Wingdings" w:hAnsi="Wingdings" w:hint="default"/>
      </w:rPr>
    </w:lvl>
    <w:lvl w:ilvl="3" w:tplc="04090001" w:tentative="1">
      <w:start w:val="1"/>
      <w:numFmt w:val="bullet"/>
      <w:lvlText w:val=""/>
      <w:lvlJc w:val="left"/>
      <w:pPr>
        <w:tabs>
          <w:tab w:val="num" w:pos="3330"/>
        </w:tabs>
        <w:ind w:left="3330" w:hanging="360"/>
      </w:pPr>
      <w:rPr>
        <w:rFonts w:ascii="Symbol" w:hAnsi="Symbol" w:hint="default"/>
      </w:rPr>
    </w:lvl>
    <w:lvl w:ilvl="4" w:tplc="04090003" w:tentative="1">
      <w:start w:val="1"/>
      <w:numFmt w:val="bullet"/>
      <w:lvlText w:val="o"/>
      <w:lvlJc w:val="left"/>
      <w:pPr>
        <w:tabs>
          <w:tab w:val="num" w:pos="4050"/>
        </w:tabs>
        <w:ind w:left="4050" w:hanging="360"/>
      </w:pPr>
      <w:rPr>
        <w:rFonts w:ascii="Courier New" w:hAnsi="Courier New" w:hint="default"/>
      </w:rPr>
    </w:lvl>
    <w:lvl w:ilvl="5" w:tplc="04090005" w:tentative="1">
      <w:start w:val="1"/>
      <w:numFmt w:val="bullet"/>
      <w:lvlText w:val=""/>
      <w:lvlJc w:val="left"/>
      <w:pPr>
        <w:tabs>
          <w:tab w:val="num" w:pos="4770"/>
        </w:tabs>
        <w:ind w:left="4770" w:hanging="360"/>
      </w:pPr>
      <w:rPr>
        <w:rFonts w:ascii="Wingdings" w:hAnsi="Wingdings" w:hint="default"/>
      </w:rPr>
    </w:lvl>
    <w:lvl w:ilvl="6" w:tplc="04090001" w:tentative="1">
      <w:start w:val="1"/>
      <w:numFmt w:val="bullet"/>
      <w:lvlText w:val=""/>
      <w:lvlJc w:val="left"/>
      <w:pPr>
        <w:tabs>
          <w:tab w:val="num" w:pos="5490"/>
        </w:tabs>
        <w:ind w:left="5490" w:hanging="360"/>
      </w:pPr>
      <w:rPr>
        <w:rFonts w:ascii="Symbol" w:hAnsi="Symbol" w:hint="default"/>
      </w:rPr>
    </w:lvl>
    <w:lvl w:ilvl="7" w:tplc="04090003" w:tentative="1">
      <w:start w:val="1"/>
      <w:numFmt w:val="bullet"/>
      <w:lvlText w:val="o"/>
      <w:lvlJc w:val="left"/>
      <w:pPr>
        <w:tabs>
          <w:tab w:val="num" w:pos="6210"/>
        </w:tabs>
        <w:ind w:left="6210" w:hanging="360"/>
      </w:pPr>
      <w:rPr>
        <w:rFonts w:ascii="Courier New" w:hAnsi="Courier New" w:hint="default"/>
      </w:rPr>
    </w:lvl>
    <w:lvl w:ilvl="8" w:tplc="04090005" w:tentative="1">
      <w:start w:val="1"/>
      <w:numFmt w:val="bullet"/>
      <w:lvlText w:val=""/>
      <w:lvlJc w:val="left"/>
      <w:pPr>
        <w:tabs>
          <w:tab w:val="num" w:pos="6930"/>
        </w:tabs>
        <w:ind w:left="6930" w:hanging="360"/>
      </w:pPr>
      <w:rPr>
        <w:rFonts w:ascii="Wingdings" w:hAnsi="Wingdings" w:hint="default"/>
      </w:rPr>
    </w:lvl>
  </w:abstractNum>
  <w:abstractNum w:abstractNumId="21">
    <w:nsid w:val="420049C6"/>
    <w:multiLevelType w:val="hybridMultilevel"/>
    <w:tmpl w:val="B81C9934"/>
    <w:lvl w:ilvl="0" w:tplc="EB5CCF34">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BF4E89C">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43DD363F"/>
    <w:multiLevelType w:val="hybridMultilevel"/>
    <w:tmpl w:val="7D047DD0"/>
    <w:lvl w:ilvl="0" w:tplc="0409000F">
      <w:start w:val="1"/>
      <w:numFmt w:val="decimal"/>
      <w:lvlText w:val="%1."/>
      <w:lvlJc w:val="left"/>
      <w:pPr>
        <w:ind w:left="2340" w:hanging="360"/>
      </w:p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23">
    <w:nsid w:val="46142600"/>
    <w:multiLevelType w:val="hybridMultilevel"/>
    <w:tmpl w:val="27381A92"/>
    <w:lvl w:ilvl="0" w:tplc="04090019">
      <w:start w:val="1"/>
      <w:numFmt w:val="lowerLetter"/>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nsid w:val="47262F46"/>
    <w:multiLevelType w:val="hybridMultilevel"/>
    <w:tmpl w:val="E7ECE38E"/>
    <w:lvl w:ilvl="0" w:tplc="092AF24A">
      <w:start w:val="1"/>
      <w:numFmt w:val="decimal"/>
      <w:lvlText w:val="%1."/>
      <w:lvlJc w:val="left"/>
      <w:pPr>
        <w:tabs>
          <w:tab w:val="num" w:pos="720"/>
        </w:tabs>
        <w:ind w:left="720" w:hanging="360"/>
      </w:pPr>
      <w:rPr>
        <w:rFonts w:hint="default"/>
        <w:b w:val="0"/>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47A95719"/>
    <w:multiLevelType w:val="hybridMultilevel"/>
    <w:tmpl w:val="61A0C53C"/>
    <w:lvl w:ilvl="0" w:tplc="04090001">
      <w:start w:val="1"/>
      <w:numFmt w:val="bullet"/>
      <w:lvlText w:val=""/>
      <w:lvlJc w:val="left"/>
      <w:pPr>
        <w:ind w:left="907" w:hanging="360"/>
      </w:pPr>
      <w:rPr>
        <w:rFonts w:ascii="Symbol" w:hAnsi="Symbol" w:hint="default"/>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tentative="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abstractNum w:abstractNumId="26">
    <w:nsid w:val="47F66392"/>
    <w:multiLevelType w:val="hybridMultilevel"/>
    <w:tmpl w:val="66AE78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D8955BF"/>
    <w:multiLevelType w:val="hybridMultilevel"/>
    <w:tmpl w:val="B5C0FC8E"/>
    <w:lvl w:ilvl="0" w:tplc="471A0FA0">
      <w:start w:val="1"/>
      <w:numFmt w:val="decimal"/>
      <w:lvlText w:val="%1."/>
      <w:lvlJc w:val="left"/>
      <w:pPr>
        <w:tabs>
          <w:tab w:val="num" w:pos="0"/>
        </w:tabs>
        <w:ind w:left="720" w:hanging="360"/>
      </w:pPr>
      <w:rPr>
        <w:rFonts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ABB06A7"/>
    <w:multiLevelType w:val="hybridMultilevel"/>
    <w:tmpl w:val="D416EAD8"/>
    <w:lvl w:ilvl="0" w:tplc="79CE7056">
      <w:start w:val="1"/>
      <w:numFmt w:val="decimal"/>
      <w:lvlText w:val="%1."/>
      <w:lvlJc w:val="left"/>
      <w:pPr>
        <w:tabs>
          <w:tab w:val="num" w:pos="720"/>
        </w:tabs>
        <w:ind w:left="720" w:hanging="360"/>
      </w:pPr>
      <w:rPr>
        <w:rFonts w:hint="default"/>
        <w:sz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5C395138"/>
    <w:multiLevelType w:val="multilevel"/>
    <w:tmpl w:val="04090023"/>
    <w:styleLink w:val="ArticleSection"/>
    <w:lvl w:ilvl="0">
      <w:start w:val="1"/>
      <w:numFmt w:val="upperRoman"/>
      <w:pStyle w:val="Heading1"/>
      <w:lvlText w:val="Article %1."/>
      <w:lvlJc w:val="left"/>
      <w:rPr>
        <w:rFonts w:cs="Times New Roman"/>
      </w:rPr>
    </w:lvl>
    <w:lvl w:ilvl="1">
      <w:start w:val="1"/>
      <w:numFmt w:val="decimalZero"/>
      <w:pStyle w:val="Heading2"/>
      <w:isLgl/>
      <w:lvlText w:val="Section %1.%2"/>
      <w:lvlJc w:val="left"/>
      <w:rPr>
        <w:rFonts w:cs="Times New Roman"/>
      </w:rPr>
    </w:lvl>
    <w:lvl w:ilvl="2">
      <w:start w:val="1"/>
      <w:numFmt w:val="lowerLetter"/>
      <w:pStyle w:val="Heading3"/>
      <w:lvlText w:val="(%3)"/>
      <w:lvlJc w:val="left"/>
      <w:pPr>
        <w:ind w:left="720" w:hanging="432"/>
      </w:pPr>
      <w:rPr>
        <w:rFonts w:cs="Times New Roman"/>
      </w:rPr>
    </w:lvl>
    <w:lvl w:ilvl="3">
      <w:start w:val="1"/>
      <w:numFmt w:val="lowerRoman"/>
      <w:pStyle w:val="Heading4"/>
      <w:lvlText w:val="(%4)"/>
      <w:lvlJc w:val="right"/>
      <w:pPr>
        <w:ind w:left="864" w:hanging="144"/>
      </w:pPr>
      <w:rPr>
        <w:rFonts w:cs="Times New Roman"/>
      </w:rPr>
    </w:lvl>
    <w:lvl w:ilvl="4">
      <w:start w:val="1"/>
      <w:numFmt w:val="decimal"/>
      <w:pStyle w:val="Heading5"/>
      <w:lvlText w:val="%5)"/>
      <w:lvlJc w:val="left"/>
      <w:pPr>
        <w:ind w:left="1008" w:hanging="432"/>
      </w:pPr>
      <w:rPr>
        <w:rFonts w:cs="Times New Roman"/>
      </w:rPr>
    </w:lvl>
    <w:lvl w:ilvl="5">
      <w:start w:val="1"/>
      <w:numFmt w:val="lowerLetter"/>
      <w:pStyle w:val="Heading6"/>
      <w:lvlText w:val="%6)"/>
      <w:lvlJc w:val="left"/>
      <w:pPr>
        <w:ind w:left="1152" w:hanging="432"/>
      </w:pPr>
      <w:rPr>
        <w:rFonts w:cs="Times New Roman"/>
      </w:rPr>
    </w:lvl>
    <w:lvl w:ilvl="6">
      <w:start w:val="1"/>
      <w:numFmt w:val="lowerRoman"/>
      <w:pStyle w:val="Heading7"/>
      <w:lvlText w:val="%7)"/>
      <w:lvlJc w:val="right"/>
      <w:pPr>
        <w:ind w:left="1296" w:hanging="288"/>
      </w:pPr>
      <w:rPr>
        <w:rFonts w:cs="Times New Roman"/>
      </w:rPr>
    </w:lvl>
    <w:lvl w:ilvl="7">
      <w:start w:val="1"/>
      <w:numFmt w:val="lowerLetter"/>
      <w:pStyle w:val="Heading8"/>
      <w:lvlText w:val="%8."/>
      <w:lvlJc w:val="left"/>
      <w:pPr>
        <w:ind w:left="1440" w:hanging="432"/>
      </w:pPr>
      <w:rPr>
        <w:rFonts w:cs="Times New Roman"/>
      </w:rPr>
    </w:lvl>
    <w:lvl w:ilvl="8">
      <w:start w:val="1"/>
      <w:numFmt w:val="lowerRoman"/>
      <w:pStyle w:val="Heading9"/>
      <w:lvlText w:val="%9."/>
      <w:lvlJc w:val="right"/>
      <w:pPr>
        <w:ind w:left="1584" w:hanging="144"/>
      </w:pPr>
      <w:rPr>
        <w:rFonts w:cs="Times New Roman"/>
      </w:rPr>
    </w:lvl>
  </w:abstractNum>
  <w:abstractNum w:abstractNumId="30">
    <w:nsid w:val="5D2A5177"/>
    <w:multiLevelType w:val="multilevel"/>
    <w:tmpl w:val="FB5A48D0"/>
    <w:lvl w:ilvl="0">
      <w:start w:val="1"/>
      <w:numFmt w:val="decimal"/>
      <w:lvlText w:val="%1."/>
      <w:lvlJc w:val="left"/>
      <w:pPr>
        <w:ind w:left="840" w:hanging="480"/>
      </w:pPr>
      <w:rPr>
        <w:rFonts w:cs="Times New Roman" w:hint="default"/>
      </w:rPr>
    </w:lvl>
    <w:lvl w:ilvl="1">
      <w:start w:val="1"/>
      <w:numFmt w:val="decimal"/>
      <w:isLgl/>
      <w:lvlText w:val="%1.%2."/>
      <w:lvlJc w:val="left"/>
      <w:pPr>
        <w:ind w:left="840" w:hanging="480"/>
      </w:pPr>
      <w:rPr>
        <w:rFonts w:cs="Times New Roman" w:hint="default"/>
      </w:rPr>
    </w:lvl>
    <w:lvl w:ilvl="2">
      <w:start w:val="1"/>
      <w:numFmt w:val="decimal"/>
      <w:isLgl/>
      <w:lvlText w:val="%1.%2.%3."/>
      <w:lvlJc w:val="left"/>
      <w:pPr>
        <w:ind w:left="1080" w:hanging="720"/>
      </w:pPr>
      <w:rPr>
        <w:rFonts w:cs="Times New Roman" w:hint="default"/>
        <w:b/>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31">
    <w:nsid w:val="66411DAA"/>
    <w:multiLevelType w:val="multilevel"/>
    <w:tmpl w:val="607A8832"/>
    <w:lvl w:ilvl="0">
      <w:start w:val="1"/>
      <w:numFmt w:val="decimal"/>
      <w:lvlText w:val="%1."/>
      <w:lvlJc w:val="left"/>
      <w:pPr>
        <w:ind w:left="360" w:hanging="360"/>
      </w:pPr>
      <w:rPr>
        <w:rFonts w:hint="default"/>
      </w:rPr>
    </w:lvl>
    <w:lvl w:ilvl="1">
      <w:start w:val="1"/>
      <w:numFmt w:val="decimal"/>
      <w:lvlText w:val="%1.%2."/>
      <w:lvlJc w:val="left"/>
      <w:pPr>
        <w:ind w:left="792" w:hanging="432"/>
      </w:pPr>
      <w:rPr>
        <w:b/>
      </w:rPr>
    </w:lvl>
    <w:lvl w:ilvl="2">
      <w:start w:val="1"/>
      <w:numFmt w:val="decimal"/>
      <w:lvlText w:val="%1.%2.%3."/>
      <w:lvlJc w:val="left"/>
      <w:pPr>
        <w:ind w:left="1224" w:hanging="504"/>
      </w:pPr>
      <w:rPr>
        <w:b/>
      </w:rPr>
    </w:lvl>
    <w:lvl w:ilvl="3">
      <w:start w:val="1"/>
      <w:numFmt w:val="decimal"/>
      <w:lvlText w:val="%1.%2.%3.%4."/>
      <w:lvlJc w:val="left"/>
      <w:pPr>
        <w:ind w:left="1728" w:hanging="648"/>
      </w:pPr>
      <w:rPr>
        <w:b/>
        <w:i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nsid w:val="66896CAC"/>
    <w:multiLevelType w:val="hybridMultilevel"/>
    <w:tmpl w:val="6F50EB4E"/>
    <w:lvl w:ilvl="0" w:tplc="0409000F">
      <w:start w:val="1"/>
      <w:numFmt w:val="decimal"/>
      <w:lvlText w:val="%1."/>
      <w:lvlJc w:val="left"/>
      <w:pPr>
        <w:tabs>
          <w:tab w:val="num" w:pos="2340"/>
        </w:tabs>
        <w:ind w:left="2340" w:hanging="360"/>
      </w:pPr>
    </w:lvl>
    <w:lvl w:ilvl="1" w:tplc="04090019" w:tentative="1">
      <w:start w:val="1"/>
      <w:numFmt w:val="lowerLetter"/>
      <w:lvlText w:val="%2."/>
      <w:lvlJc w:val="left"/>
      <w:pPr>
        <w:tabs>
          <w:tab w:val="num" w:pos="3060"/>
        </w:tabs>
        <w:ind w:left="3060" w:hanging="360"/>
      </w:pPr>
    </w:lvl>
    <w:lvl w:ilvl="2" w:tplc="0409001B" w:tentative="1">
      <w:start w:val="1"/>
      <w:numFmt w:val="lowerRoman"/>
      <w:lvlText w:val="%3."/>
      <w:lvlJc w:val="right"/>
      <w:pPr>
        <w:tabs>
          <w:tab w:val="num" w:pos="3780"/>
        </w:tabs>
        <w:ind w:left="3780" w:hanging="180"/>
      </w:pPr>
    </w:lvl>
    <w:lvl w:ilvl="3" w:tplc="0409000F" w:tentative="1">
      <w:start w:val="1"/>
      <w:numFmt w:val="decimal"/>
      <w:lvlText w:val="%4."/>
      <w:lvlJc w:val="left"/>
      <w:pPr>
        <w:tabs>
          <w:tab w:val="num" w:pos="4500"/>
        </w:tabs>
        <w:ind w:left="4500" w:hanging="360"/>
      </w:pPr>
    </w:lvl>
    <w:lvl w:ilvl="4" w:tplc="04090019" w:tentative="1">
      <w:start w:val="1"/>
      <w:numFmt w:val="lowerLetter"/>
      <w:lvlText w:val="%5."/>
      <w:lvlJc w:val="left"/>
      <w:pPr>
        <w:tabs>
          <w:tab w:val="num" w:pos="5220"/>
        </w:tabs>
        <w:ind w:left="5220" w:hanging="360"/>
      </w:pPr>
    </w:lvl>
    <w:lvl w:ilvl="5" w:tplc="0409001B" w:tentative="1">
      <w:start w:val="1"/>
      <w:numFmt w:val="lowerRoman"/>
      <w:lvlText w:val="%6."/>
      <w:lvlJc w:val="right"/>
      <w:pPr>
        <w:tabs>
          <w:tab w:val="num" w:pos="5940"/>
        </w:tabs>
        <w:ind w:left="5940" w:hanging="180"/>
      </w:pPr>
    </w:lvl>
    <w:lvl w:ilvl="6" w:tplc="0409000F" w:tentative="1">
      <w:start w:val="1"/>
      <w:numFmt w:val="decimal"/>
      <w:lvlText w:val="%7."/>
      <w:lvlJc w:val="left"/>
      <w:pPr>
        <w:tabs>
          <w:tab w:val="num" w:pos="6660"/>
        </w:tabs>
        <w:ind w:left="6660" w:hanging="360"/>
      </w:pPr>
    </w:lvl>
    <w:lvl w:ilvl="7" w:tplc="04090019" w:tentative="1">
      <w:start w:val="1"/>
      <w:numFmt w:val="lowerLetter"/>
      <w:lvlText w:val="%8."/>
      <w:lvlJc w:val="left"/>
      <w:pPr>
        <w:tabs>
          <w:tab w:val="num" w:pos="7380"/>
        </w:tabs>
        <w:ind w:left="7380" w:hanging="360"/>
      </w:pPr>
    </w:lvl>
    <w:lvl w:ilvl="8" w:tplc="0409001B" w:tentative="1">
      <w:start w:val="1"/>
      <w:numFmt w:val="lowerRoman"/>
      <w:lvlText w:val="%9."/>
      <w:lvlJc w:val="right"/>
      <w:pPr>
        <w:tabs>
          <w:tab w:val="num" w:pos="8100"/>
        </w:tabs>
        <w:ind w:left="8100" w:hanging="180"/>
      </w:pPr>
    </w:lvl>
  </w:abstractNum>
  <w:abstractNum w:abstractNumId="33">
    <w:nsid w:val="6C0D7A35"/>
    <w:multiLevelType w:val="hybridMultilevel"/>
    <w:tmpl w:val="AC1EA2FE"/>
    <w:lvl w:ilvl="0" w:tplc="95BCCBAC">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D0B0CFE"/>
    <w:multiLevelType w:val="hybridMultilevel"/>
    <w:tmpl w:val="1E40DFF0"/>
    <w:lvl w:ilvl="0" w:tplc="04090001">
      <w:start w:val="1"/>
      <w:numFmt w:val="bullet"/>
      <w:lvlText w:val=""/>
      <w:lvlJc w:val="left"/>
      <w:pPr>
        <w:ind w:left="792" w:hanging="360"/>
      </w:pPr>
      <w:rPr>
        <w:rFonts w:ascii="Symbol" w:hAnsi="Symbol"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35">
    <w:nsid w:val="78080C4C"/>
    <w:multiLevelType w:val="hybridMultilevel"/>
    <w:tmpl w:val="F8B6E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90B5C8F"/>
    <w:multiLevelType w:val="hybridMultilevel"/>
    <w:tmpl w:val="53901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A2824EB"/>
    <w:multiLevelType w:val="hybridMultilevel"/>
    <w:tmpl w:val="EA50A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A9E4F60"/>
    <w:multiLevelType w:val="multilevel"/>
    <w:tmpl w:val="79BA3EAC"/>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9">
    <w:nsid w:val="7AC06345"/>
    <w:multiLevelType w:val="multilevel"/>
    <w:tmpl w:val="79BA3EAC"/>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0">
    <w:nsid w:val="7B780372"/>
    <w:multiLevelType w:val="hybridMultilevel"/>
    <w:tmpl w:val="E8B619F6"/>
    <w:lvl w:ilvl="0" w:tplc="E7288402">
      <w:start w:val="1"/>
      <w:numFmt w:val="decimal"/>
      <w:lvlText w:val="%1."/>
      <w:lvlJc w:val="left"/>
      <w:pPr>
        <w:tabs>
          <w:tab w:val="num" w:pos="0"/>
        </w:tabs>
        <w:ind w:left="720" w:hanging="360"/>
      </w:pPr>
      <w:rPr>
        <w:rFonts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7DC1319C"/>
    <w:multiLevelType w:val="hybridMultilevel"/>
    <w:tmpl w:val="3F24AE1C"/>
    <w:lvl w:ilvl="0" w:tplc="CB1C883E">
      <w:start w:val="1"/>
      <w:numFmt w:val="decimal"/>
      <w:lvlText w:val="%1."/>
      <w:lvlJc w:val="left"/>
      <w:pPr>
        <w:tabs>
          <w:tab w:val="num" w:pos="1080"/>
        </w:tabs>
        <w:ind w:left="1080" w:hanging="360"/>
      </w:pPr>
      <w:rPr>
        <w:rFonts w:hint="default"/>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6"/>
  </w:num>
  <w:num w:numId="2">
    <w:abstractNumId w:val="29"/>
  </w:num>
  <w:num w:numId="3">
    <w:abstractNumId w:val="23"/>
  </w:num>
  <w:num w:numId="4">
    <w:abstractNumId w:val="20"/>
  </w:num>
  <w:num w:numId="5">
    <w:abstractNumId w:val="30"/>
  </w:num>
  <w:num w:numId="6">
    <w:abstractNumId w:val="3"/>
  </w:num>
  <w:num w:numId="7">
    <w:abstractNumId w:val="13"/>
  </w:num>
  <w:num w:numId="8">
    <w:abstractNumId w:val="40"/>
  </w:num>
  <w:num w:numId="9">
    <w:abstractNumId w:val="27"/>
  </w:num>
  <w:num w:numId="10">
    <w:abstractNumId w:val="9"/>
  </w:num>
  <w:num w:numId="11">
    <w:abstractNumId w:val="15"/>
  </w:num>
  <w:num w:numId="12">
    <w:abstractNumId w:val="4"/>
  </w:num>
  <w:num w:numId="13">
    <w:abstractNumId w:val="34"/>
  </w:num>
  <w:num w:numId="1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0"/>
    <w:lvlOverride w:ilvl="0">
      <w:lvl w:ilvl="0">
        <w:start w:val="1"/>
        <w:numFmt w:val="bullet"/>
        <w:lvlText w:val=""/>
        <w:legacy w:legacy="1" w:legacySpace="0" w:legacyIndent="360"/>
        <w:lvlJc w:val="left"/>
        <w:pPr>
          <w:ind w:left="900" w:hanging="360"/>
        </w:pPr>
        <w:rPr>
          <w:rFonts w:ascii="Symbol" w:hAnsi="Symbol" w:hint="default"/>
        </w:rPr>
      </w:lvl>
    </w:lvlOverride>
  </w:num>
  <w:num w:numId="16">
    <w:abstractNumId w:val="41"/>
  </w:num>
  <w:num w:numId="17">
    <w:abstractNumId w:val="22"/>
  </w:num>
  <w:num w:numId="18">
    <w:abstractNumId w:val="21"/>
  </w:num>
  <w:num w:numId="19">
    <w:abstractNumId w:val="7"/>
  </w:num>
  <w:num w:numId="20">
    <w:abstractNumId w:val="32"/>
  </w:num>
  <w:num w:numId="21">
    <w:abstractNumId w:val="39"/>
  </w:num>
  <w:num w:numId="22">
    <w:abstractNumId w:val="38"/>
  </w:num>
  <w:num w:numId="23">
    <w:abstractNumId w:val="28"/>
  </w:num>
  <w:num w:numId="24">
    <w:abstractNumId w:val="8"/>
  </w:num>
  <w:num w:numId="25">
    <w:abstractNumId w:val="16"/>
  </w:num>
  <w:num w:numId="26">
    <w:abstractNumId w:val="5"/>
  </w:num>
  <w:num w:numId="27">
    <w:abstractNumId w:val="1"/>
  </w:num>
  <w:num w:numId="28">
    <w:abstractNumId w:val="24"/>
  </w:num>
  <w:num w:numId="29">
    <w:abstractNumId w:val="14"/>
  </w:num>
  <w:num w:numId="30">
    <w:abstractNumId w:val="2"/>
  </w:num>
  <w:num w:numId="31">
    <w:abstractNumId w:val="11"/>
  </w:num>
  <w:num w:numId="32">
    <w:abstractNumId w:val="31"/>
  </w:num>
  <w:num w:numId="33">
    <w:abstractNumId w:val="37"/>
  </w:num>
  <w:num w:numId="34">
    <w:abstractNumId w:val="26"/>
  </w:num>
  <w:num w:numId="35">
    <w:abstractNumId w:val="35"/>
  </w:num>
  <w:num w:numId="36">
    <w:abstractNumId w:val="25"/>
  </w:num>
  <w:num w:numId="37">
    <w:abstractNumId w:val="12"/>
  </w:num>
  <w:num w:numId="38">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6"/>
  </w:num>
  <w:num w:numId="40">
    <w:abstractNumId w:val="19"/>
  </w:num>
  <w:num w:numId="41">
    <w:abstractNumId w:val="18"/>
  </w:num>
  <w:num w:numId="42">
    <w:abstractNumId w:val="17"/>
  </w:num>
  <w:num w:numId="43">
    <w:abstractNumId w:val="33"/>
  </w:num>
  <w:numIdMacAtCleanup w:val="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removePersonalInformation/>
  <w:embedSystemFonts/>
  <w:stylePaneFormatFilter w:val="3F01"/>
  <w:defaultTabStop w:val="187"/>
  <w:drawingGridHorizontalSpacing w:val="120"/>
  <w:displayHorizontalDrawingGridEvery w:val="2"/>
  <w:characterSpacingControl w:val="doNotCompress"/>
  <w:footnotePr>
    <w:footnote w:id="-1"/>
    <w:footnote w:id="0"/>
  </w:footnotePr>
  <w:endnotePr>
    <w:numFmt w:val="decimal"/>
    <w:endnote w:id="-1"/>
    <w:endnote w:id="0"/>
  </w:endnotePr>
  <w:compat/>
  <w:rsids>
    <w:rsidRoot w:val="00FF4660"/>
    <w:rsid w:val="00000670"/>
    <w:rsid w:val="000018B6"/>
    <w:rsid w:val="0000236B"/>
    <w:rsid w:val="000027D5"/>
    <w:rsid w:val="00003074"/>
    <w:rsid w:val="00003E48"/>
    <w:rsid w:val="000040C1"/>
    <w:rsid w:val="00012787"/>
    <w:rsid w:val="00016E18"/>
    <w:rsid w:val="000173B5"/>
    <w:rsid w:val="000239FC"/>
    <w:rsid w:val="00024070"/>
    <w:rsid w:val="00024FFD"/>
    <w:rsid w:val="0002693A"/>
    <w:rsid w:val="000270B4"/>
    <w:rsid w:val="00027F35"/>
    <w:rsid w:val="00030701"/>
    <w:rsid w:val="00031B53"/>
    <w:rsid w:val="000321E1"/>
    <w:rsid w:val="00032913"/>
    <w:rsid w:val="000333DF"/>
    <w:rsid w:val="00034008"/>
    <w:rsid w:val="0003568C"/>
    <w:rsid w:val="0004013C"/>
    <w:rsid w:val="000410CB"/>
    <w:rsid w:val="000425AD"/>
    <w:rsid w:val="00042CE6"/>
    <w:rsid w:val="000455F0"/>
    <w:rsid w:val="000456F0"/>
    <w:rsid w:val="00046143"/>
    <w:rsid w:val="000464D4"/>
    <w:rsid w:val="00046F33"/>
    <w:rsid w:val="000471F4"/>
    <w:rsid w:val="00047B2B"/>
    <w:rsid w:val="0005207F"/>
    <w:rsid w:val="00052358"/>
    <w:rsid w:val="000553CE"/>
    <w:rsid w:val="0005653F"/>
    <w:rsid w:val="00056563"/>
    <w:rsid w:val="00056596"/>
    <w:rsid w:val="000633E3"/>
    <w:rsid w:val="00065441"/>
    <w:rsid w:val="00072306"/>
    <w:rsid w:val="0007231A"/>
    <w:rsid w:val="000728C0"/>
    <w:rsid w:val="00074B52"/>
    <w:rsid w:val="000751D0"/>
    <w:rsid w:val="000833BA"/>
    <w:rsid w:val="000854AD"/>
    <w:rsid w:val="00086C25"/>
    <w:rsid w:val="00087082"/>
    <w:rsid w:val="00087968"/>
    <w:rsid w:val="00095948"/>
    <w:rsid w:val="00095988"/>
    <w:rsid w:val="000963CA"/>
    <w:rsid w:val="000A2678"/>
    <w:rsid w:val="000A30D8"/>
    <w:rsid w:val="000A61DD"/>
    <w:rsid w:val="000B06C9"/>
    <w:rsid w:val="000B243C"/>
    <w:rsid w:val="000B2B0C"/>
    <w:rsid w:val="000B40F6"/>
    <w:rsid w:val="000B564D"/>
    <w:rsid w:val="000B6955"/>
    <w:rsid w:val="000B6D0F"/>
    <w:rsid w:val="000C4E13"/>
    <w:rsid w:val="000D1D21"/>
    <w:rsid w:val="000D245C"/>
    <w:rsid w:val="000D26A0"/>
    <w:rsid w:val="000D4BE6"/>
    <w:rsid w:val="000D5707"/>
    <w:rsid w:val="000D6133"/>
    <w:rsid w:val="000D67EF"/>
    <w:rsid w:val="000D753A"/>
    <w:rsid w:val="000E382D"/>
    <w:rsid w:val="000E3BB7"/>
    <w:rsid w:val="000E53FC"/>
    <w:rsid w:val="000E7C70"/>
    <w:rsid w:val="000F0051"/>
    <w:rsid w:val="000F0BA4"/>
    <w:rsid w:val="000F1167"/>
    <w:rsid w:val="00100FA8"/>
    <w:rsid w:val="001078EC"/>
    <w:rsid w:val="0011612E"/>
    <w:rsid w:val="00117A76"/>
    <w:rsid w:val="00121B37"/>
    <w:rsid w:val="0012238D"/>
    <w:rsid w:val="001269E6"/>
    <w:rsid w:val="0013130E"/>
    <w:rsid w:val="001313AE"/>
    <w:rsid w:val="00132318"/>
    <w:rsid w:val="0013358F"/>
    <w:rsid w:val="00133EF0"/>
    <w:rsid w:val="001344BF"/>
    <w:rsid w:val="001371DC"/>
    <w:rsid w:val="0014347F"/>
    <w:rsid w:val="001455DA"/>
    <w:rsid w:val="001509AF"/>
    <w:rsid w:val="00153607"/>
    <w:rsid w:val="001551EE"/>
    <w:rsid w:val="001574F4"/>
    <w:rsid w:val="0015764D"/>
    <w:rsid w:val="0016017F"/>
    <w:rsid w:val="001614F1"/>
    <w:rsid w:val="001615CB"/>
    <w:rsid w:val="00170119"/>
    <w:rsid w:val="001723F3"/>
    <w:rsid w:val="00172C92"/>
    <w:rsid w:val="001738D5"/>
    <w:rsid w:val="00175820"/>
    <w:rsid w:val="00176C5B"/>
    <w:rsid w:val="0018054D"/>
    <w:rsid w:val="00183C4F"/>
    <w:rsid w:val="0018543C"/>
    <w:rsid w:val="00186AAE"/>
    <w:rsid w:val="00186B76"/>
    <w:rsid w:val="00187378"/>
    <w:rsid w:val="00192CF4"/>
    <w:rsid w:val="00192F2E"/>
    <w:rsid w:val="00194F56"/>
    <w:rsid w:val="001963F8"/>
    <w:rsid w:val="001B21D9"/>
    <w:rsid w:val="001B2482"/>
    <w:rsid w:val="001B2D30"/>
    <w:rsid w:val="001B4D42"/>
    <w:rsid w:val="001C0B9D"/>
    <w:rsid w:val="001C3591"/>
    <w:rsid w:val="001C3E0F"/>
    <w:rsid w:val="001C3E6D"/>
    <w:rsid w:val="001C5B49"/>
    <w:rsid w:val="001C68B5"/>
    <w:rsid w:val="001D2E2D"/>
    <w:rsid w:val="001D33F1"/>
    <w:rsid w:val="001D47D5"/>
    <w:rsid w:val="001D5AC7"/>
    <w:rsid w:val="001E2074"/>
    <w:rsid w:val="001F0516"/>
    <w:rsid w:val="001F1789"/>
    <w:rsid w:val="001F2B20"/>
    <w:rsid w:val="001F5F6F"/>
    <w:rsid w:val="001F6B36"/>
    <w:rsid w:val="00204E2B"/>
    <w:rsid w:val="002056E5"/>
    <w:rsid w:val="00205B61"/>
    <w:rsid w:val="00207238"/>
    <w:rsid w:val="00210971"/>
    <w:rsid w:val="00210CB0"/>
    <w:rsid w:val="00211B28"/>
    <w:rsid w:val="00217333"/>
    <w:rsid w:val="00217A08"/>
    <w:rsid w:val="00222AA4"/>
    <w:rsid w:val="00222D03"/>
    <w:rsid w:val="002234C9"/>
    <w:rsid w:val="002242C8"/>
    <w:rsid w:val="002249ED"/>
    <w:rsid w:val="002254B4"/>
    <w:rsid w:val="0022739B"/>
    <w:rsid w:val="002304D9"/>
    <w:rsid w:val="002310BF"/>
    <w:rsid w:val="0023150E"/>
    <w:rsid w:val="002352D2"/>
    <w:rsid w:val="00236E00"/>
    <w:rsid w:val="002406E4"/>
    <w:rsid w:val="00241DF5"/>
    <w:rsid w:val="00245B56"/>
    <w:rsid w:val="00245DAB"/>
    <w:rsid w:val="0024684D"/>
    <w:rsid w:val="002469AE"/>
    <w:rsid w:val="00247430"/>
    <w:rsid w:val="00252D37"/>
    <w:rsid w:val="002540A9"/>
    <w:rsid w:val="00263179"/>
    <w:rsid w:val="00264298"/>
    <w:rsid w:val="00266365"/>
    <w:rsid w:val="00267DC5"/>
    <w:rsid w:val="00270431"/>
    <w:rsid w:val="002733FF"/>
    <w:rsid w:val="0027422E"/>
    <w:rsid w:val="00274D72"/>
    <w:rsid w:val="00275E97"/>
    <w:rsid w:val="00281BD5"/>
    <w:rsid w:val="002822EC"/>
    <w:rsid w:val="00284030"/>
    <w:rsid w:val="00284F3A"/>
    <w:rsid w:val="00287E17"/>
    <w:rsid w:val="0029081C"/>
    <w:rsid w:val="00291584"/>
    <w:rsid w:val="002962E6"/>
    <w:rsid w:val="002973C8"/>
    <w:rsid w:val="002A3A41"/>
    <w:rsid w:val="002A4F6C"/>
    <w:rsid w:val="002B0DFD"/>
    <w:rsid w:val="002B177E"/>
    <w:rsid w:val="002B57D5"/>
    <w:rsid w:val="002B5E19"/>
    <w:rsid w:val="002B6684"/>
    <w:rsid w:val="002B68CC"/>
    <w:rsid w:val="002C0F43"/>
    <w:rsid w:val="002C1633"/>
    <w:rsid w:val="002C5EBF"/>
    <w:rsid w:val="002D2302"/>
    <w:rsid w:val="002D5D1F"/>
    <w:rsid w:val="002E200E"/>
    <w:rsid w:val="002E2ABF"/>
    <w:rsid w:val="002E45CC"/>
    <w:rsid w:val="002E4DA4"/>
    <w:rsid w:val="002E74BB"/>
    <w:rsid w:val="002F121F"/>
    <w:rsid w:val="002F2B7D"/>
    <w:rsid w:val="002F2DD4"/>
    <w:rsid w:val="002F2F29"/>
    <w:rsid w:val="002F4B65"/>
    <w:rsid w:val="002F55AB"/>
    <w:rsid w:val="002F79FD"/>
    <w:rsid w:val="00303170"/>
    <w:rsid w:val="00305871"/>
    <w:rsid w:val="003059BE"/>
    <w:rsid w:val="003059CA"/>
    <w:rsid w:val="00307D3A"/>
    <w:rsid w:val="00310476"/>
    <w:rsid w:val="003116E9"/>
    <w:rsid w:val="00313621"/>
    <w:rsid w:val="00315804"/>
    <w:rsid w:val="00315A7B"/>
    <w:rsid w:val="00316A46"/>
    <w:rsid w:val="00316CAB"/>
    <w:rsid w:val="003174A9"/>
    <w:rsid w:val="0032204A"/>
    <w:rsid w:val="00323BC8"/>
    <w:rsid w:val="00330E04"/>
    <w:rsid w:val="003321A0"/>
    <w:rsid w:val="0033443B"/>
    <w:rsid w:val="00336E49"/>
    <w:rsid w:val="00337D56"/>
    <w:rsid w:val="00340F1A"/>
    <w:rsid w:val="0034415A"/>
    <w:rsid w:val="003654A3"/>
    <w:rsid w:val="003655D3"/>
    <w:rsid w:val="00365EB6"/>
    <w:rsid w:val="00366279"/>
    <w:rsid w:val="00370A0E"/>
    <w:rsid w:val="0037140A"/>
    <w:rsid w:val="00371948"/>
    <w:rsid w:val="00384338"/>
    <w:rsid w:val="0038573E"/>
    <w:rsid w:val="00391982"/>
    <w:rsid w:val="00391AE6"/>
    <w:rsid w:val="00392C19"/>
    <w:rsid w:val="003942AC"/>
    <w:rsid w:val="00395072"/>
    <w:rsid w:val="003951E9"/>
    <w:rsid w:val="0039577C"/>
    <w:rsid w:val="00395EB3"/>
    <w:rsid w:val="00397036"/>
    <w:rsid w:val="003A41F3"/>
    <w:rsid w:val="003B1265"/>
    <w:rsid w:val="003B490C"/>
    <w:rsid w:val="003B6BDC"/>
    <w:rsid w:val="003C0C0A"/>
    <w:rsid w:val="003C4410"/>
    <w:rsid w:val="003C6130"/>
    <w:rsid w:val="003D0E74"/>
    <w:rsid w:val="003D1184"/>
    <w:rsid w:val="003D3858"/>
    <w:rsid w:val="003D4C07"/>
    <w:rsid w:val="003D5469"/>
    <w:rsid w:val="003D6C19"/>
    <w:rsid w:val="003D7B34"/>
    <w:rsid w:val="003E0952"/>
    <w:rsid w:val="003E2086"/>
    <w:rsid w:val="003E264B"/>
    <w:rsid w:val="003E6EE9"/>
    <w:rsid w:val="003F31D5"/>
    <w:rsid w:val="003F455B"/>
    <w:rsid w:val="003F4D98"/>
    <w:rsid w:val="003F5D65"/>
    <w:rsid w:val="004000B0"/>
    <w:rsid w:val="00400A83"/>
    <w:rsid w:val="00405C61"/>
    <w:rsid w:val="00406E88"/>
    <w:rsid w:val="004077E1"/>
    <w:rsid w:val="00412D43"/>
    <w:rsid w:val="00416325"/>
    <w:rsid w:val="00417D1D"/>
    <w:rsid w:val="00420F07"/>
    <w:rsid w:val="00421902"/>
    <w:rsid w:val="00421EB2"/>
    <w:rsid w:val="004268AD"/>
    <w:rsid w:val="00426B33"/>
    <w:rsid w:val="00427691"/>
    <w:rsid w:val="00427EC1"/>
    <w:rsid w:val="0043500D"/>
    <w:rsid w:val="00440215"/>
    <w:rsid w:val="00441338"/>
    <w:rsid w:val="00441794"/>
    <w:rsid w:val="00452FC0"/>
    <w:rsid w:val="0045302B"/>
    <w:rsid w:val="00453963"/>
    <w:rsid w:val="00455D72"/>
    <w:rsid w:val="00455FD1"/>
    <w:rsid w:val="00457A57"/>
    <w:rsid w:val="00462844"/>
    <w:rsid w:val="00463179"/>
    <w:rsid w:val="00470B04"/>
    <w:rsid w:val="00472BB2"/>
    <w:rsid w:val="004731DD"/>
    <w:rsid w:val="00474354"/>
    <w:rsid w:val="004759E6"/>
    <w:rsid w:val="00480784"/>
    <w:rsid w:val="0049111F"/>
    <w:rsid w:val="00494DE0"/>
    <w:rsid w:val="00495488"/>
    <w:rsid w:val="00495F5D"/>
    <w:rsid w:val="00495FF3"/>
    <w:rsid w:val="004A377C"/>
    <w:rsid w:val="004A4267"/>
    <w:rsid w:val="004A4C66"/>
    <w:rsid w:val="004B0068"/>
    <w:rsid w:val="004B6A05"/>
    <w:rsid w:val="004B75AB"/>
    <w:rsid w:val="004C2653"/>
    <w:rsid w:val="004C4AFF"/>
    <w:rsid w:val="004C5AE4"/>
    <w:rsid w:val="004C6BA6"/>
    <w:rsid w:val="004C6F49"/>
    <w:rsid w:val="004E045F"/>
    <w:rsid w:val="004E2A9C"/>
    <w:rsid w:val="004E58C9"/>
    <w:rsid w:val="004E5AE2"/>
    <w:rsid w:val="004F107E"/>
    <w:rsid w:val="004F2F06"/>
    <w:rsid w:val="004F3888"/>
    <w:rsid w:val="004F3919"/>
    <w:rsid w:val="004F3E3E"/>
    <w:rsid w:val="004F4025"/>
    <w:rsid w:val="004F4AB5"/>
    <w:rsid w:val="004F58E2"/>
    <w:rsid w:val="00502469"/>
    <w:rsid w:val="00505548"/>
    <w:rsid w:val="00505CF4"/>
    <w:rsid w:val="00506D4A"/>
    <w:rsid w:val="005123A2"/>
    <w:rsid w:val="00512A70"/>
    <w:rsid w:val="005132A7"/>
    <w:rsid w:val="005133BA"/>
    <w:rsid w:val="005135E6"/>
    <w:rsid w:val="00514E8F"/>
    <w:rsid w:val="00520EC2"/>
    <w:rsid w:val="005228AF"/>
    <w:rsid w:val="00522D10"/>
    <w:rsid w:val="005240C0"/>
    <w:rsid w:val="005245C8"/>
    <w:rsid w:val="00526298"/>
    <w:rsid w:val="005264BF"/>
    <w:rsid w:val="00526DF0"/>
    <w:rsid w:val="00534665"/>
    <w:rsid w:val="005351D6"/>
    <w:rsid w:val="00537B86"/>
    <w:rsid w:val="00541E0A"/>
    <w:rsid w:val="00543B3F"/>
    <w:rsid w:val="005470A7"/>
    <w:rsid w:val="00551748"/>
    <w:rsid w:val="00553EC9"/>
    <w:rsid w:val="00554BBA"/>
    <w:rsid w:val="00561772"/>
    <w:rsid w:val="00561D0D"/>
    <w:rsid w:val="0057002E"/>
    <w:rsid w:val="0057215F"/>
    <w:rsid w:val="00575075"/>
    <w:rsid w:val="00575CB3"/>
    <w:rsid w:val="0058369F"/>
    <w:rsid w:val="005839D7"/>
    <w:rsid w:val="005858D6"/>
    <w:rsid w:val="00586D2C"/>
    <w:rsid w:val="00587C37"/>
    <w:rsid w:val="00593086"/>
    <w:rsid w:val="00594826"/>
    <w:rsid w:val="00594F36"/>
    <w:rsid w:val="005A0F32"/>
    <w:rsid w:val="005A0FE9"/>
    <w:rsid w:val="005A1907"/>
    <w:rsid w:val="005A3059"/>
    <w:rsid w:val="005A3B5F"/>
    <w:rsid w:val="005B6C2A"/>
    <w:rsid w:val="005B74A8"/>
    <w:rsid w:val="005B7E3B"/>
    <w:rsid w:val="005C100F"/>
    <w:rsid w:val="005C2A89"/>
    <w:rsid w:val="005D28D1"/>
    <w:rsid w:val="005D4905"/>
    <w:rsid w:val="005D5982"/>
    <w:rsid w:val="005D7040"/>
    <w:rsid w:val="005E0B4D"/>
    <w:rsid w:val="005E4801"/>
    <w:rsid w:val="005E4D12"/>
    <w:rsid w:val="005E4E79"/>
    <w:rsid w:val="005F05D1"/>
    <w:rsid w:val="005F1167"/>
    <w:rsid w:val="005F1737"/>
    <w:rsid w:val="00601C0E"/>
    <w:rsid w:val="0060443C"/>
    <w:rsid w:val="006045FE"/>
    <w:rsid w:val="0060483E"/>
    <w:rsid w:val="00604A4F"/>
    <w:rsid w:val="006061FC"/>
    <w:rsid w:val="00611322"/>
    <w:rsid w:val="00611343"/>
    <w:rsid w:val="00611651"/>
    <w:rsid w:val="00613541"/>
    <w:rsid w:val="00615DA0"/>
    <w:rsid w:val="00617D0A"/>
    <w:rsid w:val="00622AAF"/>
    <w:rsid w:val="00623A05"/>
    <w:rsid w:val="006245A7"/>
    <w:rsid w:val="006260C7"/>
    <w:rsid w:val="00627776"/>
    <w:rsid w:val="006309CA"/>
    <w:rsid w:val="006311EB"/>
    <w:rsid w:val="00635052"/>
    <w:rsid w:val="006357D7"/>
    <w:rsid w:val="00636323"/>
    <w:rsid w:val="00636F78"/>
    <w:rsid w:val="00637314"/>
    <w:rsid w:val="00640008"/>
    <w:rsid w:val="00641820"/>
    <w:rsid w:val="00641F4A"/>
    <w:rsid w:val="00645294"/>
    <w:rsid w:val="0064614B"/>
    <w:rsid w:val="0064743D"/>
    <w:rsid w:val="00652AD4"/>
    <w:rsid w:val="00653FE8"/>
    <w:rsid w:val="00654245"/>
    <w:rsid w:val="00660E0A"/>
    <w:rsid w:val="006632B3"/>
    <w:rsid w:val="0066568A"/>
    <w:rsid w:val="00666D57"/>
    <w:rsid w:val="00667BCD"/>
    <w:rsid w:val="00670447"/>
    <w:rsid w:val="00676C74"/>
    <w:rsid w:val="0068067E"/>
    <w:rsid w:val="00687381"/>
    <w:rsid w:val="00687C7F"/>
    <w:rsid w:val="00690442"/>
    <w:rsid w:val="00694946"/>
    <w:rsid w:val="00694B14"/>
    <w:rsid w:val="006953F7"/>
    <w:rsid w:val="00695BD2"/>
    <w:rsid w:val="006A110E"/>
    <w:rsid w:val="006A1D73"/>
    <w:rsid w:val="006A216B"/>
    <w:rsid w:val="006A25E4"/>
    <w:rsid w:val="006A37E3"/>
    <w:rsid w:val="006A570A"/>
    <w:rsid w:val="006B0132"/>
    <w:rsid w:val="006B33BA"/>
    <w:rsid w:val="006B4310"/>
    <w:rsid w:val="006B4D4C"/>
    <w:rsid w:val="006B512A"/>
    <w:rsid w:val="006B75BA"/>
    <w:rsid w:val="006B7CAB"/>
    <w:rsid w:val="006C0330"/>
    <w:rsid w:val="006C048B"/>
    <w:rsid w:val="006C3A02"/>
    <w:rsid w:val="006C5D60"/>
    <w:rsid w:val="006D0EAD"/>
    <w:rsid w:val="006D0F77"/>
    <w:rsid w:val="006D7B68"/>
    <w:rsid w:val="006E2E51"/>
    <w:rsid w:val="006E4442"/>
    <w:rsid w:val="006E4CE1"/>
    <w:rsid w:val="006E547E"/>
    <w:rsid w:val="006E578C"/>
    <w:rsid w:val="006F1CC0"/>
    <w:rsid w:val="006F2957"/>
    <w:rsid w:val="006F2F08"/>
    <w:rsid w:val="006F45C5"/>
    <w:rsid w:val="006F69AC"/>
    <w:rsid w:val="0070011D"/>
    <w:rsid w:val="0070016F"/>
    <w:rsid w:val="00700D40"/>
    <w:rsid w:val="00710E0E"/>
    <w:rsid w:val="0071667E"/>
    <w:rsid w:val="00716E0F"/>
    <w:rsid w:val="0071774E"/>
    <w:rsid w:val="00721371"/>
    <w:rsid w:val="007264A8"/>
    <w:rsid w:val="00731D07"/>
    <w:rsid w:val="00731DB5"/>
    <w:rsid w:val="00731F73"/>
    <w:rsid w:val="00732AA3"/>
    <w:rsid w:val="007345FE"/>
    <w:rsid w:val="00735630"/>
    <w:rsid w:val="007361DE"/>
    <w:rsid w:val="007454B7"/>
    <w:rsid w:val="007466E8"/>
    <w:rsid w:val="00751415"/>
    <w:rsid w:val="00757C81"/>
    <w:rsid w:val="00760CDF"/>
    <w:rsid w:val="00761769"/>
    <w:rsid w:val="007637FC"/>
    <w:rsid w:val="00767984"/>
    <w:rsid w:val="00772223"/>
    <w:rsid w:val="00774FBF"/>
    <w:rsid w:val="00776138"/>
    <w:rsid w:val="00780C0C"/>
    <w:rsid w:val="007865A4"/>
    <w:rsid w:val="007907ED"/>
    <w:rsid w:val="007919CB"/>
    <w:rsid w:val="007935E8"/>
    <w:rsid w:val="007A2829"/>
    <w:rsid w:val="007A4643"/>
    <w:rsid w:val="007A5388"/>
    <w:rsid w:val="007A6391"/>
    <w:rsid w:val="007A65F6"/>
    <w:rsid w:val="007B27B9"/>
    <w:rsid w:val="007B3A6C"/>
    <w:rsid w:val="007B4C6A"/>
    <w:rsid w:val="007B5D1D"/>
    <w:rsid w:val="007B60D8"/>
    <w:rsid w:val="007B6425"/>
    <w:rsid w:val="007B6AC9"/>
    <w:rsid w:val="007C1D4E"/>
    <w:rsid w:val="007C3E2B"/>
    <w:rsid w:val="007C5EBA"/>
    <w:rsid w:val="007C6488"/>
    <w:rsid w:val="007D1087"/>
    <w:rsid w:val="007D1134"/>
    <w:rsid w:val="007D150B"/>
    <w:rsid w:val="007D1E2C"/>
    <w:rsid w:val="007D357E"/>
    <w:rsid w:val="007E0711"/>
    <w:rsid w:val="007E0960"/>
    <w:rsid w:val="007E115B"/>
    <w:rsid w:val="007E13B7"/>
    <w:rsid w:val="007E6544"/>
    <w:rsid w:val="007F47AF"/>
    <w:rsid w:val="00800BC3"/>
    <w:rsid w:val="00801A30"/>
    <w:rsid w:val="008028A2"/>
    <w:rsid w:val="008031AC"/>
    <w:rsid w:val="0080383E"/>
    <w:rsid w:val="0080438B"/>
    <w:rsid w:val="008073CE"/>
    <w:rsid w:val="008124A8"/>
    <w:rsid w:val="0081252C"/>
    <w:rsid w:val="00812C3C"/>
    <w:rsid w:val="0081561C"/>
    <w:rsid w:val="008209B3"/>
    <w:rsid w:val="008223BE"/>
    <w:rsid w:val="0083273B"/>
    <w:rsid w:val="00832998"/>
    <w:rsid w:val="00832EF7"/>
    <w:rsid w:val="00833618"/>
    <w:rsid w:val="00833A87"/>
    <w:rsid w:val="00834E8F"/>
    <w:rsid w:val="00836B88"/>
    <w:rsid w:val="00836D24"/>
    <w:rsid w:val="00840464"/>
    <w:rsid w:val="00841602"/>
    <w:rsid w:val="0084184F"/>
    <w:rsid w:val="00843E73"/>
    <w:rsid w:val="00850AC0"/>
    <w:rsid w:val="00852447"/>
    <w:rsid w:val="00852BAA"/>
    <w:rsid w:val="00854D87"/>
    <w:rsid w:val="0085567F"/>
    <w:rsid w:val="0085661D"/>
    <w:rsid w:val="00857D53"/>
    <w:rsid w:val="00860091"/>
    <w:rsid w:val="00863BE2"/>
    <w:rsid w:val="00864046"/>
    <w:rsid w:val="008642C7"/>
    <w:rsid w:val="00870801"/>
    <w:rsid w:val="008713E2"/>
    <w:rsid w:val="00871F95"/>
    <w:rsid w:val="00877E7E"/>
    <w:rsid w:val="0088162E"/>
    <w:rsid w:val="00882F8D"/>
    <w:rsid w:val="00884994"/>
    <w:rsid w:val="008975AA"/>
    <w:rsid w:val="0089789B"/>
    <w:rsid w:val="008A077F"/>
    <w:rsid w:val="008A2121"/>
    <w:rsid w:val="008A3805"/>
    <w:rsid w:val="008B17FF"/>
    <w:rsid w:val="008B49E1"/>
    <w:rsid w:val="008C0E52"/>
    <w:rsid w:val="008C13BD"/>
    <w:rsid w:val="008C23B7"/>
    <w:rsid w:val="008C2510"/>
    <w:rsid w:val="008C302F"/>
    <w:rsid w:val="008C3BBA"/>
    <w:rsid w:val="008C58FD"/>
    <w:rsid w:val="008C6E6D"/>
    <w:rsid w:val="008C7C27"/>
    <w:rsid w:val="008D062F"/>
    <w:rsid w:val="008D1250"/>
    <w:rsid w:val="008D3B05"/>
    <w:rsid w:val="008D492C"/>
    <w:rsid w:val="008D6408"/>
    <w:rsid w:val="008E1197"/>
    <w:rsid w:val="008F020D"/>
    <w:rsid w:val="008F0C78"/>
    <w:rsid w:val="008F3B28"/>
    <w:rsid w:val="008F5031"/>
    <w:rsid w:val="008F609E"/>
    <w:rsid w:val="008F7D94"/>
    <w:rsid w:val="009007BB"/>
    <w:rsid w:val="00900C94"/>
    <w:rsid w:val="00901820"/>
    <w:rsid w:val="00903E7D"/>
    <w:rsid w:val="00905472"/>
    <w:rsid w:val="00905EA2"/>
    <w:rsid w:val="009063CA"/>
    <w:rsid w:val="0090640A"/>
    <w:rsid w:val="00911DE9"/>
    <w:rsid w:val="0091227C"/>
    <w:rsid w:val="00912980"/>
    <w:rsid w:val="00913054"/>
    <w:rsid w:val="009171FE"/>
    <w:rsid w:val="009179AE"/>
    <w:rsid w:val="00920720"/>
    <w:rsid w:val="009216A9"/>
    <w:rsid w:val="00923455"/>
    <w:rsid w:val="00925938"/>
    <w:rsid w:val="00925B39"/>
    <w:rsid w:val="0093104B"/>
    <w:rsid w:val="009332D1"/>
    <w:rsid w:val="009333F3"/>
    <w:rsid w:val="00933505"/>
    <w:rsid w:val="00935AE4"/>
    <w:rsid w:val="00936773"/>
    <w:rsid w:val="0094338D"/>
    <w:rsid w:val="009441C2"/>
    <w:rsid w:val="0094490E"/>
    <w:rsid w:val="0094517A"/>
    <w:rsid w:val="00950158"/>
    <w:rsid w:val="00950703"/>
    <w:rsid w:val="00951D76"/>
    <w:rsid w:val="00952303"/>
    <w:rsid w:val="009543B3"/>
    <w:rsid w:val="009554E6"/>
    <w:rsid w:val="009570BF"/>
    <w:rsid w:val="00957B90"/>
    <w:rsid w:val="0096317C"/>
    <w:rsid w:val="00963EF4"/>
    <w:rsid w:val="00964D7F"/>
    <w:rsid w:val="009654C9"/>
    <w:rsid w:val="009659C2"/>
    <w:rsid w:val="009671A1"/>
    <w:rsid w:val="009674B4"/>
    <w:rsid w:val="0097031C"/>
    <w:rsid w:val="009718AE"/>
    <w:rsid w:val="009721E9"/>
    <w:rsid w:val="009723A9"/>
    <w:rsid w:val="00972515"/>
    <w:rsid w:val="00973C54"/>
    <w:rsid w:val="0098036C"/>
    <w:rsid w:val="009817E2"/>
    <w:rsid w:val="00981EAC"/>
    <w:rsid w:val="00984521"/>
    <w:rsid w:val="00985758"/>
    <w:rsid w:val="0098596C"/>
    <w:rsid w:val="00992E91"/>
    <w:rsid w:val="0099343E"/>
    <w:rsid w:val="00997BAF"/>
    <w:rsid w:val="009A046A"/>
    <w:rsid w:val="009A0A6B"/>
    <w:rsid w:val="009A0BB2"/>
    <w:rsid w:val="009A1610"/>
    <w:rsid w:val="009A40BE"/>
    <w:rsid w:val="009A51E7"/>
    <w:rsid w:val="009A72BB"/>
    <w:rsid w:val="009B2354"/>
    <w:rsid w:val="009B3840"/>
    <w:rsid w:val="009B45C6"/>
    <w:rsid w:val="009C00C8"/>
    <w:rsid w:val="009C0D57"/>
    <w:rsid w:val="009C51D3"/>
    <w:rsid w:val="009C57B7"/>
    <w:rsid w:val="009C5AFC"/>
    <w:rsid w:val="009C6939"/>
    <w:rsid w:val="009C6E0F"/>
    <w:rsid w:val="009C7FFC"/>
    <w:rsid w:val="009D3C5C"/>
    <w:rsid w:val="009D5CBF"/>
    <w:rsid w:val="009D5FBB"/>
    <w:rsid w:val="009E1839"/>
    <w:rsid w:val="009E7037"/>
    <w:rsid w:val="009F68AC"/>
    <w:rsid w:val="00A01601"/>
    <w:rsid w:val="00A01BE9"/>
    <w:rsid w:val="00A029C6"/>
    <w:rsid w:val="00A02CA8"/>
    <w:rsid w:val="00A06B11"/>
    <w:rsid w:val="00A10374"/>
    <w:rsid w:val="00A1140F"/>
    <w:rsid w:val="00A11BA8"/>
    <w:rsid w:val="00A12649"/>
    <w:rsid w:val="00A13A94"/>
    <w:rsid w:val="00A17B7B"/>
    <w:rsid w:val="00A23B15"/>
    <w:rsid w:val="00A3244E"/>
    <w:rsid w:val="00A32BDA"/>
    <w:rsid w:val="00A331B3"/>
    <w:rsid w:val="00A33FA1"/>
    <w:rsid w:val="00A36AFB"/>
    <w:rsid w:val="00A37035"/>
    <w:rsid w:val="00A372DF"/>
    <w:rsid w:val="00A409F2"/>
    <w:rsid w:val="00A40C30"/>
    <w:rsid w:val="00A439A8"/>
    <w:rsid w:val="00A443EA"/>
    <w:rsid w:val="00A444DC"/>
    <w:rsid w:val="00A44E72"/>
    <w:rsid w:val="00A46F40"/>
    <w:rsid w:val="00A4721F"/>
    <w:rsid w:val="00A50467"/>
    <w:rsid w:val="00A504A8"/>
    <w:rsid w:val="00A529B3"/>
    <w:rsid w:val="00A63A92"/>
    <w:rsid w:val="00A66C77"/>
    <w:rsid w:val="00A716B5"/>
    <w:rsid w:val="00A72BE6"/>
    <w:rsid w:val="00A731ED"/>
    <w:rsid w:val="00A75D1E"/>
    <w:rsid w:val="00A82670"/>
    <w:rsid w:val="00A86290"/>
    <w:rsid w:val="00A87798"/>
    <w:rsid w:val="00A907E1"/>
    <w:rsid w:val="00A90EE2"/>
    <w:rsid w:val="00A93A3A"/>
    <w:rsid w:val="00A93A59"/>
    <w:rsid w:val="00A94782"/>
    <w:rsid w:val="00A94C7A"/>
    <w:rsid w:val="00A94F2B"/>
    <w:rsid w:val="00A95A2E"/>
    <w:rsid w:val="00A96539"/>
    <w:rsid w:val="00AA0731"/>
    <w:rsid w:val="00AA296F"/>
    <w:rsid w:val="00AA29C3"/>
    <w:rsid w:val="00AA406B"/>
    <w:rsid w:val="00AA42BA"/>
    <w:rsid w:val="00AA4BBA"/>
    <w:rsid w:val="00AA4D96"/>
    <w:rsid w:val="00AB041B"/>
    <w:rsid w:val="00AB10DD"/>
    <w:rsid w:val="00AB225C"/>
    <w:rsid w:val="00AB255A"/>
    <w:rsid w:val="00AB3802"/>
    <w:rsid w:val="00AB41DA"/>
    <w:rsid w:val="00AB4632"/>
    <w:rsid w:val="00AB48D7"/>
    <w:rsid w:val="00AB65B9"/>
    <w:rsid w:val="00AB7616"/>
    <w:rsid w:val="00AC08D4"/>
    <w:rsid w:val="00AC19FC"/>
    <w:rsid w:val="00AC20DA"/>
    <w:rsid w:val="00AC22AF"/>
    <w:rsid w:val="00AC409C"/>
    <w:rsid w:val="00AC53D9"/>
    <w:rsid w:val="00AC60DD"/>
    <w:rsid w:val="00AD0CC1"/>
    <w:rsid w:val="00AD11C5"/>
    <w:rsid w:val="00AD1C54"/>
    <w:rsid w:val="00AD2CE0"/>
    <w:rsid w:val="00AD3DC8"/>
    <w:rsid w:val="00AD6D5E"/>
    <w:rsid w:val="00AE20D2"/>
    <w:rsid w:val="00AE36B4"/>
    <w:rsid w:val="00AE3D1F"/>
    <w:rsid w:val="00AE6719"/>
    <w:rsid w:val="00AF0448"/>
    <w:rsid w:val="00AF1B28"/>
    <w:rsid w:val="00AF22C9"/>
    <w:rsid w:val="00AF3C70"/>
    <w:rsid w:val="00AF3E26"/>
    <w:rsid w:val="00AF47D7"/>
    <w:rsid w:val="00AF5B72"/>
    <w:rsid w:val="00B007A7"/>
    <w:rsid w:val="00B03D3E"/>
    <w:rsid w:val="00B069EA"/>
    <w:rsid w:val="00B0718A"/>
    <w:rsid w:val="00B11F7B"/>
    <w:rsid w:val="00B138AE"/>
    <w:rsid w:val="00B14DD7"/>
    <w:rsid w:val="00B160FD"/>
    <w:rsid w:val="00B16213"/>
    <w:rsid w:val="00B16CEB"/>
    <w:rsid w:val="00B25A40"/>
    <w:rsid w:val="00B27EB7"/>
    <w:rsid w:val="00B3088D"/>
    <w:rsid w:val="00B3633E"/>
    <w:rsid w:val="00B40A62"/>
    <w:rsid w:val="00B42A10"/>
    <w:rsid w:val="00B42EF2"/>
    <w:rsid w:val="00B43434"/>
    <w:rsid w:val="00B44C6B"/>
    <w:rsid w:val="00B477B8"/>
    <w:rsid w:val="00B47C78"/>
    <w:rsid w:val="00B5054B"/>
    <w:rsid w:val="00B5133A"/>
    <w:rsid w:val="00B56455"/>
    <w:rsid w:val="00B56F33"/>
    <w:rsid w:val="00B6052C"/>
    <w:rsid w:val="00B6080D"/>
    <w:rsid w:val="00B61C32"/>
    <w:rsid w:val="00B632E5"/>
    <w:rsid w:val="00B700AD"/>
    <w:rsid w:val="00B74F35"/>
    <w:rsid w:val="00B7730B"/>
    <w:rsid w:val="00B80446"/>
    <w:rsid w:val="00B8121A"/>
    <w:rsid w:val="00B82D50"/>
    <w:rsid w:val="00B83BB6"/>
    <w:rsid w:val="00B848B6"/>
    <w:rsid w:val="00B8549A"/>
    <w:rsid w:val="00B86756"/>
    <w:rsid w:val="00B87A61"/>
    <w:rsid w:val="00B932C9"/>
    <w:rsid w:val="00BA0CD7"/>
    <w:rsid w:val="00BA2E3E"/>
    <w:rsid w:val="00BA3005"/>
    <w:rsid w:val="00BA39D1"/>
    <w:rsid w:val="00BA3A0C"/>
    <w:rsid w:val="00BA502C"/>
    <w:rsid w:val="00BA68F0"/>
    <w:rsid w:val="00BB3A3B"/>
    <w:rsid w:val="00BB4351"/>
    <w:rsid w:val="00BB5B37"/>
    <w:rsid w:val="00BC125A"/>
    <w:rsid w:val="00BC2289"/>
    <w:rsid w:val="00BC6FF2"/>
    <w:rsid w:val="00BD42CA"/>
    <w:rsid w:val="00BE28FF"/>
    <w:rsid w:val="00BE3454"/>
    <w:rsid w:val="00BE59FA"/>
    <w:rsid w:val="00BF5618"/>
    <w:rsid w:val="00BF678A"/>
    <w:rsid w:val="00C01416"/>
    <w:rsid w:val="00C02C44"/>
    <w:rsid w:val="00C03B09"/>
    <w:rsid w:val="00C0518A"/>
    <w:rsid w:val="00C055FD"/>
    <w:rsid w:val="00C07422"/>
    <w:rsid w:val="00C076DA"/>
    <w:rsid w:val="00C07C95"/>
    <w:rsid w:val="00C13146"/>
    <w:rsid w:val="00C13681"/>
    <w:rsid w:val="00C13C0D"/>
    <w:rsid w:val="00C153AD"/>
    <w:rsid w:val="00C15989"/>
    <w:rsid w:val="00C165D8"/>
    <w:rsid w:val="00C16A32"/>
    <w:rsid w:val="00C20342"/>
    <w:rsid w:val="00C22C7C"/>
    <w:rsid w:val="00C236B8"/>
    <w:rsid w:val="00C23741"/>
    <w:rsid w:val="00C2452C"/>
    <w:rsid w:val="00C2475D"/>
    <w:rsid w:val="00C277FA"/>
    <w:rsid w:val="00C27D3B"/>
    <w:rsid w:val="00C30D6F"/>
    <w:rsid w:val="00C30E0A"/>
    <w:rsid w:val="00C32E94"/>
    <w:rsid w:val="00C3322E"/>
    <w:rsid w:val="00C3374B"/>
    <w:rsid w:val="00C33EF2"/>
    <w:rsid w:val="00C354E1"/>
    <w:rsid w:val="00C35B33"/>
    <w:rsid w:val="00C36D1E"/>
    <w:rsid w:val="00C37E34"/>
    <w:rsid w:val="00C401F9"/>
    <w:rsid w:val="00C42740"/>
    <w:rsid w:val="00C448FE"/>
    <w:rsid w:val="00C45B24"/>
    <w:rsid w:val="00C46B74"/>
    <w:rsid w:val="00C47646"/>
    <w:rsid w:val="00C50323"/>
    <w:rsid w:val="00C52DE6"/>
    <w:rsid w:val="00C53B8E"/>
    <w:rsid w:val="00C5469C"/>
    <w:rsid w:val="00C5515E"/>
    <w:rsid w:val="00C62D72"/>
    <w:rsid w:val="00C73479"/>
    <w:rsid w:val="00C7383B"/>
    <w:rsid w:val="00C73B23"/>
    <w:rsid w:val="00C753FE"/>
    <w:rsid w:val="00C77965"/>
    <w:rsid w:val="00C779FA"/>
    <w:rsid w:val="00C77C68"/>
    <w:rsid w:val="00C81C84"/>
    <w:rsid w:val="00C8459B"/>
    <w:rsid w:val="00CA4DDC"/>
    <w:rsid w:val="00CA6E86"/>
    <w:rsid w:val="00CA7A13"/>
    <w:rsid w:val="00CB2963"/>
    <w:rsid w:val="00CB5AC2"/>
    <w:rsid w:val="00CB72B9"/>
    <w:rsid w:val="00CC20B4"/>
    <w:rsid w:val="00CC2658"/>
    <w:rsid w:val="00CC28F0"/>
    <w:rsid w:val="00CC614B"/>
    <w:rsid w:val="00CC636A"/>
    <w:rsid w:val="00CD08B7"/>
    <w:rsid w:val="00CD0AB7"/>
    <w:rsid w:val="00CD19D3"/>
    <w:rsid w:val="00CD56DD"/>
    <w:rsid w:val="00CE097F"/>
    <w:rsid w:val="00CE1603"/>
    <w:rsid w:val="00CE2264"/>
    <w:rsid w:val="00CE2A18"/>
    <w:rsid w:val="00CE4994"/>
    <w:rsid w:val="00CE58A6"/>
    <w:rsid w:val="00CE7402"/>
    <w:rsid w:val="00CF2199"/>
    <w:rsid w:val="00CF2878"/>
    <w:rsid w:val="00CF4E75"/>
    <w:rsid w:val="00CF5ED6"/>
    <w:rsid w:val="00CF6FB4"/>
    <w:rsid w:val="00CF7A69"/>
    <w:rsid w:val="00D03088"/>
    <w:rsid w:val="00D04066"/>
    <w:rsid w:val="00D050CC"/>
    <w:rsid w:val="00D07104"/>
    <w:rsid w:val="00D0742A"/>
    <w:rsid w:val="00D248CB"/>
    <w:rsid w:val="00D2507E"/>
    <w:rsid w:val="00D31499"/>
    <w:rsid w:val="00D315EF"/>
    <w:rsid w:val="00D32777"/>
    <w:rsid w:val="00D3386C"/>
    <w:rsid w:val="00D33F1A"/>
    <w:rsid w:val="00D365A6"/>
    <w:rsid w:val="00D368AE"/>
    <w:rsid w:val="00D4099C"/>
    <w:rsid w:val="00D40B5C"/>
    <w:rsid w:val="00D4232F"/>
    <w:rsid w:val="00D42BE3"/>
    <w:rsid w:val="00D43FC1"/>
    <w:rsid w:val="00D451FD"/>
    <w:rsid w:val="00D46787"/>
    <w:rsid w:val="00D472F0"/>
    <w:rsid w:val="00D51A59"/>
    <w:rsid w:val="00D53380"/>
    <w:rsid w:val="00D54F3D"/>
    <w:rsid w:val="00D55EE4"/>
    <w:rsid w:val="00D604A7"/>
    <w:rsid w:val="00D6073C"/>
    <w:rsid w:val="00D669C2"/>
    <w:rsid w:val="00D677B6"/>
    <w:rsid w:val="00D678F4"/>
    <w:rsid w:val="00D700E6"/>
    <w:rsid w:val="00D70974"/>
    <w:rsid w:val="00D73C2C"/>
    <w:rsid w:val="00D91A97"/>
    <w:rsid w:val="00D91CF5"/>
    <w:rsid w:val="00D93348"/>
    <w:rsid w:val="00D95487"/>
    <w:rsid w:val="00D960D6"/>
    <w:rsid w:val="00DB1D11"/>
    <w:rsid w:val="00DB20A7"/>
    <w:rsid w:val="00DB6D11"/>
    <w:rsid w:val="00DC0FB6"/>
    <w:rsid w:val="00DC27D1"/>
    <w:rsid w:val="00DC2A9B"/>
    <w:rsid w:val="00DC73E8"/>
    <w:rsid w:val="00DD14B9"/>
    <w:rsid w:val="00DE05D0"/>
    <w:rsid w:val="00DE508A"/>
    <w:rsid w:val="00DE602A"/>
    <w:rsid w:val="00DE7629"/>
    <w:rsid w:val="00DF2DB9"/>
    <w:rsid w:val="00DF645D"/>
    <w:rsid w:val="00DF7DF8"/>
    <w:rsid w:val="00E02A4B"/>
    <w:rsid w:val="00E0658C"/>
    <w:rsid w:val="00E1259C"/>
    <w:rsid w:val="00E16DEA"/>
    <w:rsid w:val="00E1725C"/>
    <w:rsid w:val="00E205E1"/>
    <w:rsid w:val="00E207A4"/>
    <w:rsid w:val="00E268C6"/>
    <w:rsid w:val="00E26D4F"/>
    <w:rsid w:val="00E270D5"/>
    <w:rsid w:val="00E27563"/>
    <w:rsid w:val="00E327DB"/>
    <w:rsid w:val="00E34F38"/>
    <w:rsid w:val="00E3527B"/>
    <w:rsid w:val="00E36332"/>
    <w:rsid w:val="00E36824"/>
    <w:rsid w:val="00E3701F"/>
    <w:rsid w:val="00E41366"/>
    <w:rsid w:val="00E434FE"/>
    <w:rsid w:val="00E43E95"/>
    <w:rsid w:val="00E46824"/>
    <w:rsid w:val="00E47473"/>
    <w:rsid w:val="00E47FEA"/>
    <w:rsid w:val="00E50E3B"/>
    <w:rsid w:val="00E52CB6"/>
    <w:rsid w:val="00E55771"/>
    <w:rsid w:val="00E573F2"/>
    <w:rsid w:val="00E57C81"/>
    <w:rsid w:val="00E60121"/>
    <w:rsid w:val="00E6084B"/>
    <w:rsid w:val="00E62554"/>
    <w:rsid w:val="00E660C1"/>
    <w:rsid w:val="00E66388"/>
    <w:rsid w:val="00E71792"/>
    <w:rsid w:val="00E73E30"/>
    <w:rsid w:val="00E75A48"/>
    <w:rsid w:val="00E77BC6"/>
    <w:rsid w:val="00E8053C"/>
    <w:rsid w:val="00E81499"/>
    <w:rsid w:val="00E824F5"/>
    <w:rsid w:val="00E83712"/>
    <w:rsid w:val="00E87F17"/>
    <w:rsid w:val="00E95F98"/>
    <w:rsid w:val="00E9664D"/>
    <w:rsid w:val="00E96A43"/>
    <w:rsid w:val="00E96E8B"/>
    <w:rsid w:val="00E970E4"/>
    <w:rsid w:val="00E97E65"/>
    <w:rsid w:val="00EA0815"/>
    <w:rsid w:val="00EA1DD4"/>
    <w:rsid w:val="00EA2C08"/>
    <w:rsid w:val="00EA359C"/>
    <w:rsid w:val="00EA50FC"/>
    <w:rsid w:val="00EA63A9"/>
    <w:rsid w:val="00EA79A4"/>
    <w:rsid w:val="00EB0572"/>
    <w:rsid w:val="00EB14E7"/>
    <w:rsid w:val="00EB3A20"/>
    <w:rsid w:val="00EB51A6"/>
    <w:rsid w:val="00EB739A"/>
    <w:rsid w:val="00EC2482"/>
    <w:rsid w:val="00EC29DC"/>
    <w:rsid w:val="00ED04C4"/>
    <w:rsid w:val="00ED1DD2"/>
    <w:rsid w:val="00ED2443"/>
    <w:rsid w:val="00ED2777"/>
    <w:rsid w:val="00ED2EC8"/>
    <w:rsid w:val="00ED536D"/>
    <w:rsid w:val="00ED765C"/>
    <w:rsid w:val="00ED7CCC"/>
    <w:rsid w:val="00EE00D8"/>
    <w:rsid w:val="00EE0C84"/>
    <w:rsid w:val="00EE2F62"/>
    <w:rsid w:val="00EE372E"/>
    <w:rsid w:val="00EE37F1"/>
    <w:rsid w:val="00EE4755"/>
    <w:rsid w:val="00EE530D"/>
    <w:rsid w:val="00EE5651"/>
    <w:rsid w:val="00EE6E2A"/>
    <w:rsid w:val="00EF3AD1"/>
    <w:rsid w:val="00F0204B"/>
    <w:rsid w:val="00F135A7"/>
    <w:rsid w:val="00F15D7C"/>
    <w:rsid w:val="00F21229"/>
    <w:rsid w:val="00F235CC"/>
    <w:rsid w:val="00F2410D"/>
    <w:rsid w:val="00F249DC"/>
    <w:rsid w:val="00F25DA1"/>
    <w:rsid w:val="00F25EA5"/>
    <w:rsid w:val="00F27BB7"/>
    <w:rsid w:val="00F31C60"/>
    <w:rsid w:val="00F34EAD"/>
    <w:rsid w:val="00F36AD8"/>
    <w:rsid w:val="00F4136B"/>
    <w:rsid w:val="00F42A6F"/>
    <w:rsid w:val="00F43C32"/>
    <w:rsid w:val="00F444F3"/>
    <w:rsid w:val="00F4489F"/>
    <w:rsid w:val="00F4497D"/>
    <w:rsid w:val="00F44D7B"/>
    <w:rsid w:val="00F478D1"/>
    <w:rsid w:val="00F51727"/>
    <w:rsid w:val="00F546AE"/>
    <w:rsid w:val="00F54DA3"/>
    <w:rsid w:val="00F5588E"/>
    <w:rsid w:val="00F64644"/>
    <w:rsid w:val="00F6667A"/>
    <w:rsid w:val="00F679A5"/>
    <w:rsid w:val="00F82935"/>
    <w:rsid w:val="00F82A7B"/>
    <w:rsid w:val="00F83712"/>
    <w:rsid w:val="00F83FB9"/>
    <w:rsid w:val="00F8455B"/>
    <w:rsid w:val="00F853E4"/>
    <w:rsid w:val="00F85946"/>
    <w:rsid w:val="00F91A5E"/>
    <w:rsid w:val="00F92C03"/>
    <w:rsid w:val="00F94297"/>
    <w:rsid w:val="00F952AE"/>
    <w:rsid w:val="00F97AEA"/>
    <w:rsid w:val="00FA21A8"/>
    <w:rsid w:val="00FA2608"/>
    <w:rsid w:val="00FA4550"/>
    <w:rsid w:val="00FA5430"/>
    <w:rsid w:val="00FB081F"/>
    <w:rsid w:val="00FB422C"/>
    <w:rsid w:val="00FB55DD"/>
    <w:rsid w:val="00FB7178"/>
    <w:rsid w:val="00FC31E8"/>
    <w:rsid w:val="00FC6611"/>
    <w:rsid w:val="00FD5BFB"/>
    <w:rsid w:val="00FE2857"/>
    <w:rsid w:val="00FE45A9"/>
    <w:rsid w:val="00FE5A5E"/>
    <w:rsid w:val="00FF4660"/>
    <w:rsid w:val="00FF53A1"/>
    <w:rsid w:val="00FF56D5"/>
    <w:rsid w:val="00FF776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ostalCode"/>
  <w:smartTagType w:namespaceuri="urn:schemas-microsoft-com:office:smarttags" w:name="place"/>
  <w:smartTagType w:namespaceuri="urn:schemas-microsoft-com:office:smarttags" w:name="State"/>
  <w:smartTagType w:namespaceuri="urn:schemas-microsoft-com:office:smarttags" w:name="City"/>
  <w:shapeDefaults>
    <o:shapedefaults v:ext="edit" spidmax="1275">
      <v:stroke endarrow="oval" weight="1pt"/>
      <o:colormenu v:ext="edit" fillcolor="none" strokecolor="none"/>
    </o:shapedefaults>
    <o:shapelayout v:ext="edit">
      <o:idmap v:ext="edit" data="1"/>
      <o:rules v:ext="edit">
        <o:r id="V:Rule2" type="connector" idref="#_x0000_s127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semiHidden="0" w:uiPriority="0" w:unhideWhenUsed="0" w:qFormat="1"/>
    <w:lsdException w:name="page number" w:uiPriority="0"/>
    <w:lsdException w:name="endnote reference" w:uiPriority="0"/>
    <w:lsdException w:name="endnote tex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locked="0" w:unhideWhenUsed="0"/>
    <w:lsdException w:name="No Spacing" w:locked="0" w:semiHidden="0" w:uiPriority="1" w:unhideWhenUsed="0"/>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003E48"/>
    <w:rPr>
      <w:sz w:val="24"/>
      <w:szCs w:val="24"/>
    </w:rPr>
  </w:style>
  <w:style w:type="paragraph" w:styleId="Heading1">
    <w:name w:val="heading 1"/>
    <w:basedOn w:val="Normal"/>
    <w:next w:val="Normal"/>
    <w:link w:val="Heading1Char"/>
    <w:uiPriority w:val="99"/>
    <w:qFormat/>
    <w:rsid w:val="00003E48"/>
    <w:pPr>
      <w:keepNext/>
      <w:keepLines/>
      <w:numPr>
        <w:numId w:val="2"/>
      </w:numPr>
      <w:spacing w:before="480"/>
      <w:outlineLvl w:val="0"/>
    </w:pPr>
    <w:rPr>
      <w:rFonts w:ascii="Cambria" w:hAnsi="Cambria"/>
      <w:b/>
      <w:bCs/>
      <w:color w:val="365F91"/>
      <w:sz w:val="28"/>
      <w:szCs w:val="28"/>
    </w:rPr>
  </w:style>
  <w:style w:type="paragraph" w:styleId="Heading2">
    <w:name w:val="heading 2"/>
    <w:basedOn w:val="Normal"/>
    <w:next w:val="Normal"/>
    <w:link w:val="Heading2Char"/>
    <w:uiPriority w:val="99"/>
    <w:qFormat/>
    <w:rsid w:val="00003E48"/>
    <w:pPr>
      <w:keepNext/>
      <w:keepLines/>
      <w:numPr>
        <w:ilvl w:val="1"/>
        <w:numId w:val="2"/>
      </w:numPr>
      <w:spacing w:before="200"/>
      <w:outlineLvl w:val="1"/>
    </w:pPr>
    <w:rPr>
      <w:rFonts w:ascii="Cambria" w:hAnsi="Cambria"/>
      <w:b/>
      <w:bCs/>
      <w:color w:val="4F81BD"/>
      <w:sz w:val="26"/>
      <w:szCs w:val="26"/>
    </w:rPr>
  </w:style>
  <w:style w:type="paragraph" w:styleId="Heading3">
    <w:name w:val="heading 3"/>
    <w:basedOn w:val="Normal"/>
    <w:next w:val="Normal"/>
    <w:link w:val="Heading3Char"/>
    <w:uiPriority w:val="99"/>
    <w:qFormat/>
    <w:rsid w:val="00003E48"/>
    <w:pPr>
      <w:keepNext/>
      <w:keepLines/>
      <w:numPr>
        <w:ilvl w:val="2"/>
        <w:numId w:val="2"/>
      </w:numPr>
      <w:spacing w:before="200"/>
      <w:outlineLvl w:val="2"/>
    </w:pPr>
    <w:rPr>
      <w:rFonts w:ascii="Cambria" w:hAnsi="Cambria"/>
      <w:b/>
      <w:bCs/>
      <w:color w:val="4F81BD"/>
    </w:rPr>
  </w:style>
  <w:style w:type="paragraph" w:styleId="Heading4">
    <w:name w:val="heading 4"/>
    <w:basedOn w:val="Normal"/>
    <w:next w:val="Normal"/>
    <w:link w:val="Heading4Char"/>
    <w:uiPriority w:val="99"/>
    <w:qFormat/>
    <w:rsid w:val="00003E48"/>
    <w:pPr>
      <w:keepNext/>
      <w:keepLines/>
      <w:numPr>
        <w:ilvl w:val="3"/>
        <w:numId w:val="2"/>
      </w:numPr>
      <w:spacing w:before="200"/>
      <w:outlineLvl w:val="3"/>
    </w:pPr>
    <w:rPr>
      <w:rFonts w:ascii="Cambria" w:hAnsi="Cambria"/>
      <w:b/>
      <w:bCs/>
      <w:i/>
      <w:iCs/>
      <w:color w:val="4F81BD"/>
    </w:rPr>
  </w:style>
  <w:style w:type="paragraph" w:styleId="Heading5">
    <w:name w:val="heading 5"/>
    <w:basedOn w:val="Normal"/>
    <w:next w:val="Normal"/>
    <w:link w:val="Heading5Char"/>
    <w:uiPriority w:val="99"/>
    <w:qFormat/>
    <w:rsid w:val="00003E48"/>
    <w:pPr>
      <w:keepNext/>
      <w:keepLines/>
      <w:numPr>
        <w:ilvl w:val="4"/>
        <w:numId w:val="2"/>
      </w:numPr>
      <w:spacing w:before="200"/>
      <w:outlineLvl w:val="4"/>
    </w:pPr>
    <w:rPr>
      <w:rFonts w:ascii="Cambria" w:hAnsi="Cambria"/>
      <w:color w:val="243F60"/>
    </w:rPr>
  </w:style>
  <w:style w:type="paragraph" w:styleId="Heading6">
    <w:name w:val="heading 6"/>
    <w:basedOn w:val="Normal"/>
    <w:next w:val="Normal"/>
    <w:link w:val="Heading6Char"/>
    <w:uiPriority w:val="99"/>
    <w:qFormat/>
    <w:rsid w:val="00003E48"/>
    <w:pPr>
      <w:keepNext/>
      <w:keepLines/>
      <w:numPr>
        <w:ilvl w:val="5"/>
        <w:numId w:val="2"/>
      </w:numPr>
      <w:spacing w:before="200"/>
      <w:outlineLvl w:val="5"/>
    </w:pPr>
    <w:rPr>
      <w:rFonts w:ascii="Cambria" w:hAnsi="Cambria"/>
      <w:i/>
      <w:iCs/>
      <w:color w:val="243F60"/>
    </w:rPr>
  </w:style>
  <w:style w:type="paragraph" w:styleId="Heading7">
    <w:name w:val="heading 7"/>
    <w:basedOn w:val="Normal"/>
    <w:next w:val="Normal"/>
    <w:link w:val="Heading7Char"/>
    <w:uiPriority w:val="99"/>
    <w:qFormat/>
    <w:rsid w:val="00003E48"/>
    <w:pPr>
      <w:keepNext/>
      <w:keepLines/>
      <w:numPr>
        <w:ilvl w:val="6"/>
        <w:numId w:val="2"/>
      </w:numPr>
      <w:spacing w:before="200"/>
      <w:outlineLvl w:val="6"/>
    </w:pPr>
    <w:rPr>
      <w:rFonts w:ascii="Cambria" w:hAnsi="Cambria"/>
      <w:i/>
      <w:iCs/>
      <w:color w:val="404040"/>
    </w:rPr>
  </w:style>
  <w:style w:type="paragraph" w:styleId="Heading8">
    <w:name w:val="heading 8"/>
    <w:basedOn w:val="Normal"/>
    <w:next w:val="Normal"/>
    <w:link w:val="Heading8Char"/>
    <w:uiPriority w:val="99"/>
    <w:qFormat/>
    <w:rsid w:val="00003E48"/>
    <w:pPr>
      <w:keepNext/>
      <w:keepLines/>
      <w:numPr>
        <w:ilvl w:val="7"/>
        <w:numId w:val="2"/>
      </w:numPr>
      <w:spacing w:before="200"/>
      <w:outlineLvl w:val="7"/>
    </w:pPr>
    <w:rPr>
      <w:rFonts w:ascii="Cambria" w:hAnsi="Cambria"/>
      <w:color w:val="404040"/>
      <w:sz w:val="20"/>
      <w:szCs w:val="20"/>
    </w:rPr>
  </w:style>
  <w:style w:type="paragraph" w:styleId="Heading9">
    <w:name w:val="heading 9"/>
    <w:basedOn w:val="Normal"/>
    <w:next w:val="Normal"/>
    <w:link w:val="Heading9Char"/>
    <w:uiPriority w:val="99"/>
    <w:qFormat/>
    <w:rsid w:val="00003E48"/>
    <w:pPr>
      <w:keepNext/>
      <w:keepLines/>
      <w:numPr>
        <w:ilvl w:val="8"/>
        <w:numId w:val="2"/>
      </w:numPr>
      <w:spacing w:before="200"/>
      <w:outlineLvl w:val="8"/>
    </w:pPr>
    <w:rPr>
      <w:rFonts w:ascii="Cambria" w:hAnsi="Cambria"/>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003E48"/>
    <w:rPr>
      <w:rFonts w:ascii="Cambria" w:hAnsi="Cambria"/>
      <w:b/>
      <w:bCs/>
      <w:color w:val="365F91"/>
      <w:sz w:val="28"/>
      <w:szCs w:val="28"/>
      <w:lang w:val="en-US" w:eastAsia="en-US" w:bidi="ar-SA"/>
    </w:rPr>
  </w:style>
  <w:style w:type="character" w:customStyle="1" w:styleId="Heading2Char">
    <w:name w:val="Heading 2 Char"/>
    <w:basedOn w:val="DefaultParagraphFont"/>
    <w:link w:val="Heading2"/>
    <w:uiPriority w:val="99"/>
    <w:locked/>
    <w:rsid w:val="00003E48"/>
    <w:rPr>
      <w:rFonts w:ascii="Cambria" w:hAnsi="Cambria"/>
      <w:b/>
      <w:bCs/>
      <w:color w:val="4F81BD"/>
      <w:sz w:val="26"/>
      <w:szCs w:val="26"/>
      <w:lang w:val="en-US" w:eastAsia="en-US" w:bidi="ar-SA"/>
    </w:rPr>
  </w:style>
  <w:style w:type="character" w:customStyle="1" w:styleId="Heading3Char">
    <w:name w:val="Heading 3 Char"/>
    <w:basedOn w:val="DefaultParagraphFont"/>
    <w:link w:val="Heading3"/>
    <w:uiPriority w:val="99"/>
    <w:locked/>
    <w:rsid w:val="00003E48"/>
    <w:rPr>
      <w:rFonts w:ascii="Cambria" w:hAnsi="Cambria"/>
      <w:b/>
      <w:bCs/>
      <w:color w:val="4F81BD"/>
      <w:sz w:val="24"/>
      <w:szCs w:val="24"/>
      <w:lang w:val="en-US" w:eastAsia="en-US" w:bidi="ar-SA"/>
    </w:rPr>
  </w:style>
  <w:style w:type="character" w:customStyle="1" w:styleId="Heading4Char">
    <w:name w:val="Heading 4 Char"/>
    <w:basedOn w:val="DefaultParagraphFont"/>
    <w:link w:val="Heading4"/>
    <w:uiPriority w:val="99"/>
    <w:locked/>
    <w:rsid w:val="00003E48"/>
    <w:rPr>
      <w:rFonts w:ascii="Cambria" w:hAnsi="Cambria"/>
      <w:b/>
      <w:bCs/>
      <w:i/>
      <w:iCs/>
      <w:color w:val="4F81BD"/>
      <w:sz w:val="24"/>
      <w:szCs w:val="24"/>
      <w:lang w:val="en-US" w:eastAsia="en-US" w:bidi="ar-SA"/>
    </w:rPr>
  </w:style>
  <w:style w:type="character" w:customStyle="1" w:styleId="Heading5Char">
    <w:name w:val="Heading 5 Char"/>
    <w:basedOn w:val="DefaultParagraphFont"/>
    <w:link w:val="Heading5"/>
    <w:uiPriority w:val="99"/>
    <w:locked/>
    <w:rsid w:val="00003E48"/>
    <w:rPr>
      <w:rFonts w:ascii="Cambria" w:hAnsi="Cambria"/>
      <w:color w:val="243F60"/>
      <w:sz w:val="24"/>
      <w:szCs w:val="24"/>
      <w:lang w:val="en-US" w:eastAsia="en-US" w:bidi="ar-SA"/>
    </w:rPr>
  </w:style>
  <w:style w:type="character" w:customStyle="1" w:styleId="Heading6Char">
    <w:name w:val="Heading 6 Char"/>
    <w:basedOn w:val="DefaultParagraphFont"/>
    <w:link w:val="Heading6"/>
    <w:uiPriority w:val="99"/>
    <w:locked/>
    <w:rsid w:val="00003E48"/>
    <w:rPr>
      <w:rFonts w:ascii="Cambria" w:hAnsi="Cambria"/>
      <w:i/>
      <w:iCs/>
      <w:color w:val="243F60"/>
      <w:sz w:val="24"/>
      <w:szCs w:val="24"/>
      <w:lang w:val="en-US" w:eastAsia="en-US" w:bidi="ar-SA"/>
    </w:rPr>
  </w:style>
  <w:style w:type="character" w:customStyle="1" w:styleId="Heading7Char">
    <w:name w:val="Heading 7 Char"/>
    <w:basedOn w:val="DefaultParagraphFont"/>
    <w:link w:val="Heading7"/>
    <w:uiPriority w:val="99"/>
    <w:locked/>
    <w:rsid w:val="00003E48"/>
    <w:rPr>
      <w:rFonts w:ascii="Cambria" w:hAnsi="Cambria"/>
      <w:i/>
      <w:iCs/>
      <w:color w:val="404040"/>
      <w:sz w:val="24"/>
      <w:szCs w:val="24"/>
      <w:lang w:val="en-US" w:eastAsia="en-US" w:bidi="ar-SA"/>
    </w:rPr>
  </w:style>
  <w:style w:type="character" w:customStyle="1" w:styleId="Heading8Char">
    <w:name w:val="Heading 8 Char"/>
    <w:basedOn w:val="DefaultParagraphFont"/>
    <w:link w:val="Heading8"/>
    <w:uiPriority w:val="99"/>
    <w:locked/>
    <w:rsid w:val="00003E48"/>
    <w:rPr>
      <w:rFonts w:ascii="Cambria" w:hAnsi="Cambria"/>
      <w:color w:val="404040"/>
      <w:lang w:val="en-US" w:eastAsia="en-US" w:bidi="ar-SA"/>
    </w:rPr>
  </w:style>
  <w:style w:type="character" w:customStyle="1" w:styleId="Heading9Char">
    <w:name w:val="Heading 9 Char"/>
    <w:basedOn w:val="DefaultParagraphFont"/>
    <w:link w:val="Heading9"/>
    <w:uiPriority w:val="99"/>
    <w:locked/>
    <w:rsid w:val="00003E48"/>
    <w:rPr>
      <w:rFonts w:ascii="Cambria" w:hAnsi="Cambria"/>
      <w:i/>
      <w:iCs/>
      <w:color w:val="404040"/>
      <w:lang w:val="en-US" w:eastAsia="en-US" w:bidi="ar-SA"/>
    </w:rPr>
  </w:style>
  <w:style w:type="paragraph" w:customStyle="1" w:styleId="TPName">
    <w:name w:val="TP Name"/>
    <w:basedOn w:val="Normal"/>
    <w:uiPriority w:val="99"/>
    <w:rsid w:val="00003E48"/>
    <w:pPr>
      <w:suppressAutoHyphens/>
      <w:spacing w:after="120"/>
    </w:pPr>
    <w:rPr>
      <w:rFonts w:ascii="Arial" w:hAnsi="Arial"/>
      <w:b/>
      <w:sz w:val="28"/>
      <w:szCs w:val="28"/>
    </w:rPr>
  </w:style>
  <w:style w:type="paragraph" w:styleId="BalloonText">
    <w:name w:val="Balloon Text"/>
    <w:basedOn w:val="Normal"/>
    <w:link w:val="BalloonTextChar"/>
    <w:uiPriority w:val="99"/>
    <w:rsid w:val="00003E48"/>
    <w:rPr>
      <w:rFonts w:ascii="Tahoma" w:hAnsi="Tahoma" w:cs="Tahoma"/>
      <w:sz w:val="16"/>
      <w:szCs w:val="16"/>
    </w:rPr>
  </w:style>
  <w:style w:type="character" w:customStyle="1" w:styleId="BalloonTextChar">
    <w:name w:val="Balloon Text Char"/>
    <w:basedOn w:val="DefaultParagraphFont"/>
    <w:link w:val="BalloonText"/>
    <w:uiPriority w:val="99"/>
    <w:locked/>
    <w:rsid w:val="00003E48"/>
    <w:rPr>
      <w:rFonts w:ascii="Tahoma" w:hAnsi="Tahoma" w:cs="Tahoma"/>
      <w:sz w:val="16"/>
      <w:szCs w:val="16"/>
    </w:rPr>
  </w:style>
  <w:style w:type="paragraph" w:customStyle="1" w:styleId="TPAddress">
    <w:name w:val="TP Address"/>
    <w:basedOn w:val="Normal"/>
    <w:uiPriority w:val="99"/>
    <w:rsid w:val="00003E48"/>
    <w:rPr>
      <w:rFonts w:ascii="Arial" w:hAnsi="Arial"/>
      <w:sz w:val="20"/>
    </w:rPr>
  </w:style>
  <w:style w:type="paragraph" w:styleId="ListParagraph">
    <w:name w:val="List Paragraph"/>
    <w:basedOn w:val="Normal"/>
    <w:uiPriority w:val="99"/>
    <w:qFormat/>
    <w:rsid w:val="00003E48"/>
    <w:pPr>
      <w:ind w:left="720"/>
      <w:contextualSpacing/>
    </w:pPr>
  </w:style>
  <w:style w:type="paragraph" w:styleId="BodyText">
    <w:name w:val="Body Text"/>
    <w:aliases w:val="SCA Body Text,SCA Body Text1,SCA Body Text2,SCA Body Text11,BodyText-JEA,BT-JEA"/>
    <w:basedOn w:val="Normal"/>
    <w:link w:val="BodyTextChar"/>
    <w:rsid w:val="00003E48"/>
    <w:pPr>
      <w:spacing w:after="120"/>
    </w:pPr>
  </w:style>
  <w:style w:type="character" w:customStyle="1" w:styleId="BodyTextChar">
    <w:name w:val="Body Text Char"/>
    <w:aliases w:val="SCA Body Text Char,SCA Body Text1 Char,SCA Body Text2 Char,SCA Body Text11 Char,BodyText-JEA Char,BT-JEA Char"/>
    <w:basedOn w:val="DefaultParagraphFont"/>
    <w:link w:val="BodyText"/>
    <w:uiPriority w:val="99"/>
    <w:locked/>
    <w:rsid w:val="00003E48"/>
    <w:rPr>
      <w:rFonts w:cs="Times New Roman"/>
      <w:sz w:val="24"/>
      <w:szCs w:val="24"/>
    </w:rPr>
  </w:style>
  <w:style w:type="paragraph" w:styleId="Header">
    <w:name w:val="header"/>
    <w:basedOn w:val="Normal"/>
    <w:link w:val="HeaderChar"/>
    <w:rsid w:val="00003E48"/>
    <w:pPr>
      <w:tabs>
        <w:tab w:val="center" w:pos="4680"/>
        <w:tab w:val="right" w:pos="9360"/>
      </w:tabs>
    </w:pPr>
  </w:style>
  <w:style w:type="character" w:customStyle="1" w:styleId="HeaderChar">
    <w:name w:val="Header Char"/>
    <w:basedOn w:val="DefaultParagraphFont"/>
    <w:link w:val="Header"/>
    <w:uiPriority w:val="99"/>
    <w:locked/>
    <w:rsid w:val="00003E48"/>
    <w:rPr>
      <w:rFonts w:cs="Times New Roman"/>
      <w:sz w:val="24"/>
      <w:szCs w:val="24"/>
    </w:rPr>
  </w:style>
  <w:style w:type="paragraph" w:styleId="Footer">
    <w:name w:val="footer"/>
    <w:basedOn w:val="Normal"/>
    <w:link w:val="FooterChar"/>
    <w:rsid w:val="00003E48"/>
    <w:pPr>
      <w:tabs>
        <w:tab w:val="center" w:pos="4680"/>
        <w:tab w:val="right" w:pos="9360"/>
      </w:tabs>
    </w:pPr>
  </w:style>
  <w:style w:type="character" w:customStyle="1" w:styleId="FooterChar">
    <w:name w:val="Footer Char"/>
    <w:basedOn w:val="DefaultParagraphFont"/>
    <w:link w:val="Footer"/>
    <w:locked/>
    <w:rsid w:val="00003E48"/>
    <w:rPr>
      <w:rFonts w:cs="Times New Roman"/>
      <w:sz w:val="24"/>
      <w:szCs w:val="24"/>
    </w:rPr>
  </w:style>
  <w:style w:type="paragraph" w:styleId="Caption">
    <w:name w:val="caption"/>
    <w:basedOn w:val="Normal"/>
    <w:next w:val="Normal"/>
    <w:qFormat/>
    <w:rsid w:val="00003E48"/>
    <w:pPr>
      <w:spacing w:after="200"/>
    </w:pPr>
    <w:rPr>
      <w:b/>
      <w:bCs/>
      <w:color w:val="4F81BD"/>
      <w:sz w:val="18"/>
      <w:szCs w:val="18"/>
    </w:rPr>
  </w:style>
  <w:style w:type="table" w:styleId="TableGrid">
    <w:name w:val="Table Grid"/>
    <w:basedOn w:val="TableNormal"/>
    <w:uiPriority w:val="99"/>
    <w:rsid w:val="00003E4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DocumentMap">
    <w:name w:val="Document Map"/>
    <w:basedOn w:val="Normal"/>
    <w:link w:val="DocumentMapChar"/>
    <w:uiPriority w:val="99"/>
    <w:rsid w:val="00003E48"/>
    <w:rPr>
      <w:rFonts w:ascii="Tahoma" w:hAnsi="Tahoma" w:cs="Tahoma"/>
      <w:sz w:val="16"/>
      <w:szCs w:val="16"/>
    </w:rPr>
  </w:style>
  <w:style w:type="character" w:customStyle="1" w:styleId="DocumentMapChar">
    <w:name w:val="Document Map Char"/>
    <w:basedOn w:val="DefaultParagraphFont"/>
    <w:link w:val="DocumentMap"/>
    <w:uiPriority w:val="99"/>
    <w:locked/>
    <w:rsid w:val="00003E48"/>
    <w:rPr>
      <w:rFonts w:ascii="Tahoma" w:hAnsi="Tahoma" w:cs="Tahoma"/>
      <w:sz w:val="16"/>
      <w:szCs w:val="16"/>
    </w:rPr>
  </w:style>
  <w:style w:type="paragraph" w:customStyle="1" w:styleId="Default">
    <w:name w:val="Default"/>
    <w:rsid w:val="00003E48"/>
    <w:pPr>
      <w:autoSpaceDE w:val="0"/>
      <w:autoSpaceDN w:val="0"/>
      <w:adjustRightInd w:val="0"/>
    </w:pPr>
    <w:rPr>
      <w:color w:val="000000"/>
      <w:sz w:val="24"/>
      <w:szCs w:val="24"/>
    </w:rPr>
  </w:style>
  <w:style w:type="character" w:styleId="CommentReference">
    <w:name w:val="annotation reference"/>
    <w:basedOn w:val="DefaultParagraphFont"/>
    <w:uiPriority w:val="99"/>
    <w:rsid w:val="00003E48"/>
    <w:rPr>
      <w:rFonts w:cs="Times New Roman"/>
      <w:sz w:val="16"/>
      <w:szCs w:val="16"/>
    </w:rPr>
  </w:style>
  <w:style w:type="paragraph" w:styleId="CommentText">
    <w:name w:val="annotation text"/>
    <w:basedOn w:val="Normal"/>
    <w:link w:val="CommentTextChar"/>
    <w:uiPriority w:val="99"/>
    <w:rsid w:val="00003E48"/>
    <w:rPr>
      <w:sz w:val="20"/>
      <w:szCs w:val="20"/>
    </w:rPr>
  </w:style>
  <w:style w:type="character" w:customStyle="1" w:styleId="CommentTextChar">
    <w:name w:val="Comment Text Char"/>
    <w:basedOn w:val="DefaultParagraphFont"/>
    <w:link w:val="CommentText"/>
    <w:uiPriority w:val="99"/>
    <w:locked/>
    <w:rsid w:val="00003E48"/>
    <w:rPr>
      <w:rFonts w:cs="Times New Roman"/>
    </w:rPr>
  </w:style>
  <w:style w:type="paragraph" w:styleId="CommentSubject">
    <w:name w:val="annotation subject"/>
    <w:basedOn w:val="CommentText"/>
    <w:next w:val="CommentText"/>
    <w:link w:val="CommentSubjectChar"/>
    <w:uiPriority w:val="99"/>
    <w:rsid w:val="00003E48"/>
    <w:rPr>
      <w:b/>
      <w:bCs/>
    </w:rPr>
  </w:style>
  <w:style w:type="character" w:customStyle="1" w:styleId="CommentSubjectChar">
    <w:name w:val="Comment Subject Char"/>
    <w:basedOn w:val="CommentTextChar"/>
    <w:link w:val="CommentSubject"/>
    <w:uiPriority w:val="99"/>
    <w:locked/>
    <w:rsid w:val="00003E48"/>
    <w:rPr>
      <w:b/>
      <w:bCs/>
    </w:rPr>
  </w:style>
  <w:style w:type="character" w:customStyle="1" w:styleId="CharChar12">
    <w:name w:val="Char Char12"/>
    <w:basedOn w:val="DefaultParagraphFont"/>
    <w:uiPriority w:val="99"/>
    <w:rsid w:val="00534665"/>
    <w:rPr>
      <w:rFonts w:cs="Times New Roman"/>
    </w:rPr>
  </w:style>
  <w:style w:type="character" w:styleId="PageNumber">
    <w:name w:val="page number"/>
    <w:basedOn w:val="DefaultParagraphFont"/>
    <w:locked/>
    <w:rsid w:val="0058369F"/>
    <w:rPr>
      <w:rFonts w:cs="Times New Roman"/>
    </w:rPr>
  </w:style>
  <w:style w:type="character" w:customStyle="1" w:styleId="CharChar11">
    <w:name w:val="Char Char11"/>
    <w:basedOn w:val="DefaultParagraphFont"/>
    <w:uiPriority w:val="99"/>
    <w:rsid w:val="0058369F"/>
    <w:rPr>
      <w:rFonts w:cs="Times New Roman"/>
    </w:rPr>
  </w:style>
  <w:style w:type="numbering" w:styleId="111111">
    <w:name w:val="Outline List 2"/>
    <w:basedOn w:val="NoList"/>
    <w:uiPriority w:val="99"/>
    <w:semiHidden/>
    <w:unhideWhenUsed/>
    <w:locked/>
    <w:rsid w:val="005E463E"/>
    <w:pPr>
      <w:numPr>
        <w:numId w:val="1"/>
      </w:numPr>
    </w:pPr>
  </w:style>
  <w:style w:type="numbering" w:styleId="ArticleSection">
    <w:name w:val="Outline List 3"/>
    <w:basedOn w:val="NoList"/>
    <w:uiPriority w:val="99"/>
    <w:semiHidden/>
    <w:unhideWhenUsed/>
    <w:locked/>
    <w:rsid w:val="005E463E"/>
    <w:pPr>
      <w:numPr>
        <w:numId w:val="2"/>
      </w:numPr>
    </w:pPr>
  </w:style>
  <w:style w:type="paragraph" w:styleId="BodyTextIndent">
    <w:name w:val="Body Text Indent"/>
    <w:basedOn w:val="Normal"/>
    <w:link w:val="BodyTextIndentChar"/>
    <w:uiPriority w:val="99"/>
    <w:unhideWhenUsed/>
    <w:locked/>
    <w:rsid w:val="0029081C"/>
    <w:pPr>
      <w:spacing w:after="120"/>
      <w:ind w:left="360"/>
    </w:pPr>
  </w:style>
  <w:style w:type="character" w:customStyle="1" w:styleId="BodyTextIndentChar">
    <w:name w:val="Body Text Indent Char"/>
    <w:basedOn w:val="DefaultParagraphFont"/>
    <w:link w:val="BodyTextIndent"/>
    <w:uiPriority w:val="99"/>
    <w:rsid w:val="0029081C"/>
    <w:rPr>
      <w:sz w:val="24"/>
      <w:szCs w:val="24"/>
    </w:rPr>
  </w:style>
  <w:style w:type="paragraph" w:styleId="BodyTextIndent3">
    <w:name w:val="Body Text Indent 3"/>
    <w:basedOn w:val="Normal"/>
    <w:link w:val="BodyTextIndent3Char"/>
    <w:uiPriority w:val="99"/>
    <w:semiHidden/>
    <w:unhideWhenUsed/>
    <w:locked/>
    <w:rsid w:val="0029081C"/>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29081C"/>
    <w:rPr>
      <w:sz w:val="16"/>
      <w:szCs w:val="16"/>
    </w:rPr>
  </w:style>
  <w:style w:type="paragraph" w:styleId="BodyText2">
    <w:name w:val="Body Text 2"/>
    <w:basedOn w:val="Normal"/>
    <w:link w:val="BodyText2Char"/>
    <w:uiPriority w:val="99"/>
    <w:unhideWhenUsed/>
    <w:locked/>
    <w:rsid w:val="00751415"/>
    <w:pPr>
      <w:spacing w:after="120" w:line="480" w:lineRule="auto"/>
    </w:pPr>
  </w:style>
  <w:style w:type="character" w:customStyle="1" w:styleId="BodyText2Char">
    <w:name w:val="Body Text 2 Char"/>
    <w:basedOn w:val="DefaultParagraphFont"/>
    <w:link w:val="BodyText2"/>
    <w:uiPriority w:val="99"/>
    <w:rsid w:val="00751415"/>
    <w:rPr>
      <w:sz w:val="24"/>
      <w:szCs w:val="24"/>
    </w:rPr>
  </w:style>
  <w:style w:type="character" w:styleId="Hyperlink">
    <w:name w:val="Hyperlink"/>
    <w:basedOn w:val="DefaultParagraphFont"/>
    <w:uiPriority w:val="99"/>
    <w:locked/>
    <w:rsid w:val="0088162E"/>
    <w:rPr>
      <w:color w:val="0000FF"/>
      <w:u w:val="single"/>
    </w:rPr>
  </w:style>
  <w:style w:type="paragraph" w:styleId="NormalWeb">
    <w:name w:val="Normal (Web)"/>
    <w:basedOn w:val="Normal"/>
    <w:locked/>
    <w:rsid w:val="001269E6"/>
    <w:pPr>
      <w:spacing w:before="100" w:beforeAutospacing="1" w:after="100" w:afterAutospacing="1"/>
    </w:pPr>
    <w:rPr>
      <w:rFonts w:eastAsia="MS Mincho"/>
      <w:color w:val="000000"/>
      <w:lang w:eastAsia="ja-JP"/>
    </w:rPr>
  </w:style>
  <w:style w:type="paragraph" w:styleId="BodyText3">
    <w:name w:val="Body Text 3"/>
    <w:basedOn w:val="Normal"/>
    <w:link w:val="BodyText3Char"/>
    <w:uiPriority w:val="99"/>
    <w:semiHidden/>
    <w:unhideWhenUsed/>
    <w:locked/>
    <w:rsid w:val="00BA39D1"/>
    <w:pPr>
      <w:spacing w:after="120"/>
    </w:pPr>
    <w:rPr>
      <w:sz w:val="16"/>
      <w:szCs w:val="16"/>
    </w:rPr>
  </w:style>
  <w:style w:type="character" w:customStyle="1" w:styleId="BodyText3Char">
    <w:name w:val="Body Text 3 Char"/>
    <w:basedOn w:val="DefaultParagraphFont"/>
    <w:link w:val="BodyText3"/>
    <w:uiPriority w:val="99"/>
    <w:semiHidden/>
    <w:rsid w:val="00BA39D1"/>
    <w:rPr>
      <w:sz w:val="16"/>
      <w:szCs w:val="16"/>
    </w:rPr>
  </w:style>
  <w:style w:type="paragraph" w:customStyle="1" w:styleId="font6">
    <w:name w:val="font6"/>
    <w:basedOn w:val="Normal"/>
    <w:rsid w:val="00222AA4"/>
    <w:pPr>
      <w:spacing w:before="100" w:beforeAutospacing="1" w:after="100" w:afterAutospacing="1"/>
    </w:pPr>
    <w:rPr>
      <w:rFonts w:eastAsia="Arial Unicode MS"/>
      <w:sz w:val="22"/>
      <w:szCs w:val="22"/>
    </w:rPr>
  </w:style>
  <w:style w:type="table" w:styleId="TableGrid1">
    <w:name w:val="Table Grid 1"/>
    <w:basedOn w:val="TableNormal"/>
    <w:locked/>
    <w:rsid w:val="000040C1"/>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styleId="FollowedHyperlink">
    <w:name w:val="FollowedHyperlink"/>
    <w:basedOn w:val="DefaultParagraphFont"/>
    <w:locked/>
    <w:rsid w:val="009B3840"/>
    <w:rPr>
      <w:color w:val="800080"/>
      <w:u w:val="single"/>
    </w:rPr>
  </w:style>
  <w:style w:type="paragraph" w:styleId="FootnoteText">
    <w:name w:val="footnote text"/>
    <w:basedOn w:val="Normal"/>
    <w:semiHidden/>
    <w:locked/>
    <w:rsid w:val="008F3B28"/>
    <w:rPr>
      <w:sz w:val="20"/>
      <w:szCs w:val="20"/>
    </w:rPr>
  </w:style>
  <w:style w:type="character" w:styleId="FootnoteReference">
    <w:name w:val="footnote reference"/>
    <w:basedOn w:val="DefaultParagraphFont"/>
    <w:semiHidden/>
    <w:locked/>
    <w:rsid w:val="008F3B28"/>
    <w:rPr>
      <w:vertAlign w:val="superscript"/>
    </w:rPr>
  </w:style>
  <w:style w:type="paragraph" w:styleId="EndnoteText">
    <w:name w:val="endnote text"/>
    <w:basedOn w:val="Normal"/>
    <w:link w:val="EndnoteTextChar"/>
    <w:semiHidden/>
    <w:locked/>
    <w:rsid w:val="0094338D"/>
    <w:rPr>
      <w:b/>
      <w:color w:val="000000"/>
      <w:sz w:val="20"/>
      <w:szCs w:val="20"/>
    </w:rPr>
  </w:style>
  <w:style w:type="character" w:customStyle="1" w:styleId="EndnoteTextChar">
    <w:name w:val="Endnote Text Char"/>
    <w:basedOn w:val="DefaultParagraphFont"/>
    <w:link w:val="EndnoteText"/>
    <w:semiHidden/>
    <w:rsid w:val="0094338D"/>
    <w:rPr>
      <w:b/>
      <w:color w:val="000000"/>
    </w:rPr>
  </w:style>
  <w:style w:type="character" w:styleId="EndnoteReference">
    <w:name w:val="endnote reference"/>
    <w:basedOn w:val="DefaultParagraphFont"/>
    <w:semiHidden/>
    <w:locked/>
    <w:rsid w:val="0094338D"/>
    <w:rPr>
      <w:vertAlign w:val="superscript"/>
    </w:rPr>
  </w:style>
</w:styles>
</file>

<file path=word/webSettings.xml><?xml version="1.0" encoding="utf-8"?>
<w:webSettings xmlns:r="http://schemas.openxmlformats.org/officeDocument/2006/relationships" xmlns:w="http://schemas.openxmlformats.org/wordprocessingml/2006/main">
  <w:divs>
    <w:div w:id="166095941">
      <w:bodyDiv w:val="1"/>
      <w:marLeft w:val="0"/>
      <w:marRight w:val="5"/>
      <w:marTop w:val="0"/>
      <w:marBottom w:val="400"/>
      <w:divBdr>
        <w:top w:val="none" w:sz="0" w:space="0" w:color="auto"/>
        <w:left w:val="none" w:sz="0" w:space="0" w:color="auto"/>
        <w:bottom w:val="none" w:sz="0" w:space="0" w:color="auto"/>
        <w:right w:val="none" w:sz="0" w:space="0" w:color="auto"/>
      </w:divBdr>
      <w:divsChild>
        <w:div w:id="1388183676">
          <w:marLeft w:val="0"/>
          <w:marRight w:val="0"/>
          <w:marTop w:val="0"/>
          <w:marBottom w:val="0"/>
          <w:divBdr>
            <w:top w:val="single" w:sz="4" w:space="0" w:color="C0C0C0"/>
            <w:left w:val="single" w:sz="4" w:space="0" w:color="C0C0C0"/>
            <w:bottom w:val="single" w:sz="4" w:space="0" w:color="C0C0C0"/>
            <w:right w:val="single" w:sz="4" w:space="0" w:color="C0C0C0"/>
          </w:divBdr>
        </w:div>
      </w:divsChild>
    </w:div>
    <w:div w:id="383870274">
      <w:bodyDiv w:val="1"/>
      <w:marLeft w:val="0"/>
      <w:marRight w:val="5"/>
      <w:marTop w:val="0"/>
      <w:marBottom w:val="400"/>
      <w:divBdr>
        <w:top w:val="none" w:sz="0" w:space="0" w:color="auto"/>
        <w:left w:val="none" w:sz="0" w:space="0" w:color="auto"/>
        <w:bottom w:val="none" w:sz="0" w:space="0" w:color="auto"/>
        <w:right w:val="none" w:sz="0" w:space="0" w:color="auto"/>
      </w:divBdr>
      <w:divsChild>
        <w:div w:id="1352300693">
          <w:marLeft w:val="0"/>
          <w:marRight w:val="0"/>
          <w:marTop w:val="0"/>
          <w:marBottom w:val="0"/>
          <w:divBdr>
            <w:top w:val="single" w:sz="4" w:space="0" w:color="C0C0C0"/>
            <w:left w:val="single" w:sz="4" w:space="0" w:color="C0C0C0"/>
            <w:bottom w:val="single" w:sz="4" w:space="0" w:color="C0C0C0"/>
            <w:right w:val="single" w:sz="4" w:space="0" w:color="C0C0C0"/>
          </w:divBdr>
        </w:div>
      </w:divsChild>
    </w:div>
    <w:div w:id="1205676088">
      <w:bodyDiv w:val="1"/>
      <w:marLeft w:val="0"/>
      <w:marRight w:val="0"/>
      <w:marTop w:val="0"/>
      <w:marBottom w:val="0"/>
      <w:divBdr>
        <w:top w:val="none" w:sz="0" w:space="0" w:color="auto"/>
        <w:left w:val="none" w:sz="0" w:space="0" w:color="auto"/>
        <w:bottom w:val="none" w:sz="0" w:space="0" w:color="auto"/>
        <w:right w:val="none" w:sz="0" w:space="0" w:color="auto"/>
      </w:divBdr>
    </w:div>
    <w:div w:id="1988699611">
      <w:marLeft w:val="0"/>
      <w:marRight w:val="0"/>
      <w:marTop w:val="0"/>
      <w:marBottom w:val="0"/>
      <w:divBdr>
        <w:top w:val="none" w:sz="0" w:space="0" w:color="auto"/>
        <w:left w:val="none" w:sz="0" w:space="0" w:color="auto"/>
        <w:bottom w:val="none" w:sz="0" w:space="0" w:color="auto"/>
        <w:right w:val="none" w:sz="0" w:space="0" w:color="auto"/>
      </w:divBdr>
    </w:div>
    <w:div w:id="1988699612">
      <w:marLeft w:val="0"/>
      <w:marRight w:val="0"/>
      <w:marTop w:val="0"/>
      <w:marBottom w:val="0"/>
      <w:divBdr>
        <w:top w:val="none" w:sz="0" w:space="0" w:color="auto"/>
        <w:left w:val="none" w:sz="0" w:space="0" w:color="auto"/>
        <w:bottom w:val="none" w:sz="0" w:space="0" w:color="auto"/>
        <w:right w:val="none" w:sz="0" w:space="0" w:color="auto"/>
      </w:divBdr>
    </w:div>
    <w:div w:id="1988699613">
      <w:marLeft w:val="0"/>
      <w:marRight w:val="0"/>
      <w:marTop w:val="0"/>
      <w:marBottom w:val="0"/>
      <w:divBdr>
        <w:top w:val="none" w:sz="0" w:space="0" w:color="auto"/>
        <w:left w:val="none" w:sz="0" w:space="0" w:color="auto"/>
        <w:bottom w:val="none" w:sz="0" w:space="0" w:color="auto"/>
        <w:right w:val="none" w:sz="0" w:space="0" w:color="auto"/>
      </w:divBdr>
    </w:div>
    <w:div w:id="1988699614">
      <w:marLeft w:val="0"/>
      <w:marRight w:val="0"/>
      <w:marTop w:val="0"/>
      <w:marBottom w:val="0"/>
      <w:divBdr>
        <w:top w:val="none" w:sz="0" w:space="0" w:color="auto"/>
        <w:left w:val="none" w:sz="0" w:space="0" w:color="auto"/>
        <w:bottom w:val="none" w:sz="0" w:space="0" w:color="auto"/>
        <w:right w:val="none" w:sz="0" w:space="0" w:color="auto"/>
      </w:divBdr>
    </w:div>
    <w:div w:id="1988699615">
      <w:marLeft w:val="0"/>
      <w:marRight w:val="0"/>
      <w:marTop w:val="0"/>
      <w:marBottom w:val="0"/>
      <w:divBdr>
        <w:top w:val="none" w:sz="0" w:space="0" w:color="auto"/>
        <w:left w:val="none" w:sz="0" w:space="0" w:color="auto"/>
        <w:bottom w:val="none" w:sz="0" w:space="0" w:color="auto"/>
        <w:right w:val="none" w:sz="0" w:space="0" w:color="auto"/>
      </w:divBdr>
    </w:div>
    <w:div w:id="1988699616">
      <w:marLeft w:val="0"/>
      <w:marRight w:val="0"/>
      <w:marTop w:val="0"/>
      <w:marBottom w:val="0"/>
      <w:divBdr>
        <w:top w:val="none" w:sz="0" w:space="0" w:color="auto"/>
        <w:left w:val="none" w:sz="0" w:space="0" w:color="auto"/>
        <w:bottom w:val="none" w:sz="0" w:space="0" w:color="auto"/>
        <w:right w:val="none" w:sz="0" w:space="0" w:color="auto"/>
      </w:divBdr>
    </w:div>
    <w:div w:id="1988699617">
      <w:marLeft w:val="0"/>
      <w:marRight w:val="0"/>
      <w:marTop w:val="0"/>
      <w:marBottom w:val="0"/>
      <w:divBdr>
        <w:top w:val="none" w:sz="0" w:space="0" w:color="auto"/>
        <w:left w:val="none" w:sz="0" w:space="0" w:color="auto"/>
        <w:bottom w:val="none" w:sz="0" w:space="0" w:color="auto"/>
        <w:right w:val="none" w:sz="0" w:space="0" w:color="auto"/>
      </w:divBdr>
    </w:div>
    <w:div w:id="1988699618">
      <w:marLeft w:val="0"/>
      <w:marRight w:val="0"/>
      <w:marTop w:val="0"/>
      <w:marBottom w:val="0"/>
      <w:divBdr>
        <w:top w:val="none" w:sz="0" w:space="0" w:color="auto"/>
        <w:left w:val="none" w:sz="0" w:space="0" w:color="auto"/>
        <w:bottom w:val="none" w:sz="0" w:space="0" w:color="auto"/>
        <w:right w:val="none" w:sz="0" w:space="0" w:color="auto"/>
      </w:divBdr>
    </w:div>
    <w:div w:id="1988699619">
      <w:marLeft w:val="0"/>
      <w:marRight w:val="0"/>
      <w:marTop w:val="0"/>
      <w:marBottom w:val="0"/>
      <w:divBdr>
        <w:top w:val="none" w:sz="0" w:space="0" w:color="auto"/>
        <w:left w:val="none" w:sz="0" w:space="0" w:color="auto"/>
        <w:bottom w:val="none" w:sz="0" w:space="0" w:color="auto"/>
        <w:right w:val="none" w:sz="0" w:space="0" w:color="auto"/>
      </w:divBdr>
    </w:div>
    <w:div w:id="1988699620">
      <w:marLeft w:val="0"/>
      <w:marRight w:val="0"/>
      <w:marTop w:val="0"/>
      <w:marBottom w:val="0"/>
      <w:divBdr>
        <w:top w:val="none" w:sz="0" w:space="0" w:color="auto"/>
        <w:left w:val="none" w:sz="0" w:space="0" w:color="auto"/>
        <w:bottom w:val="none" w:sz="0" w:space="0" w:color="auto"/>
        <w:right w:val="none" w:sz="0" w:space="0" w:color="auto"/>
      </w:divBdr>
    </w:div>
    <w:div w:id="1988699621">
      <w:marLeft w:val="0"/>
      <w:marRight w:val="0"/>
      <w:marTop w:val="0"/>
      <w:marBottom w:val="0"/>
      <w:divBdr>
        <w:top w:val="none" w:sz="0" w:space="0" w:color="auto"/>
        <w:left w:val="none" w:sz="0" w:space="0" w:color="auto"/>
        <w:bottom w:val="none" w:sz="0" w:space="0" w:color="auto"/>
        <w:right w:val="none" w:sz="0" w:space="0" w:color="auto"/>
      </w:divBdr>
    </w:div>
    <w:div w:id="1988699622">
      <w:marLeft w:val="0"/>
      <w:marRight w:val="0"/>
      <w:marTop w:val="0"/>
      <w:marBottom w:val="0"/>
      <w:divBdr>
        <w:top w:val="none" w:sz="0" w:space="0" w:color="auto"/>
        <w:left w:val="none" w:sz="0" w:space="0" w:color="auto"/>
        <w:bottom w:val="none" w:sz="0" w:space="0" w:color="auto"/>
        <w:right w:val="none" w:sz="0" w:space="0" w:color="auto"/>
      </w:divBdr>
    </w:div>
    <w:div w:id="1988699623">
      <w:marLeft w:val="0"/>
      <w:marRight w:val="0"/>
      <w:marTop w:val="0"/>
      <w:marBottom w:val="0"/>
      <w:divBdr>
        <w:top w:val="none" w:sz="0" w:space="0" w:color="auto"/>
        <w:left w:val="none" w:sz="0" w:space="0" w:color="auto"/>
        <w:bottom w:val="none" w:sz="0" w:space="0" w:color="auto"/>
        <w:right w:val="none" w:sz="0" w:space="0" w:color="auto"/>
      </w:divBdr>
    </w:div>
    <w:div w:id="1988699624">
      <w:marLeft w:val="0"/>
      <w:marRight w:val="0"/>
      <w:marTop w:val="0"/>
      <w:marBottom w:val="0"/>
      <w:divBdr>
        <w:top w:val="none" w:sz="0" w:space="0" w:color="auto"/>
        <w:left w:val="none" w:sz="0" w:space="0" w:color="auto"/>
        <w:bottom w:val="none" w:sz="0" w:space="0" w:color="auto"/>
        <w:right w:val="none" w:sz="0" w:space="0" w:color="auto"/>
      </w:divBdr>
    </w:div>
    <w:div w:id="1988699625">
      <w:marLeft w:val="0"/>
      <w:marRight w:val="0"/>
      <w:marTop w:val="0"/>
      <w:marBottom w:val="0"/>
      <w:divBdr>
        <w:top w:val="none" w:sz="0" w:space="0" w:color="auto"/>
        <w:left w:val="none" w:sz="0" w:space="0" w:color="auto"/>
        <w:bottom w:val="none" w:sz="0" w:space="0" w:color="auto"/>
        <w:right w:val="none" w:sz="0" w:space="0" w:color="auto"/>
      </w:divBdr>
    </w:div>
    <w:div w:id="1988699626">
      <w:marLeft w:val="0"/>
      <w:marRight w:val="0"/>
      <w:marTop w:val="0"/>
      <w:marBottom w:val="0"/>
      <w:divBdr>
        <w:top w:val="none" w:sz="0" w:space="0" w:color="auto"/>
        <w:left w:val="none" w:sz="0" w:space="0" w:color="auto"/>
        <w:bottom w:val="none" w:sz="0" w:space="0" w:color="auto"/>
        <w:right w:val="none" w:sz="0" w:space="0" w:color="auto"/>
      </w:divBdr>
    </w:div>
    <w:div w:id="1988699627">
      <w:marLeft w:val="0"/>
      <w:marRight w:val="0"/>
      <w:marTop w:val="0"/>
      <w:marBottom w:val="0"/>
      <w:divBdr>
        <w:top w:val="none" w:sz="0" w:space="0" w:color="auto"/>
        <w:left w:val="none" w:sz="0" w:space="0" w:color="auto"/>
        <w:bottom w:val="none" w:sz="0" w:space="0" w:color="auto"/>
        <w:right w:val="none" w:sz="0" w:space="0" w:color="auto"/>
      </w:divBdr>
    </w:div>
    <w:div w:id="1988699628">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hyperlink" Target="http://www.dep.state.fl.us/air/rules/fac/62-204.pdf"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www.dep.state.fl.us/air/rules/fac/62-213.pdf"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www.dep.state.fl.us/siting/files/rules_statutes/pps_rule.pdf" TargetMode="External"/><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dep.state.fl.us/air/rules/fac/62-4.pdf" TargetMode="External"/><Relationship Id="rId20" Type="http://schemas.openxmlformats.org/officeDocument/2006/relationships/hyperlink" Target="http://www.dep.state.fl.us/air/rules/fac/62-212.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www.dep.state.fl.us/air/rules/fac/62-297.pdf" TargetMode="External"/><Relationship Id="rId10" Type="http://schemas.openxmlformats.org/officeDocument/2006/relationships/image" Target="media/image3.jpeg"/><Relationship Id="rId19" Type="http://schemas.openxmlformats.org/officeDocument/2006/relationships/hyperlink" Target="http://www.dep.state.fl.us/air/rules/fac/62-210.pdf"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www.dep.state.fl.us/air/rules/fac/62-296.pdf" TargetMode="Externa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705D6D-E160-40B6-AA14-068455F2F9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4372</Words>
  <Characters>24921</Characters>
  <Application>Microsoft Office Word</Application>
  <DocSecurity>0</DocSecurity>
  <Lines>207</Lines>
  <Paragraphs>58</Paragraphs>
  <ScaleCrop>false</ScaleCrop>
  <HeadingPairs>
    <vt:vector size="2" baseType="variant">
      <vt:variant>
        <vt:lpstr>Title</vt:lpstr>
      </vt:variant>
      <vt:variant>
        <vt:i4>1</vt:i4>
      </vt:variant>
    </vt:vector>
  </HeadingPairs>
  <TitlesOfParts>
    <vt:vector size="1" baseType="lpstr">
      <vt:lpstr>Draft Permit</vt:lpstr>
    </vt:vector>
  </TitlesOfParts>
  <LinksUpToDate>false</LinksUpToDate>
  <CharactersWithSpaces>29235</CharactersWithSpaces>
  <SharedDoc>false</SharedDoc>
  <HLinks>
    <vt:vector size="60" baseType="variant">
      <vt:variant>
        <vt:i4>4063331</vt:i4>
      </vt:variant>
      <vt:variant>
        <vt:i4>66</vt:i4>
      </vt:variant>
      <vt:variant>
        <vt:i4>0</vt:i4>
      </vt:variant>
      <vt:variant>
        <vt:i4>5</vt:i4>
      </vt:variant>
      <vt:variant>
        <vt:lpwstr>http://www.psc.state.fl.us/library/filings/09/10821-09/10821-09.pdf</vt:lpwstr>
      </vt:variant>
      <vt:variant>
        <vt:lpwstr/>
      </vt:variant>
      <vt:variant>
        <vt:i4>6291570</vt:i4>
      </vt:variant>
      <vt:variant>
        <vt:i4>21</vt:i4>
      </vt:variant>
      <vt:variant>
        <vt:i4>0</vt:i4>
      </vt:variant>
      <vt:variant>
        <vt:i4>5</vt:i4>
      </vt:variant>
      <vt:variant>
        <vt:lpwstr>http://www.dep.state.fl.us/air/rules/fac/62-296.pdf</vt:lpwstr>
      </vt:variant>
      <vt:variant>
        <vt:lpwstr/>
      </vt:variant>
      <vt:variant>
        <vt:i4>6815856</vt:i4>
      </vt:variant>
      <vt:variant>
        <vt:i4>18</vt:i4>
      </vt:variant>
      <vt:variant>
        <vt:i4>0</vt:i4>
      </vt:variant>
      <vt:variant>
        <vt:i4>5</vt:i4>
      </vt:variant>
      <vt:variant>
        <vt:lpwstr>http://www.dep.state.fl.us/air/rules/fac/62-214.pdf</vt:lpwstr>
      </vt:variant>
      <vt:variant>
        <vt:lpwstr/>
      </vt:variant>
      <vt:variant>
        <vt:i4>6815863</vt:i4>
      </vt:variant>
      <vt:variant>
        <vt:i4>15</vt:i4>
      </vt:variant>
      <vt:variant>
        <vt:i4>0</vt:i4>
      </vt:variant>
      <vt:variant>
        <vt:i4>5</vt:i4>
      </vt:variant>
      <vt:variant>
        <vt:lpwstr>http://www.dep.state.fl.us/air/rules/fac/62-213.pdf</vt:lpwstr>
      </vt:variant>
      <vt:variant>
        <vt:lpwstr/>
      </vt:variant>
      <vt:variant>
        <vt:i4>6815862</vt:i4>
      </vt:variant>
      <vt:variant>
        <vt:i4>12</vt:i4>
      </vt:variant>
      <vt:variant>
        <vt:i4>0</vt:i4>
      </vt:variant>
      <vt:variant>
        <vt:i4>5</vt:i4>
      </vt:variant>
      <vt:variant>
        <vt:lpwstr>http://www.dep.state.fl.us/air/rules/fac/62-212.pdf</vt:lpwstr>
      </vt:variant>
      <vt:variant>
        <vt:lpwstr/>
      </vt:variant>
      <vt:variant>
        <vt:i4>6815860</vt:i4>
      </vt:variant>
      <vt:variant>
        <vt:i4>9</vt:i4>
      </vt:variant>
      <vt:variant>
        <vt:i4>0</vt:i4>
      </vt:variant>
      <vt:variant>
        <vt:i4>5</vt:i4>
      </vt:variant>
      <vt:variant>
        <vt:lpwstr>http://www.dep.state.fl.us/air/rules/fac/62-210.pdf</vt:lpwstr>
      </vt:variant>
      <vt:variant>
        <vt:lpwstr/>
      </vt:variant>
      <vt:variant>
        <vt:i4>6881392</vt:i4>
      </vt:variant>
      <vt:variant>
        <vt:i4>6</vt:i4>
      </vt:variant>
      <vt:variant>
        <vt:i4>0</vt:i4>
      </vt:variant>
      <vt:variant>
        <vt:i4>5</vt:i4>
      </vt:variant>
      <vt:variant>
        <vt:lpwstr>http://www.dep.state.fl.us/air/rules/fac/62-204.pdf</vt:lpwstr>
      </vt:variant>
      <vt:variant>
        <vt:lpwstr/>
      </vt:variant>
      <vt:variant>
        <vt:i4>589842</vt:i4>
      </vt:variant>
      <vt:variant>
        <vt:i4>3</vt:i4>
      </vt:variant>
      <vt:variant>
        <vt:i4>0</vt:i4>
      </vt:variant>
      <vt:variant>
        <vt:i4>5</vt:i4>
      </vt:variant>
      <vt:variant>
        <vt:lpwstr>http://www.dep.state.fl.us/siting/files/rules_statutes/pps_rule.pdf</vt:lpwstr>
      </vt:variant>
      <vt:variant>
        <vt:lpwstr/>
      </vt:variant>
      <vt:variant>
        <vt:i4>5832770</vt:i4>
      </vt:variant>
      <vt:variant>
        <vt:i4>0</vt:i4>
      </vt:variant>
      <vt:variant>
        <vt:i4>0</vt:i4>
      </vt:variant>
      <vt:variant>
        <vt:i4>5</vt:i4>
      </vt:variant>
      <vt:variant>
        <vt:lpwstr>http://www.dep.state.fl.us/air/rules/fac/62-4.pdf</vt:lpwstr>
      </vt:variant>
      <vt:variant>
        <vt:lpwstr/>
      </vt:variant>
      <vt:variant>
        <vt:i4>4194397</vt:i4>
      </vt:variant>
      <vt:variant>
        <vt:i4>0</vt:i4>
      </vt:variant>
      <vt:variant>
        <vt:i4>0</vt:i4>
      </vt:variant>
      <vt:variant>
        <vt:i4>5</vt:i4>
      </vt:variant>
      <vt:variant>
        <vt:lpwstr>http://www.cementeriadimonselice.it/pdf/HD_SCR_solutions.pdf</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Permit</dc:title>
  <dc:subject>Draft Permit</dc:subject>
  <dc:creator/>
  <cp:lastModifiedBy/>
  <cp:revision>1</cp:revision>
  <dcterms:created xsi:type="dcterms:W3CDTF">2013-10-07T11:29:00Z</dcterms:created>
  <dcterms:modified xsi:type="dcterms:W3CDTF">2013-10-08T17:51:00Z</dcterms:modified>
</cp:coreProperties>
</file>