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8A42D" w14:textId="77777777" w:rsidR="00597FC5" w:rsidRDefault="00597FC5" w:rsidP="005D0181">
      <w:pPr>
        <w:pStyle w:val="Heading5"/>
        <w:keepNext w:val="0"/>
        <w:spacing w:after="60"/>
        <w:jc w:val="left"/>
        <w:rPr>
          <w:szCs w:val="22"/>
        </w:rPr>
      </w:pPr>
      <w:bookmarkStart w:id="0" w:name="_GoBack"/>
      <w:bookmarkEnd w:id="0"/>
      <w:r>
        <w:rPr>
          <w:szCs w:val="22"/>
        </w:rPr>
        <w:t>PERMITTEE</w:t>
      </w:r>
    </w:p>
    <w:p w14:paraId="30F8A42E" w14:textId="77777777" w:rsidR="00E95F9C" w:rsidRPr="00E95F9C" w:rsidRDefault="00E95F9C" w:rsidP="00E95F9C">
      <w:pPr>
        <w:widowControl w:val="0"/>
        <w:rPr>
          <w:sz w:val="22"/>
          <w:szCs w:val="22"/>
        </w:rPr>
      </w:pPr>
      <w:r w:rsidRPr="00E95F9C">
        <w:rPr>
          <w:sz w:val="22"/>
          <w:szCs w:val="22"/>
        </w:rPr>
        <w:t xml:space="preserve">Mr. Jose Gonzalez, Vice-President </w:t>
      </w:r>
    </w:p>
    <w:p w14:paraId="30F8A42F" w14:textId="77777777" w:rsidR="00E95F9C" w:rsidRPr="00E95F9C" w:rsidRDefault="00E95F9C" w:rsidP="00E95F9C">
      <w:pPr>
        <w:widowControl w:val="0"/>
        <w:rPr>
          <w:sz w:val="22"/>
          <w:szCs w:val="22"/>
        </w:rPr>
      </w:pPr>
      <w:r w:rsidRPr="00E95F9C">
        <w:rPr>
          <w:sz w:val="22"/>
          <w:szCs w:val="22"/>
        </w:rPr>
        <w:t>Okeelanta Corporation</w:t>
      </w:r>
    </w:p>
    <w:p w14:paraId="30F8A430" w14:textId="77777777" w:rsidR="00E95F9C" w:rsidRPr="00E95F9C" w:rsidRDefault="00E95F9C" w:rsidP="00E95F9C">
      <w:pPr>
        <w:widowControl w:val="0"/>
        <w:rPr>
          <w:sz w:val="22"/>
          <w:szCs w:val="22"/>
        </w:rPr>
      </w:pPr>
      <w:r w:rsidRPr="00E95F9C">
        <w:rPr>
          <w:sz w:val="22"/>
          <w:szCs w:val="22"/>
        </w:rPr>
        <w:t>8001 U.S. Highway 27 South</w:t>
      </w:r>
    </w:p>
    <w:p w14:paraId="30F8A431" w14:textId="77777777" w:rsidR="0040233D" w:rsidRPr="00713000" w:rsidRDefault="00E95F9C" w:rsidP="00E95F9C">
      <w:pPr>
        <w:widowControl w:val="0"/>
        <w:spacing w:after="120"/>
        <w:rPr>
          <w:sz w:val="22"/>
          <w:szCs w:val="22"/>
        </w:rPr>
      </w:pPr>
      <w:r w:rsidRPr="00E95F9C">
        <w:rPr>
          <w:rFonts w:eastAsia="MS Mincho"/>
          <w:sz w:val="22"/>
          <w:szCs w:val="22"/>
        </w:rPr>
        <w:t>South Bay, Florida  33493</w:t>
      </w:r>
    </w:p>
    <w:p w14:paraId="30F8A432" w14:textId="77777777" w:rsidR="00597FC5" w:rsidRDefault="00597FC5" w:rsidP="005D0181">
      <w:pPr>
        <w:pStyle w:val="Heading5"/>
        <w:keepNext w:val="0"/>
        <w:spacing w:after="60"/>
        <w:jc w:val="left"/>
        <w:rPr>
          <w:caps/>
          <w:szCs w:val="22"/>
        </w:rPr>
      </w:pPr>
      <w:r>
        <w:rPr>
          <w:caps/>
          <w:szCs w:val="22"/>
        </w:rPr>
        <w:t>Permitting Authority</w:t>
      </w:r>
    </w:p>
    <w:p w14:paraId="30F8A433" w14:textId="77777777" w:rsidR="00597FC5" w:rsidRDefault="00597FC5">
      <w:pPr>
        <w:pStyle w:val="Header"/>
        <w:tabs>
          <w:tab w:val="clear" w:pos="4320"/>
          <w:tab w:val="clear" w:pos="8640"/>
          <w:tab w:val="center" w:pos="6840"/>
        </w:tabs>
        <w:rPr>
          <w:sz w:val="22"/>
          <w:szCs w:val="22"/>
        </w:rPr>
      </w:pPr>
      <w:r>
        <w:rPr>
          <w:sz w:val="22"/>
          <w:szCs w:val="22"/>
        </w:rPr>
        <w:t>Florida Department of Environmental Protection (Department)</w:t>
      </w:r>
    </w:p>
    <w:p w14:paraId="30F8A434" w14:textId="77777777" w:rsidR="00597FC5" w:rsidRDefault="00597FC5">
      <w:pPr>
        <w:pStyle w:val="Header"/>
        <w:rPr>
          <w:sz w:val="22"/>
          <w:szCs w:val="22"/>
        </w:rPr>
      </w:pPr>
      <w:r>
        <w:rPr>
          <w:sz w:val="22"/>
          <w:szCs w:val="22"/>
        </w:rPr>
        <w:t>Division of Air Resource Management</w:t>
      </w:r>
    </w:p>
    <w:p w14:paraId="30F8A435" w14:textId="77777777" w:rsidR="00597FC5" w:rsidRDefault="00954AD9">
      <w:pPr>
        <w:pStyle w:val="Header"/>
        <w:rPr>
          <w:sz w:val="22"/>
          <w:szCs w:val="22"/>
        </w:rPr>
      </w:pPr>
      <w:r>
        <w:rPr>
          <w:sz w:val="22"/>
          <w:szCs w:val="22"/>
        </w:rPr>
        <w:t>Office of Permitting and Compliance</w:t>
      </w:r>
    </w:p>
    <w:p w14:paraId="30F8A436" w14:textId="77777777" w:rsidR="00597FC5" w:rsidRDefault="00597FC5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2600</w:t>
          </w:r>
        </w:smartTag>
        <w:r>
          <w:rPr>
            <w:sz w:val="22"/>
            <w:szCs w:val="22"/>
          </w:rPr>
          <w:t xml:space="preserve"> Blair Stone Road, </w:t>
        </w:r>
        <w:smartTag w:uri="urn:schemas-microsoft-com:office:smarttags" w:element="State">
          <w:r>
            <w:rPr>
              <w:sz w:val="22"/>
              <w:szCs w:val="22"/>
            </w:rPr>
            <w:t>MS</w:t>
          </w:r>
        </w:smartTag>
      </w:smartTag>
      <w:r>
        <w:rPr>
          <w:sz w:val="22"/>
          <w:szCs w:val="22"/>
        </w:rPr>
        <w:t xml:space="preserve"> #5505</w:t>
      </w:r>
    </w:p>
    <w:p w14:paraId="30F8A437" w14:textId="77777777" w:rsidR="00597FC5" w:rsidRDefault="00597FC5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Tallahassee, Florida </w:t>
      </w:r>
      <w:r w:rsidR="0018105F">
        <w:rPr>
          <w:sz w:val="22"/>
          <w:szCs w:val="22"/>
        </w:rPr>
        <w:t xml:space="preserve"> </w:t>
      </w:r>
      <w:r>
        <w:rPr>
          <w:sz w:val="22"/>
          <w:szCs w:val="22"/>
        </w:rPr>
        <w:t>32399-2400</w:t>
      </w:r>
    </w:p>
    <w:p w14:paraId="30F8A438" w14:textId="77777777" w:rsidR="00597FC5" w:rsidRDefault="00597FC5" w:rsidP="005D0181">
      <w:pPr>
        <w:pStyle w:val="Heading5"/>
        <w:keepNext w:val="0"/>
        <w:spacing w:after="60"/>
        <w:jc w:val="left"/>
        <w:rPr>
          <w:szCs w:val="22"/>
        </w:rPr>
      </w:pPr>
      <w:r>
        <w:rPr>
          <w:szCs w:val="22"/>
        </w:rPr>
        <w:t>PROJECT</w:t>
      </w:r>
    </w:p>
    <w:p w14:paraId="30F8A439" w14:textId="77777777" w:rsidR="00597FC5" w:rsidRPr="00E95F9C" w:rsidRDefault="00597FC5">
      <w:pPr>
        <w:widowControl w:val="0"/>
        <w:rPr>
          <w:sz w:val="22"/>
          <w:szCs w:val="22"/>
        </w:rPr>
      </w:pPr>
      <w:r w:rsidRPr="00E95F9C">
        <w:rPr>
          <w:sz w:val="22"/>
          <w:szCs w:val="22"/>
        </w:rPr>
        <w:t xml:space="preserve">Air Permit No. </w:t>
      </w:r>
      <w:r w:rsidR="00E95F9C" w:rsidRPr="00E95F9C">
        <w:rPr>
          <w:sz w:val="22"/>
          <w:szCs w:val="22"/>
        </w:rPr>
        <w:t>0990005-040-AV</w:t>
      </w:r>
    </w:p>
    <w:p w14:paraId="30F8A43A" w14:textId="77777777" w:rsidR="00597FC5" w:rsidRPr="00E95F9C" w:rsidRDefault="002928AA" w:rsidP="0069581C">
      <w:pPr>
        <w:widowControl w:val="0"/>
        <w:rPr>
          <w:sz w:val="22"/>
          <w:szCs w:val="22"/>
        </w:rPr>
      </w:pPr>
      <w:r w:rsidRPr="00E95F9C">
        <w:rPr>
          <w:sz w:val="22"/>
          <w:szCs w:val="22"/>
        </w:rPr>
        <w:t xml:space="preserve">Title V </w:t>
      </w:r>
      <w:r w:rsidR="00597FC5" w:rsidRPr="00E95F9C">
        <w:rPr>
          <w:sz w:val="22"/>
          <w:szCs w:val="22"/>
        </w:rPr>
        <w:t xml:space="preserve">Air </w:t>
      </w:r>
      <w:r w:rsidRPr="00E95F9C">
        <w:rPr>
          <w:sz w:val="22"/>
          <w:szCs w:val="22"/>
        </w:rPr>
        <w:t>Operation</w:t>
      </w:r>
      <w:r w:rsidR="00597FC5" w:rsidRPr="00E95F9C">
        <w:rPr>
          <w:sz w:val="22"/>
          <w:szCs w:val="22"/>
        </w:rPr>
        <w:t xml:space="preserve"> Permit</w:t>
      </w:r>
      <w:r w:rsidR="00A07F15" w:rsidRPr="00E95F9C">
        <w:rPr>
          <w:sz w:val="22"/>
          <w:szCs w:val="22"/>
        </w:rPr>
        <w:t xml:space="preserve"> Re</w:t>
      </w:r>
      <w:r w:rsidR="00E95F9C" w:rsidRPr="00E95F9C">
        <w:rPr>
          <w:sz w:val="22"/>
          <w:szCs w:val="22"/>
        </w:rPr>
        <w:t>newal</w:t>
      </w:r>
    </w:p>
    <w:p w14:paraId="30F8A43B" w14:textId="77777777" w:rsidR="00CB31B2" w:rsidRPr="00E95F9C" w:rsidRDefault="00E95F9C" w:rsidP="005703B2">
      <w:pPr>
        <w:spacing w:after="120"/>
        <w:rPr>
          <w:sz w:val="22"/>
          <w:szCs w:val="22"/>
        </w:rPr>
      </w:pPr>
      <w:r w:rsidRPr="00E95F9C">
        <w:rPr>
          <w:sz w:val="22"/>
          <w:szCs w:val="22"/>
        </w:rPr>
        <w:t>Okeelanta Cogeneration Plant/Okeelanta Sugar Mill and Refinery</w:t>
      </w:r>
      <w:r w:rsidR="005703B2" w:rsidRPr="00E95F9C">
        <w:rPr>
          <w:sz w:val="22"/>
          <w:szCs w:val="22"/>
        </w:rPr>
        <w:t xml:space="preserve"> </w:t>
      </w:r>
    </w:p>
    <w:p w14:paraId="30F8A43C" w14:textId="77777777" w:rsidR="00B33C93" w:rsidRPr="00E95F9C" w:rsidRDefault="00CB31B2" w:rsidP="00B33C93">
      <w:pPr>
        <w:spacing w:after="120"/>
        <w:rPr>
          <w:b/>
          <w:sz w:val="22"/>
          <w:szCs w:val="22"/>
        </w:rPr>
      </w:pPr>
      <w:r w:rsidRPr="00E95F9C">
        <w:rPr>
          <w:sz w:val="22"/>
          <w:szCs w:val="22"/>
        </w:rPr>
        <w:t xml:space="preserve">This project, permit No. </w:t>
      </w:r>
      <w:r w:rsidR="005171D0" w:rsidRPr="00E95F9C">
        <w:rPr>
          <w:sz w:val="22"/>
          <w:szCs w:val="22"/>
        </w:rPr>
        <w:t>0</w:t>
      </w:r>
      <w:r w:rsidR="00E95F9C" w:rsidRPr="00E95F9C">
        <w:rPr>
          <w:sz w:val="22"/>
          <w:szCs w:val="22"/>
        </w:rPr>
        <w:t>990005-040</w:t>
      </w:r>
      <w:r w:rsidR="001E5274" w:rsidRPr="00E95F9C">
        <w:rPr>
          <w:sz w:val="22"/>
          <w:szCs w:val="22"/>
        </w:rPr>
        <w:t>-A</w:t>
      </w:r>
      <w:r w:rsidR="002928AA" w:rsidRPr="00E95F9C">
        <w:rPr>
          <w:sz w:val="22"/>
          <w:szCs w:val="22"/>
        </w:rPr>
        <w:t>V</w:t>
      </w:r>
      <w:r w:rsidR="001E5274" w:rsidRPr="00E95F9C">
        <w:rPr>
          <w:sz w:val="22"/>
          <w:szCs w:val="22"/>
        </w:rPr>
        <w:t xml:space="preserve">, </w:t>
      </w:r>
      <w:r w:rsidR="002928AA" w:rsidRPr="00E95F9C">
        <w:rPr>
          <w:sz w:val="22"/>
          <w:szCs w:val="22"/>
        </w:rPr>
        <w:t>re</w:t>
      </w:r>
      <w:r w:rsidR="00E95F9C" w:rsidRPr="00E95F9C">
        <w:rPr>
          <w:sz w:val="22"/>
          <w:szCs w:val="22"/>
        </w:rPr>
        <w:t>news</w:t>
      </w:r>
      <w:r w:rsidR="002928AA" w:rsidRPr="00E95F9C">
        <w:rPr>
          <w:sz w:val="22"/>
          <w:szCs w:val="22"/>
        </w:rPr>
        <w:t xml:space="preserve"> the Title V air operation permit for </w:t>
      </w:r>
      <w:r w:rsidR="00E95F9C">
        <w:rPr>
          <w:sz w:val="22"/>
          <w:szCs w:val="22"/>
        </w:rPr>
        <w:t xml:space="preserve">the </w:t>
      </w:r>
      <w:r w:rsidR="00E95F9C" w:rsidRPr="00E95F9C">
        <w:rPr>
          <w:sz w:val="22"/>
          <w:szCs w:val="22"/>
        </w:rPr>
        <w:t>Okeelanta Sugar Mill and Refinery and Okeelanta Cogeneration Plant</w:t>
      </w:r>
      <w:r w:rsidR="00B33C93" w:rsidRPr="00E95F9C">
        <w:rPr>
          <w:sz w:val="22"/>
          <w:szCs w:val="22"/>
        </w:rPr>
        <w:t xml:space="preserve">  </w:t>
      </w:r>
    </w:p>
    <w:p w14:paraId="30F8A43D" w14:textId="77777777" w:rsidR="00597FC5" w:rsidRDefault="00597FC5" w:rsidP="005D0181">
      <w:pPr>
        <w:pStyle w:val="Heading5"/>
        <w:keepNext w:val="0"/>
        <w:spacing w:after="60"/>
        <w:jc w:val="left"/>
        <w:rPr>
          <w:szCs w:val="22"/>
        </w:rPr>
      </w:pPr>
      <w:r>
        <w:rPr>
          <w:szCs w:val="22"/>
        </w:rPr>
        <w:t>NOTICE AND PUBLICATION</w:t>
      </w:r>
    </w:p>
    <w:p w14:paraId="30F8A43E" w14:textId="77777777" w:rsidR="00597FC5" w:rsidRDefault="00597FC5">
      <w:pPr>
        <w:spacing w:after="120"/>
        <w:rPr>
          <w:sz w:val="22"/>
          <w:szCs w:val="22"/>
        </w:rPr>
      </w:pPr>
      <w:r>
        <w:rPr>
          <w:sz w:val="22"/>
          <w:szCs w:val="22"/>
        </w:rPr>
        <w:t>The Department distributed a draft</w:t>
      </w:r>
      <w:r w:rsidR="002928AA">
        <w:rPr>
          <w:sz w:val="22"/>
          <w:szCs w:val="22"/>
        </w:rPr>
        <w:t>/proposed</w:t>
      </w:r>
      <w:r>
        <w:rPr>
          <w:sz w:val="22"/>
          <w:szCs w:val="22"/>
        </w:rPr>
        <w:t xml:space="preserve"> </w:t>
      </w:r>
      <w:r w:rsidR="002928AA">
        <w:rPr>
          <w:sz w:val="22"/>
          <w:szCs w:val="22"/>
        </w:rPr>
        <w:t xml:space="preserve">Title V </w:t>
      </w:r>
      <w:r>
        <w:rPr>
          <w:sz w:val="22"/>
          <w:szCs w:val="22"/>
        </w:rPr>
        <w:t xml:space="preserve">air </w:t>
      </w:r>
      <w:r w:rsidR="002928AA">
        <w:rPr>
          <w:sz w:val="22"/>
          <w:szCs w:val="22"/>
        </w:rPr>
        <w:t xml:space="preserve">operation </w:t>
      </w:r>
      <w:r>
        <w:rPr>
          <w:sz w:val="22"/>
          <w:szCs w:val="22"/>
        </w:rPr>
        <w:t xml:space="preserve">permit </w:t>
      </w:r>
      <w:r w:rsidR="00A07F15">
        <w:rPr>
          <w:sz w:val="22"/>
          <w:szCs w:val="22"/>
        </w:rPr>
        <w:t>re</w:t>
      </w:r>
      <w:r w:rsidR="00CC0332">
        <w:rPr>
          <w:sz w:val="22"/>
          <w:szCs w:val="22"/>
        </w:rPr>
        <w:t>newal</w:t>
      </w:r>
      <w:r w:rsidR="00A07F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package on </w:t>
      </w:r>
      <w:r w:rsidR="00CC0332">
        <w:rPr>
          <w:sz w:val="22"/>
          <w:szCs w:val="22"/>
        </w:rPr>
        <w:t>February 26</w:t>
      </w:r>
      <w:r w:rsidR="00550B3D">
        <w:rPr>
          <w:sz w:val="22"/>
          <w:szCs w:val="22"/>
        </w:rPr>
        <w:t>, 201</w:t>
      </w:r>
      <w:r w:rsidR="00186495">
        <w:rPr>
          <w:sz w:val="22"/>
          <w:szCs w:val="22"/>
        </w:rPr>
        <w:t>5</w:t>
      </w:r>
      <w:r>
        <w:rPr>
          <w:sz w:val="22"/>
          <w:szCs w:val="22"/>
        </w:rPr>
        <w:t xml:space="preserve">.  The applicant published the Public Notice in </w:t>
      </w:r>
      <w:r w:rsidRPr="006D69E9">
        <w:rPr>
          <w:sz w:val="22"/>
          <w:szCs w:val="22"/>
        </w:rPr>
        <w:t xml:space="preserve">the </w:t>
      </w:r>
      <w:r w:rsidR="00CC0332" w:rsidRPr="00777E19">
        <w:rPr>
          <w:sz w:val="22"/>
          <w:szCs w:val="22"/>
          <w:u w:val="single"/>
        </w:rPr>
        <w:t>Palm Beach Post</w:t>
      </w:r>
      <w:r w:rsidR="00BE1927" w:rsidRPr="00BE1927">
        <w:rPr>
          <w:sz w:val="22"/>
          <w:szCs w:val="22"/>
        </w:rPr>
        <w:t xml:space="preserve"> </w:t>
      </w:r>
      <w:r w:rsidRPr="006D69E9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="00186495">
        <w:rPr>
          <w:sz w:val="22"/>
          <w:szCs w:val="22"/>
        </w:rPr>
        <w:t>March 15</w:t>
      </w:r>
      <w:r w:rsidR="006D69E9">
        <w:rPr>
          <w:sz w:val="22"/>
          <w:szCs w:val="22"/>
        </w:rPr>
        <w:t>, 201</w:t>
      </w:r>
      <w:r w:rsidR="00186495">
        <w:rPr>
          <w:sz w:val="22"/>
          <w:szCs w:val="22"/>
        </w:rPr>
        <w:t>5</w:t>
      </w:r>
      <w:r w:rsidR="006D69E9">
        <w:rPr>
          <w:sz w:val="22"/>
          <w:szCs w:val="22"/>
        </w:rPr>
        <w:t>.</w:t>
      </w:r>
      <w:r>
        <w:rPr>
          <w:sz w:val="22"/>
          <w:szCs w:val="22"/>
        </w:rPr>
        <w:t xml:space="preserve">  The Department received the proof of publication on </w:t>
      </w:r>
      <w:r w:rsidR="00F156C3">
        <w:rPr>
          <w:sz w:val="22"/>
          <w:szCs w:val="22"/>
        </w:rPr>
        <w:t>March 2</w:t>
      </w:r>
      <w:r w:rsidR="00E1040C">
        <w:rPr>
          <w:sz w:val="22"/>
          <w:szCs w:val="22"/>
        </w:rPr>
        <w:t>7</w:t>
      </w:r>
      <w:r w:rsidR="00CA561D">
        <w:rPr>
          <w:sz w:val="22"/>
          <w:szCs w:val="22"/>
        </w:rPr>
        <w:t>,</w:t>
      </w:r>
      <w:r w:rsidRPr="00D63EF3">
        <w:rPr>
          <w:sz w:val="22"/>
          <w:szCs w:val="22"/>
        </w:rPr>
        <w:t xml:space="preserve"> 20</w:t>
      </w:r>
      <w:r w:rsidR="002C63DB" w:rsidRPr="00D63EF3">
        <w:rPr>
          <w:sz w:val="22"/>
          <w:szCs w:val="22"/>
        </w:rPr>
        <w:t>1</w:t>
      </w:r>
      <w:r w:rsidR="00F156C3">
        <w:rPr>
          <w:sz w:val="22"/>
          <w:szCs w:val="22"/>
        </w:rPr>
        <w:t>5</w:t>
      </w:r>
      <w:r w:rsidRPr="00D63EF3">
        <w:rPr>
          <w:sz w:val="22"/>
          <w:szCs w:val="22"/>
        </w:rPr>
        <w:t>.</w:t>
      </w:r>
      <w:r>
        <w:rPr>
          <w:sz w:val="22"/>
          <w:szCs w:val="22"/>
        </w:rPr>
        <w:t xml:space="preserve">  No requests for administrative hearings or requests for extensions of time to file a petition for administrative hearing were received.  </w:t>
      </w:r>
    </w:p>
    <w:p w14:paraId="30F8A43F" w14:textId="77777777" w:rsidR="00597FC5" w:rsidRDefault="00597FC5" w:rsidP="005D0181">
      <w:pPr>
        <w:pStyle w:val="Heading1"/>
        <w:keepNext w:val="0"/>
        <w:spacing w:before="0" w:after="60"/>
        <w:rPr>
          <w:szCs w:val="22"/>
        </w:rPr>
      </w:pPr>
      <w:r>
        <w:rPr>
          <w:szCs w:val="22"/>
        </w:rPr>
        <w:t>COMMENTS</w:t>
      </w:r>
    </w:p>
    <w:p w14:paraId="30F8A440" w14:textId="77777777" w:rsidR="00A645A2" w:rsidRPr="00A645A2" w:rsidRDefault="00B404DA" w:rsidP="00B404DA">
      <w:pPr>
        <w:pStyle w:val="ListParagraph"/>
        <w:spacing w:after="12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comments were received from </w:t>
      </w:r>
      <w:r w:rsidRPr="00B404DA">
        <w:rPr>
          <w:rFonts w:ascii="Times New Roman" w:hAnsi="Times New Roman"/>
        </w:rPr>
        <w:t>the Palm Beach County Office or the EPA Region 4 Office</w:t>
      </w:r>
      <w:r>
        <w:rPr>
          <w:rFonts w:ascii="Times New Roman" w:hAnsi="Times New Roman"/>
        </w:rPr>
        <w:t xml:space="preserve">.  A few minor administrative clarifications were requested by the applicant.  </w:t>
      </w:r>
      <w:r w:rsidR="00A645A2" w:rsidRPr="00A645A2">
        <w:rPr>
          <w:rFonts w:ascii="Times New Roman" w:hAnsi="Times New Roman"/>
        </w:rPr>
        <w:t xml:space="preserve">Comments were </w:t>
      </w:r>
      <w:r>
        <w:rPr>
          <w:rFonts w:ascii="Times New Roman" w:hAnsi="Times New Roman"/>
        </w:rPr>
        <w:t xml:space="preserve">also </w:t>
      </w:r>
      <w:r w:rsidR="00A645A2" w:rsidRPr="00A645A2">
        <w:rPr>
          <w:rFonts w:ascii="Times New Roman" w:hAnsi="Times New Roman"/>
        </w:rPr>
        <w:t xml:space="preserve">received from the Earthjustice Florida Office on </w:t>
      </w:r>
      <w:r>
        <w:rPr>
          <w:rFonts w:ascii="Times New Roman" w:hAnsi="Times New Roman"/>
        </w:rPr>
        <w:t xml:space="preserve">behalf of the </w:t>
      </w:r>
      <w:r w:rsidRPr="00B404DA">
        <w:rPr>
          <w:rFonts w:ascii="Times New Roman" w:hAnsi="Times New Roman"/>
        </w:rPr>
        <w:t xml:space="preserve">Sierra Club </w:t>
      </w:r>
      <w:r>
        <w:rPr>
          <w:rFonts w:ascii="Times New Roman" w:hAnsi="Times New Roman"/>
        </w:rPr>
        <w:t>on</w:t>
      </w:r>
      <w:r w:rsidRPr="00B404DA">
        <w:rPr>
          <w:rFonts w:ascii="Times New Roman" w:hAnsi="Times New Roman"/>
        </w:rPr>
        <w:t xml:space="preserve"> </w:t>
      </w:r>
      <w:r w:rsidR="00A645A2" w:rsidRPr="00A645A2">
        <w:rPr>
          <w:rFonts w:ascii="Times New Roman" w:hAnsi="Times New Roman"/>
        </w:rPr>
        <w:t>April 14, 2015.</w:t>
      </w:r>
      <w:r>
        <w:rPr>
          <w:rFonts w:ascii="Times New Roman" w:hAnsi="Times New Roman"/>
        </w:rPr>
        <w:t xml:space="preserve">  Each set of comments are summarized below along with the Department’s response.</w:t>
      </w:r>
      <w:r w:rsidRPr="00B404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Changes are highlighted in </w:t>
      </w:r>
      <w:r w:rsidRPr="00B33C93">
        <w:rPr>
          <w:rFonts w:ascii="Times New Roman" w:hAnsi="Times New Roman"/>
          <w:highlight w:val="yellow"/>
        </w:rPr>
        <w:t>yellow</w:t>
      </w:r>
      <w:r>
        <w:rPr>
          <w:rFonts w:ascii="Times New Roman" w:hAnsi="Times New Roman"/>
        </w:rPr>
        <w:t xml:space="preserve">, with </w:t>
      </w:r>
      <w:r w:rsidRPr="00B33C93">
        <w:rPr>
          <w:rFonts w:ascii="Times New Roman" w:hAnsi="Times New Roman"/>
          <w:strike/>
        </w:rPr>
        <w:t>strikethrough</w:t>
      </w:r>
      <w:r>
        <w:rPr>
          <w:rFonts w:ascii="Times New Roman" w:hAnsi="Times New Roman"/>
        </w:rPr>
        <w:t xml:space="preserve"> indicating deletions and </w:t>
      </w:r>
      <w:r w:rsidRPr="00B33C93">
        <w:rPr>
          <w:rFonts w:ascii="Times New Roman" w:hAnsi="Times New Roman"/>
          <w:u w:val="double"/>
        </w:rPr>
        <w:t>double-underline</w:t>
      </w:r>
      <w:r>
        <w:rPr>
          <w:rFonts w:ascii="Times New Roman" w:hAnsi="Times New Roman"/>
        </w:rPr>
        <w:t xml:space="preserve"> indicating additions to text.</w:t>
      </w:r>
    </w:p>
    <w:p w14:paraId="30F8A441" w14:textId="77777777" w:rsidR="00504118" w:rsidRPr="00B404DA" w:rsidRDefault="00B404DA" w:rsidP="00B404DA">
      <w:pPr>
        <w:spacing w:after="120"/>
        <w:rPr>
          <w:b/>
          <w:sz w:val="22"/>
          <w:szCs w:val="22"/>
        </w:rPr>
      </w:pPr>
      <w:r w:rsidRPr="00B404DA">
        <w:rPr>
          <w:b/>
          <w:sz w:val="22"/>
          <w:szCs w:val="22"/>
        </w:rPr>
        <w:t>Applicant</w:t>
      </w:r>
    </w:p>
    <w:p w14:paraId="30F8A442" w14:textId="1E2BD237" w:rsidR="00B404DA" w:rsidRDefault="00B404DA" w:rsidP="00B06817">
      <w:pPr>
        <w:pStyle w:val="ListParagraph"/>
        <w:widowControl w:val="0"/>
        <w:spacing w:after="120"/>
        <w:ind w:left="0"/>
        <w:rPr>
          <w:rFonts w:ascii="Times New Roman" w:hAnsi="Times New Roman"/>
        </w:rPr>
      </w:pPr>
      <w:r w:rsidRPr="00B404DA">
        <w:rPr>
          <w:rFonts w:ascii="Times New Roman" w:hAnsi="Times New Roman"/>
        </w:rPr>
        <w:t>These administrative changes</w:t>
      </w:r>
      <w:r>
        <w:rPr>
          <w:rFonts w:ascii="Times New Roman" w:hAnsi="Times New Roman"/>
        </w:rPr>
        <w:t xml:space="preserve"> </w:t>
      </w:r>
      <w:r w:rsidRPr="00B404DA">
        <w:rPr>
          <w:rFonts w:ascii="Times New Roman" w:hAnsi="Times New Roman"/>
        </w:rPr>
        <w:t xml:space="preserve">to the permit </w:t>
      </w:r>
      <w:r>
        <w:rPr>
          <w:rFonts w:ascii="Times New Roman" w:hAnsi="Times New Roman"/>
        </w:rPr>
        <w:t>described below</w:t>
      </w:r>
      <w:r w:rsidRPr="00B404DA">
        <w:rPr>
          <w:rFonts w:ascii="Times New Roman" w:hAnsi="Times New Roman"/>
        </w:rPr>
        <w:t xml:space="preserve"> </w:t>
      </w:r>
      <w:r w:rsidR="00D82116">
        <w:rPr>
          <w:rFonts w:ascii="Times New Roman" w:hAnsi="Times New Roman"/>
        </w:rPr>
        <w:t xml:space="preserve">are </w:t>
      </w:r>
      <w:r w:rsidRPr="00B404DA">
        <w:rPr>
          <w:rFonts w:ascii="Times New Roman" w:hAnsi="Times New Roman"/>
        </w:rPr>
        <w:t xml:space="preserve">acceptable to the Department and are reflected in the final permit.  </w:t>
      </w:r>
    </w:p>
    <w:p w14:paraId="30F8A443" w14:textId="77777777" w:rsidR="00B06817" w:rsidRPr="008336F6" w:rsidRDefault="00B06817" w:rsidP="00B06817">
      <w:pPr>
        <w:pStyle w:val="ListParagraph"/>
        <w:widowControl w:val="0"/>
        <w:spacing w:after="120"/>
        <w:ind w:left="0"/>
        <w:rPr>
          <w:rFonts w:ascii="Times New Roman" w:hAnsi="Times New Roman"/>
        </w:rPr>
      </w:pPr>
      <w:r w:rsidRPr="008336F6">
        <w:rPr>
          <w:rFonts w:ascii="Times New Roman" w:hAnsi="Times New Roman"/>
        </w:rPr>
        <w:t>Specific Condition A.30.</w:t>
      </w:r>
    </w:p>
    <w:p w14:paraId="30F8A444" w14:textId="77777777" w:rsidR="00B06817" w:rsidRPr="008336F6" w:rsidRDefault="00B06817" w:rsidP="00B06817">
      <w:pPr>
        <w:pStyle w:val="ListParagraph"/>
        <w:widowControl w:val="0"/>
        <w:spacing w:after="120"/>
        <w:ind w:left="0"/>
        <w:rPr>
          <w:rFonts w:ascii="Times New Roman" w:hAnsi="Times New Roman"/>
        </w:rPr>
      </w:pPr>
      <w:r w:rsidRPr="008336F6">
        <w:rPr>
          <w:rFonts w:ascii="Times New Roman" w:hAnsi="Times New Roman"/>
        </w:rPr>
        <w:t xml:space="preserve">For each boiler that is subject to a carbon monoxide (CO) limit, conduct a performance evaluation </w:t>
      </w:r>
      <w:r w:rsidRPr="008336F6">
        <w:rPr>
          <w:rFonts w:ascii="Times New Roman" w:hAnsi="Times New Roman"/>
          <w:highlight w:val="yellow"/>
          <w:u w:val="double"/>
        </w:rPr>
        <w:t>of</w:t>
      </w:r>
      <w:r w:rsidRPr="008336F6">
        <w:rPr>
          <w:rFonts w:ascii="Times New Roman" w:hAnsi="Times New Roman"/>
          <w:u w:val="double"/>
        </w:rPr>
        <w:t xml:space="preserve"> </w:t>
      </w:r>
      <w:r w:rsidRPr="008336F6">
        <w:rPr>
          <w:rFonts w:ascii="Times New Roman" w:hAnsi="Times New Roman"/>
        </w:rPr>
        <w:t>the continuous CO monitor according to 40 CFR 63.7525(a).</w:t>
      </w:r>
    </w:p>
    <w:p w14:paraId="30F8A445" w14:textId="77777777" w:rsidR="00B06817" w:rsidRPr="008336F6" w:rsidRDefault="00B06817" w:rsidP="00B06817">
      <w:pPr>
        <w:spacing w:after="60" w:line="259" w:lineRule="auto"/>
        <w:rPr>
          <w:rFonts w:eastAsia="Calibri"/>
          <w:sz w:val="22"/>
          <w:szCs w:val="22"/>
        </w:rPr>
      </w:pPr>
      <w:r w:rsidRPr="008336F6">
        <w:rPr>
          <w:rFonts w:eastAsia="Calibri"/>
          <w:sz w:val="22"/>
          <w:szCs w:val="22"/>
        </w:rPr>
        <w:t>Specific Condition A.45.</w:t>
      </w:r>
    </w:p>
    <w:p w14:paraId="30F8A446" w14:textId="77777777" w:rsidR="00B06817" w:rsidRPr="006B0A8D" w:rsidRDefault="00B06817" w:rsidP="00B06817">
      <w:pPr>
        <w:spacing w:after="60" w:line="259" w:lineRule="auto"/>
        <w:rPr>
          <w:rFonts w:eastAsia="Calibri"/>
          <w:sz w:val="22"/>
          <w:szCs w:val="22"/>
        </w:rPr>
      </w:pPr>
      <w:r w:rsidRPr="006B0A8D">
        <w:rPr>
          <w:rFonts w:eastAsia="Calibri"/>
          <w:sz w:val="22"/>
          <w:szCs w:val="22"/>
        </w:rPr>
        <w:t xml:space="preserve">(c) For each deviation from an emission limit, operating limit, and monitoring requirement in this subpart occurring at an individual boiler or process heater where the permittee is using a CMS to comply with that emission limit or operating limit, the compliance report must additionally contain the information required in paragraphs </w:t>
      </w:r>
      <w:r w:rsidRPr="006B0A8D">
        <w:rPr>
          <w:rFonts w:eastAsia="Calibri"/>
          <w:strike/>
          <w:sz w:val="22"/>
          <w:szCs w:val="22"/>
          <w:highlight w:val="yellow"/>
        </w:rPr>
        <w:t>(e</w:t>
      </w:r>
      <w:r w:rsidRPr="006B0A8D">
        <w:rPr>
          <w:rFonts w:eastAsia="Calibri"/>
          <w:sz w:val="22"/>
          <w:szCs w:val="22"/>
          <w:highlight w:val="yellow"/>
          <w:u w:val="double"/>
        </w:rPr>
        <w:t>c</w:t>
      </w:r>
      <w:r w:rsidRPr="006B0A8D">
        <w:rPr>
          <w:rFonts w:eastAsia="Calibri"/>
          <w:sz w:val="22"/>
          <w:szCs w:val="22"/>
          <w:highlight w:val="yellow"/>
        </w:rPr>
        <w:t>)</w:t>
      </w:r>
      <w:r w:rsidRPr="006B0A8D">
        <w:rPr>
          <w:rFonts w:eastAsia="Calibri"/>
          <w:sz w:val="22"/>
          <w:szCs w:val="22"/>
        </w:rPr>
        <w:t>(1) through (9) of this condition. This includes any deviations from the site-specific monitoring plan as required in §63.7505(b).</w:t>
      </w:r>
    </w:p>
    <w:p w14:paraId="30F8A447" w14:textId="77777777" w:rsidR="00B06817" w:rsidRPr="008336F6" w:rsidRDefault="00B06817" w:rsidP="00B06817">
      <w:pPr>
        <w:spacing w:after="60" w:line="259" w:lineRule="auto"/>
        <w:rPr>
          <w:rFonts w:eastAsia="Calibri"/>
          <w:sz w:val="22"/>
          <w:szCs w:val="22"/>
        </w:rPr>
      </w:pPr>
      <w:r w:rsidRPr="008336F6">
        <w:rPr>
          <w:rFonts w:eastAsia="Calibri"/>
          <w:sz w:val="22"/>
          <w:szCs w:val="22"/>
        </w:rPr>
        <w:t>Subsection 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2"/>
        <w:gridCol w:w="1099"/>
        <w:gridCol w:w="1100"/>
        <w:gridCol w:w="1099"/>
        <w:gridCol w:w="1100"/>
        <w:gridCol w:w="1099"/>
        <w:gridCol w:w="1101"/>
        <w:gridCol w:w="1099"/>
      </w:tblGrid>
      <w:tr w:rsidR="00242E91" w:rsidRPr="006C373B" w14:paraId="30F8A452" w14:textId="77777777" w:rsidTr="00242E91">
        <w:tc>
          <w:tcPr>
            <w:tcW w:w="1121" w:type="dxa"/>
            <w:shd w:val="clear" w:color="auto" w:fill="auto"/>
            <w:vAlign w:val="center"/>
          </w:tcPr>
          <w:p w14:paraId="30F8A448" w14:textId="77777777" w:rsidR="00B06817" w:rsidRPr="006C373B" w:rsidRDefault="00B06817" w:rsidP="00F23128">
            <w:pPr>
              <w:ind w:right="-18"/>
              <w:jc w:val="center"/>
              <w:rPr>
                <w:b/>
                <w:sz w:val="22"/>
                <w:szCs w:val="22"/>
              </w:rPr>
            </w:pPr>
            <w:r w:rsidRPr="006C373B">
              <w:rPr>
                <w:b/>
                <w:sz w:val="22"/>
                <w:szCs w:val="22"/>
              </w:rPr>
              <w:t>Engine Identification</w:t>
            </w:r>
          </w:p>
        </w:tc>
        <w:tc>
          <w:tcPr>
            <w:tcW w:w="1296" w:type="dxa"/>
            <w:shd w:val="clear" w:color="auto" w:fill="auto"/>
          </w:tcPr>
          <w:p w14:paraId="30F8A449" w14:textId="77777777" w:rsidR="00B06817" w:rsidRPr="006C373B" w:rsidRDefault="00B06817" w:rsidP="00F23128">
            <w:pPr>
              <w:jc w:val="center"/>
              <w:rPr>
                <w:b/>
                <w:sz w:val="22"/>
                <w:szCs w:val="22"/>
              </w:rPr>
            </w:pPr>
          </w:p>
          <w:p w14:paraId="30F8A44A" w14:textId="77777777" w:rsidR="00B06817" w:rsidRPr="006C373B" w:rsidRDefault="00B06817" w:rsidP="00F23128">
            <w:pPr>
              <w:jc w:val="center"/>
              <w:rPr>
                <w:b/>
                <w:sz w:val="22"/>
                <w:szCs w:val="22"/>
              </w:rPr>
            </w:pPr>
            <w:r w:rsidRPr="006C373B">
              <w:rPr>
                <w:b/>
                <w:sz w:val="22"/>
                <w:szCs w:val="22"/>
              </w:rPr>
              <w:t>Duty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0F8A44B" w14:textId="77777777" w:rsidR="00B06817" w:rsidRPr="006C373B" w:rsidRDefault="00B06817" w:rsidP="00F23128">
            <w:pPr>
              <w:jc w:val="center"/>
              <w:rPr>
                <w:sz w:val="22"/>
                <w:szCs w:val="22"/>
              </w:rPr>
            </w:pPr>
            <w:r w:rsidRPr="006C373B">
              <w:rPr>
                <w:b/>
                <w:sz w:val="22"/>
                <w:szCs w:val="22"/>
              </w:rPr>
              <w:t>Engine Brake HP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0F8A44C" w14:textId="77777777" w:rsidR="00B06817" w:rsidRPr="006C373B" w:rsidRDefault="00B06817" w:rsidP="00F23128">
            <w:pPr>
              <w:jc w:val="center"/>
              <w:rPr>
                <w:sz w:val="22"/>
                <w:szCs w:val="22"/>
              </w:rPr>
            </w:pPr>
            <w:r w:rsidRPr="006C373B">
              <w:rPr>
                <w:b/>
                <w:sz w:val="22"/>
                <w:szCs w:val="22"/>
              </w:rPr>
              <w:t>Date of Construction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0F8A44D" w14:textId="77777777" w:rsidR="00B06817" w:rsidRPr="006C373B" w:rsidRDefault="00B06817" w:rsidP="00F23128">
            <w:pPr>
              <w:jc w:val="center"/>
              <w:rPr>
                <w:b/>
                <w:sz w:val="22"/>
                <w:szCs w:val="22"/>
              </w:rPr>
            </w:pPr>
            <w:r w:rsidRPr="006C373B">
              <w:rPr>
                <w:b/>
                <w:sz w:val="22"/>
                <w:szCs w:val="22"/>
              </w:rPr>
              <w:t>Model Year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0F8A44E" w14:textId="77777777" w:rsidR="00B06817" w:rsidRPr="006C373B" w:rsidRDefault="00B06817" w:rsidP="00F23128">
            <w:pPr>
              <w:jc w:val="center"/>
              <w:rPr>
                <w:sz w:val="22"/>
                <w:szCs w:val="22"/>
              </w:rPr>
            </w:pPr>
            <w:r w:rsidRPr="006C373B">
              <w:rPr>
                <w:b/>
                <w:sz w:val="22"/>
                <w:szCs w:val="22"/>
              </w:rPr>
              <w:t>Displacement liters/cylinder (l/c)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0F8A44F" w14:textId="77777777" w:rsidR="00B06817" w:rsidRPr="006C373B" w:rsidRDefault="00B06817" w:rsidP="00F23128">
            <w:pPr>
              <w:jc w:val="center"/>
              <w:rPr>
                <w:b/>
                <w:sz w:val="22"/>
                <w:szCs w:val="22"/>
              </w:rPr>
            </w:pPr>
            <w:r w:rsidRPr="006C373B">
              <w:rPr>
                <w:b/>
                <w:sz w:val="22"/>
                <w:szCs w:val="22"/>
              </w:rPr>
              <w:t>Engine Manufacturer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0F8A450" w14:textId="77777777" w:rsidR="00B06817" w:rsidRPr="006C373B" w:rsidRDefault="00B06817" w:rsidP="00F23128">
            <w:pPr>
              <w:jc w:val="center"/>
              <w:rPr>
                <w:b/>
                <w:sz w:val="22"/>
                <w:szCs w:val="22"/>
              </w:rPr>
            </w:pPr>
            <w:r w:rsidRPr="006C373B">
              <w:rPr>
                <w:b/>
                <w:sz w:val="22"/>
                <w:szCs w:val="22"/>
              </w:rPr>
              <w:t>Model No.</w:t>
            </w:r>
          </w:p>
        </w:tc>
        <w:tc>
          <w:tcPr>
            <w:tcW w:w="1118" w:type="dxa"/>
            <w:shd w:val="clear" w:color="auto" w:fill="auto"/>
          </w:tcPr>
          <w:p w14:paraId="30F8A451" w14:textId="77777777" w:rsidR="00B06817" w:rsidRPr="006C373B" w:rsidRDefault="00B06817" w:rsidP="00F23128">
            <w:pPr>
              <w:jc w:val="center"/>
              <w:rPr>
                <w:b/>
                <w:sz w:val="22"/>
                <w:szCs w:val="22"/>
              </w:rPr>
            </w:pPr>
            <w:r w:rsidRPr="006C373B">
              <w:rPr>
                <w:b/>
                <w:sz w:val="22"/>
                <w:szCs w:val="22"/>
              </w:rPr>
              <w:t>Applicable Requirements</w:t>
            </w:r>
          </w:p>
        </w:tc>
      </w:tr>
      <w:tr w:rsidR="00242E91" w:rsidRPr="006C373B" w14:paraId="30F8A460" w14:textId="77777777" w:rsidTr="00242E91">
        <w:tc>
          <w:tcPr>
            <w:tcW w:w="1121" w:type="dxa"/>
            <w:shd w:val="clear" w:color="auto" w:fill="auto"/>
            <w:vAlign w:val="center"/>
          </w:tcPr>
          <w:p w14:paraId="30F8A453" w14:textId="77777777" w:rsidR="00B06817" w:rsidRPr="006C373B" w:rsidRDefault="00B06817" w:rsidP="00F23128">
            <w:pPr>
              <w:ind w:right="-18"/>
              <w:jc w:val="center"/>
              <w:rPr>
                <w:sz w:val="22"/>
                <w:szCs w:val="22"/>
              </w:rPr>
            </w:pPr>
            <w:r w:rsidRPr="006C373B">
              <w:rPr>
                <w:bCs/>
                <w:sz w:val="22"/>
                <w:szCs w:val="22"/>
              </w:rPr>
              <w:lastRenderedPageBreak/>
              <w:t>NHPC Fire Water Makeup</w:t>
            </w:r>
          </w:p>
        </w:tc>
        <w:tc>
          <w:tcPr>
            <w:tcW w:w="1296" w:type="dxa"/>
            <w:shd w:val="clear" w:color="auto" w:fill="auto"/>
          </w:tcPr>
          <w:p w14:paraId="30F8A454" w14:textId="77777777" w:rsidR="00B06817" w:rsidRPr="006C373B" w:rsidRDefault="00B06817" w:rsidP="00F23128">
            <w:pPr>
              <w:jc w:val="center"/>
              <w:rPr>
                <w:sz w:val="22"/>
                <w:szCs w:val="22"/>
              </w:rPr>
            </w:pPr>
          </w:p>
          <w:p w14:paraId="30F8A455" w14:textId="77777777" w:rsidR="00B06817" w:rsidRPr="006C373B" w:rsidRDefault="00B06817" w:rsidP="00F23128">
            <w:pPr>
              <w:jc w:val="center"/>
              <w:rPr>
                <w:sz w:val="22"/>
                <w:szCs w:val="22"/>
              </w:rPr>
            </w:pPr>
          </w:p>
          <w:p w14:paraId="30F8A456" w14:textId="77777777" w:rsidR="00B06817" w:rsidRPr="006C373B" w:rsidRDefault="00B06817" w:rsidP="00F23128">
            <w:pPr>
              <w:jc w:val="center"/>
              <w:rPr>
                <w:sz w:val="22"/>
                <w:szCs w:val="22"/>
              </w:rPr>
            </w:pPr>
            <w:r w:rsidRPr="006C373B">
              <w:rPr>
                <w:sz w:val="22"/>
                <w:szCs w:val="22"/>
              </w:rPr>
              <w:t>Emergency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0F8A457" w14:textId="77777777" w:rsidR="00B06817" w:rsidRPr="006C373B" w:rsidRDefault="00B06817" w:rsidP="00F23128">
            <w:pPr>
              <w:jc w:val="center"/>
              <w:rPr>
                <w:sz w:val="22"/>
                <w:szCs w:val="22"/>
              </w:rPr>
            </w:pPr>
            <w:r w:rsidRPr="006C373B">
              <w:rPr>
                <w:sz w:val="22"/>
                <w:szCs w:val="22"/>
              </w:rPr>
              <w:t>155</w:t>
            </w:r>
          </w:p>
          <w:p w14:paraId="30F8A458" w14:textId="77777777" w:rsidR="00B06817" w:rsidRPr="006C373B" w:rsidRDefault="00B06817" w:rsidP="00F23128">
            <w:pPr>
              <w:jc w:val="center"/>
              <w:rPr>
                <w:sz w:val="22"/>
                <w:szCs w:val="22"/>
              </w:rPr>
            </w:pPr>
            <w:r w:rsidRPr="006C373B">
              <w:rPr>
                <w:sz w:val="22"/>
                <w:szCs w:val="22"/>
              </w:rPr>
              <w:t>(116 kW)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0F8A459" w14:textId="77777777" w:rsidR="00B06817" w:rsidRPr="006C373B" w:rsidRDefault="00B06817" w:rsidP="00F23128">
            <w:pPr>
              <w:jc w:val="center"/>
              <w:rPr>
                <w:sz w:val="22"/>
                <w:szCs w:val="22"/>
              </w:rPr>
            </w:pPr>
            <w:r w:rsidRPr="006C373B">
              <w:rPr>
                <w:sz w:val="22"/>
                <w:szCs w:val="22"/>
              </w:rPr>
              <w:t>2002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0F8A45A" w14:textId="77777777" w:rsidR="00B06817" w:rsidRPr="006C373B" w:rsidRDefault="00B06817" w:rsidP="00F23128">
            <w:pPr>
              <w:jc w:val="center"/>
              <w:rPr>
                <w:sz w:val="22"/>
                <w:szCs w:val="22"/>
              </w:rPr>
            </w:pPr>
            <w:r w:rsidRPr="006C373B">
              <w:rPr>
                <w:sz w:val="22"/>
                <w:szCs w:val="22"/>
              </w:rPr>
              <w:t>2002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0F8A45B" w14:textId="77777777" w:rsidR="00B06817" w:rsidRPr="006C373B" w:rsidRDefault="00B06817" w:rsidP="00F23128">
            <w:pPr>
              <w:jc w:val="center"/>
              <w:rPr>
                <w:sz w:val="22"/>
                <w:szCs w:val="22"/>
              </w:rPr>
            </w:pPr>
            <w:r w:rsidRPr="00242E91">
              <w:rPr>
                <w:strike/>
                <w:sz w:val="22"/>
                <w:szCs w:val="22"/>
                <w:highlight w:val="yellow"/>
              </w:rPr>
              <w:t>11.1</w:t>
            </w:r>
            <w:r w:rsidRPr="006C373B">
              <w:rPr>
                <w:sz w:val="22"/>
                <w:szCs w:val="22"/>
                <w:highlight w:val="yellow"/>
                <w:u w:val="double"/>
              </w:rPr>
              <w:t>1.13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0F8A45C" w14:textId="77777777" w:rsidR="00B06817" w:rsidRPr="006C373B" w:rsidRDefault="00B06817" w:rsidP="00F23128">
            <w:pPr>
              <w:jc w:val="center"/>
              <w:rPr>
                <w:sz w:val="22"/>
                <w:szCs w:val="22"/>
              </w:rPr>
            </w:pPr>
            <w:r w:rsidRPr="006C373B">
              <w:rPr>
                <w:sz w:val="22"/>
                <w:szCs w:val="22"/>
              </w:rPr>
              <w:t>John Deere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0F8A45D" w14:textId="77777777" w:rsidR="00B06817" w:rsidRPr="006C373B" w:rsidRDefault="00B06817" w:rsidP="00F23128">
            <w:pPr>
              <w:jc w:val="center"/>
              <w:rPr>
                <w:sz w:val="22"/>
                <w:szCs w:val="22"/>
              </w:rPr>
            </w:pPr>
            <w:r w:rsidRPr="006C373B">
              <w:rPr>
                <w:sz w:val="22"/>
                <w:szCs w:val="22"/>
              </w:rPr>
              <w:t>6068T</w:t>
            </w:r>
          </w:p>
        </w:tc>
        <w:tc>
          <w:tcPr>
            <w:tcW w:w="1118" w:type="dxa"/>
            <w:shd w:val="clear" w:color="auto" w:fill="auto"/>
          </w:tcPr>
          <w:p w14:paraId="30F8A45E" w14:textId="77777777" w:rsidR="00B06817" w:rsidRPr="006C373B" w:rsidRDefault="00B06817" w:rsidP="00F23128">
            <w:pPr>
              <w:jc w:val="center"/>
              <w:rPr>
                <w:sz w:val="22"/>
                <w:szCs w:val="22"/>
              </w:rPr>
            </w:pPr>
            <w:r w:rsidRPr="006C373B">
              <w:rPr>
                <w:sz w:val="22"/>
                <w:szCs w:val="22"/>
              </w:rPr>
              <w:t>40 CFR 63, Subparts A and ZZZZ</w:t>
            </w:r>
          </w:p>
          <w:p w14:paraId="30F8A45F" w14:textId="77777777" w:rsidR="00B06817" w:rsidRPr="006C373B" w:rsidRDefault="00B06817" w:rsidP="00F23128">
            <w:pPr>
              <w:jc w:val="center"/>
              <w:rPr>
                <w:sz w:val="22"/>
                <w:szCs w:val="22"/>
              </w:rPr>
            </w:pPr>
            <w:r w:rsidRPr="006C373B">
              <w:rPr>
                <w:sz w:val="22"/>
                <w:szCs w:val="22"/>
              </w:rPr>
              <w:t>This unit is an ‘existing’ unit.</w:t>
            </w:r>
          </w:p>
        </w:tc>
      </w:tr>
    </w:tbl>
    <w:p w14:paraId="30F8A461" w14:textId="77777777" w:rsidR="00B06817" w:rsidRPr="00242E91" w:rsidRDefault="00B06817" w:rsidP="00B404DA">
      <w:pPr>
        <w:spacing w:before="120" w:after="120"/>
        <w:rPr>
          <w:sz w:val="22"/>
          <w:szCs w:val="22"/>
        </w:rPr>
      </w:pPr>
      <w:r w:rsidRPr="00242E91">
        <w:rPr>
          <w:sz w:val="22"/>
          <w:szCs w:val="22"/>
        </w:rPr>
        <w:t>Subsection H.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000" w:firstRow="0" w:lastRow="0" w:firstColumn="0" w:lastColumn="0" w:noHBand="0" w:noVBand="0"/>
      </w:tblPr>
      <w:tblGrid>
        <w:gridCol w:w="1601"/>
        <w:gridCol w:w="8469"/>
      </w:tblGrid>
      <w:tr w:rsidR="00B06817" w:rsidRPr="006C373B" w14:paraId="30F8A464" w14:textId="77777777" w:rsidTr="00B404DA">
        <w:tc>
          <w:tcPr>
            <w:tcW w:w="1602" w:type="dxa"/>
          </w:tcPr>
          <w:p w14:paraId="30F8A462" w14:textId="77777777" w:rsidR="00B06817" w:rsidRPr="006C373B" w:rsidRDefault="00B06817" w:rsidP="00F23128">
            <w:pPr>
              <w:jc w:val="center"/>
              <w:rPr>
                <w:b/>
                <w:sz w:val="22"/>
                <w:szCs w:val="22"/>
              </w:rPr>
            </w:pPr>
            <w:r w:rsidRPr="006C373B">
              <w:rPr>
                <w:sz w:val="22"/>
                <w:szCs w:val="22"/>
              </w:rPr>
              <w:br w:type="page"/>
            </w:r>
            <w:r w:rsidRPr="006C373B">
              <w:rPr>
                <w:sz w:val="22"/>
                <w:szCs w:val="22"/>
              </w:rPr>
              <w:br w:type="page"/>
            </w:r>
            <w:r w:rsidRPr="006C373B">
              <w:rPr>
                <w:b/>
                <w:sz w:val="22"/>
                <w:szCs w:val="22"/>
              </w:rPr>
              <w:t>EU No.</w:t>
            </w:r>
          </w:p>
        </w:tc>
        <w:tc>
          <w:tcPr>
            <w:tcW w:w="8478" w:type="dxa"/>
          </w:tcPr>
          <w:p w14:paraId="30F8A463" w14:textId="77777777" w:rsidR="00B06817" w:rsidRPr="006C373B" w:rsidRDefault="00B06817" w:rsidP="00F23128">
            <w:pPr>
              <w:rPr>
                <w:b/>
                <w:sz w:val="22"/>
                <w:szCs w:val="22"/>
              </w:rPr>
            </w:pPr>
            <w:r w:rsidRPr="006C373B">
              <w:rPr>
                <w:b/>
                <w:sz w:val="22"/>
                <w:szCs w:val="22"/>
              </w:rPr>
              <w:t>Emission Unit Description (ARMS ID No. 0990005)</w:t>
            </w:r>
          </w:p>
        </w:tc>
      </w:tr>
      <w:tr w:rsidR="00B06817" w:rsidRPr="006C373B" w14:paraId="30F8A467" w14:textId="77777777" w:rsidTr="00B404DA">
        <w:tc>
          <w:tcPr>
            <w:tcW w:w="1602" w:type="dxa"/>
            <w:vAlign w:val="center"/>
          </w:tcPr>
          <w:p w14:paraId="30F8A465" w14:textId="77777777" w:rsidR="00B06817" w:rsidRPr="006C373B" w:rsidRDefault="00B06817" w:rsidP="00F23128">
            <w:pPr>
              <w:jc w:val="center"/>
              <w:rPr>
                <w:b/>
                <w:sz w:val="22"/>
                <w:szCs w:val="22"/>
              </w:rPr>
            </w:pPr>
            <w:r w:rsidRPr="006C373B">
              <w:rPr>
                <w:b/>
                <w:sz w:val="22"/>
                <w:szCs w:val="22"/>
              </w:rPr>
              <w:t>060</w:t>
            </w:r>
          </w:p>
        </w:tc>
        <w:tc>
          <w:tcPr>
            <w:tcW w:w="8478" w:type="dxa"/>
          </w:tcPr>
          <w:p w14:paraId="30F8A466" w14:textId="77777777" w:rsidR="00B06817" w:rsidRPr="006C373B" w:rsidRDefault="00B06817" w:rsidP="00F23128">
            <w:pPr>
              <w:rPr>
                <w:sz w:val="22"/>
                <w:szCs w:val="22"/>
              </w:rPr>
            </w:pPr>
            <w:r w:rsidRPr="006C373B">
              <w:rPr>
                <w:bCs/>
                <w:sz w:val="22"/>
                <w:szCs w:val="22"/>
              </w:rPr>
              <w:t>Okeelanta Reciprocating Internal Combustion Engines (</w:t>
            </w:r>
            <w:r w:rsidRPr="00242E91">
              <w:rPr>
                <w:bCs/>
                <w:strike/>
                <w:sz w:val="22"/>
                <w:szCs w:val="22"/>
                <w:highlight w:val="yellow"/>
              </w:rPr>
              <w:t>11</w:t>
            </w:r>
            <w:r w:rsidRPr="006C373B">
              <w:rPr>
                <w:bCs/>
                <w:sz w:val="22"/>
                <w:szCs w:val="22"/>
                <w:highlight w:val="yellow"/>
                <w:u w:val="double"/>
              </w:rPr>
              <w:t>10</w:t>
            </w:r>
            <w:r w:rsidRPr="006C373B">
              <w:rPr>
                <w:bCs/>
                <w:sz w:val="22"/>
                <w:szCs w:val="22"/>
                <w:u w:val="double"/>
              </w:rPr>
              <w:t xml:space="preserve"> </w:t>
            </w:r>
            <w:r w:rsidRPr="006C373B">
              <w:rPr>
                <w:bCs/>
                <w:sz w:val="22"/>
                <w:szCs w:val="22"/>
              </w:rPr>
              <w:t>total)</w:t>
            </w:r>
          </w:p>
        </w:tc>
      </w:tr>
    </w:tbl>
    <w:p w14:paraId="30F8A468" w14:textId="77777777" w:rsidR="00B06817" w:rsidRPr="006C373B" w:rsidRDefault="00B06817" w:rsidP="00B06817">
      <w:pPr>
        <w:spacing w:before="120" w:after="120"/>
        <w:rPr>
          <w:sz w:val="22"/>
          <w:szCs w:val="22"/>
        </w:rPr>
      </w:pPr>
      <w:r w:rsidRPr="006C373B">
        <w:rPr>
          <w:sz w:val="22"/>
          <w:szCs w:val="22"/>
        </w:rPr>
        <w:t xml:space="preserve">The following table provides important details for seven of the </w:t>
      </w:r>
      <w:r w:rsidRPr="00242E91">
        <w:rPr>
          <w:strike/>
          <w:sz w:val="22"/>
          <w:szCs w:val="22"/>
          <w:highlight w:val="yellow"/>
        </w:rPr>
        <w:t>eleven</w:t>
      </w:r>
      <w:r w:rsidRPr="00242E91">
        <w:rPr>
          <w:sz w:val="22"/>
          <w:szCs w:val="22"/>
          <w:highlight w:val="yellow"/>
        </w:rPr>
        <w:t xml:space="preserve"> </w:t>
      </w:r>
      <w:r w:rsidRPr="006C373B">
        <w:rPr>
          <w:sz w:val="22"/>
          <w:szCs w:val="22"/>
          <w:highlight w:val="yellow"/>
          <w:u w:val="double"/>
        </w:rPr>
        <w:t>ten</w:t>
      </w:r>
      <w:r w:rsidRPr="006C373B">
        <w:rPr>
          <w:sz w:val="22"/>
          <w:szCs w:val="22"/>
          <w:u w:val="double"/>
        </w:rPr>
        <w:t xml:space="preserve"> </w:t>
      </w:r>
      <w:r w:rsidRPr="006C373B">
        <w:rPr>
          <w:sz w:val="22"/>
          <w:szCs w:val="22"/>
        </w:rPr>
        <w:t>engines regulated as EU 060:</w:t>
      </w:r>
    </w:p>
    <w:p w14:paraId="30F8A469" w14:textId="77777777" w:rsidR="00B404DA" w:rsidRDefault="00B404DA" w:rsidP="00B404DA">
      <w:pPr>
        <w:pStyle w:val="Heading1"/>
        <w:keepNext w:val="0"/>
        <w:rPr>
          <w:rFonts w:ascii="Times New Roman Bold" w:hAnsi="Times New Roman Bold"/>
          <w:szCs w:val="22"/>
        </w:rPr>
      </w:pPr>
      <w:r>
        <w:rPr>
          <w:rFonts w:ascii="Times New Roman Bold" w:hAnsi="Times New Roman Bold"/>
          <w:szCs w:val="22"/>
        </w:rPr>
        <w:t>Sierra Club</w:t>
      </w:r>
    </w:p>
    <w:p w14:paraId="30F8A46A" w14:textId="5B18B1D3" w:rsidR="00B404DA" w:rsidRPr="00B404DA" w:rsidRDefault="00B404DA" w:rsidP="006C0BBA">
      <w:pPr>
        <w:spacing w:after="120"/>
        <w:rPr>
          <w:sz w:val="22"/>
          <w:szCs w:val="22"/>
        </w:rPr>
      </w:pPr>
      <w:r>
        <w:rPr>
          <w:sz w:val="22"/>
          <w:szCs w:val="22"/>
        </w:rPr>
        <w:t>The full Sierra Club comment</w:t>
      </w:r>
      <w:r w:rsidR="00866B55">
        <w:rPr>
          <w:sz w:val="22"/>
          <w:szCs w:val="22"/>
        </w:rPr>
        <w:t>s</w:t>
      </w:r>
      <w:r>
        <w:rPr>
          <w:sz w:val="22"/>
          <w:szCs w:val="22"/>
        </w:rPr>
        <w:t xml:space="preserve"> can be found at the following link</w:t>
      </w:r>
      <w:r w:rsidR="00D80E12">
        <w:rPr>
          <w:sz w:val="22"/>
          <w:szCs w:val="22"/>
        </w:rPr>
        <w:t xml:space="preserve">: </w:t>
      </w:r>
      <w:r w:rsidR="00C36F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11" w:history="1">
        <w:r w:rsidR="003727D9">
          <w:rPr>
            <w:rStyle w:val="Hyperlink"/>
            <w:sz w:val="22"/>
            <w:szCs w:val="22"/>
          </w:rPr>
          <w:t>Sierra Club Comments</w:t>
        </w:r>
      </w:hyperlink>
      <w:r>
        <w:rPr>
          <w:sz w:val="22"/>
          <w:szCs w:val="22"/>
        </w:rPr>
        <w:t xml:space="preserve">.  </w:t>
      </w:r>
      <w:r w:rsidR="006C0BBA">
        <w:rPr>
          <w:sz w:val="22"/>
          <w:szCs w:val="22"/>
        </w:rPr>
        <w:t>The conclusion of the S</w:t>
      </w:r>
      <w:r w:rsidRPr="00B404DA">
        <w:rPr>
          <w:sz w:val="22"/>
          <w:szCs w:val="22"/>
        </w:rPr>
        <w:t>ierra Club Comments</w:t>
      </w:r>
      <w:r w:rsidR="006C0BBA">
        <w:rPr>
          <w:sz w:val="22"/>
          <w:szCs w:val="22"/>
        </w:rPr>
        <w:t xml:space="preserve"> is as follows</w:t>
      </w:r>
      <w:r w:rsidRPr="00B404DA">
        <w:rPr>
          <w:sz w:val="22"/>
          <w:szCs w:val="22"/>
        </w:rPr>
        <w:t xml:space="preserve">: “Okeelanta’s Title V permit needs to include the HAP [hazardous air pollutants] emissions from its pre-harvest burning operations, because Okeelanta’s sugarcane fields, together with its mill and refinery operations, constitute a single “facility” under Title V for HAP purposes. </w:t>
      </w:r>
      <w:r w:rsidR="00C36F2B">
        <w:rPr>
          <w:sz w:val="22"/>
          <w:szCs w:val="22"/>
        </w:rPr>
        <w:t xml:space="preserve"> </w:t>
      </w:r>
      <w:r w:rsidRPr="00B404DA">
        <w:rPr>
          <w:sz w:val="22"/>
          <w:szCs w:val="22"/>
        </w:rPr>
        <w:t xml:space="preserve">Furthermore, any renewal of Okeelanta’s permit should be conditioned upon phasing out of its pre-harvest cane burning practices over the next five years.” </w:t>
      </w:r>
    </w:p>
    <w:p w14:paraId="30F8A46B" w14:textId="77777777" w:rsidR="00B404DA" w:rsidRPr="00B404DA" w:rsidRDefault="00B404DA" w:rsidP="00855D98">
      <w:pPr>
        <w:spacing w:after="120"/>
        <w:rPr>
          <w:sz w:val="22"/>
          <w:szCs w:val="22"/>
        </w:rPr>
      </w:pPr>
      <w:r w:rsidRPr="00855D98">
        <w:rPr>
          <w:i/>
          <w:sz w:val="22"/>
          <w:szCs w:val="22"/>
        </w:rPr>
        <w:t>Department's Response</w:t>
      </w:r>
      <w:r w:rsidRPr="00B404DA">
        <w:rPr>
          <w:sz w:val="22"/>
          <w:szCs w:val="22"/>
        </w:rPr>
        <w:t>:</w:t>
      </w:r>
      <w:r w:rsidR="006C0BBA">
        <w:rPr>
          <w:sz w:val="22"/>
          <w:szCs w:val="22"/>
        </w:rPr>
        <w:t xml:space="preserve"> </w:t>
      </w:r>
      <w:r w:rsidRPr="00B404DA">
        <w:rPr>
          <w:sz w:val="22"/>
          <w:szCs w:val="22"/>
        </w:rPr>
        <w:t xml:space="preserve"> There is no requirement to include HAP emissions in the Title V permit for the broadcast burning of sugarcane fields. </w:t>
      </w:r>
      <w:r w:rsidR="00855D98">
        <w:rPr>
          <w:sz w:val="22"/>
          <w:szCs w:val="22"/>
        </w:rPr>
        <w:t xml:space="preserve"> </w:t>
      </w:r>
      <w:r w:rsidRPr="00B404DA">
        <w:rPr>
          <w:sz w:val="22"/>
          <w:szCs w:val="22"/>
        </w:rPr>
        <w:t>A key reason for this is that such activity is not a source category regulated under 42 U.S.C. §7412(c).</w:t>
      </w:r>
      <w:r w:rsidR="00855D98">
        <w:rPr>
          <w:sz w:val="22"/>
          <w:szCs w:val="22"/>
        </w:rPr>
        <w:t xml:space="preserve"> </w:t>
      </w:r>
      <w:r w:rsidRPr="00B404DA">
        <w:rPr>
          <w:sz w:val="22"/>
          <w:szCs w:val="22"/>
        </w:rPr>
        <w:t xml:space="preserve"> Therefore, no change to the permit will be made. </w:t>
      </w:r>
      <w:r w:rsidR="00855D98">
        <w:rPr>
          <w:sz w:val="22"/>
          <w:szCs w:val="22"/>
        </w:rPr>
        <w:t xml:space="preserve"> </w:t>
      </w:r>
      <w:r w:rsidRPr="00B404DA">
        <w:rPr>
          <w:sz w:val="22"/>
          <w:szCs w:val="22"/>
        </w:rPr>
        <w:t>Note that this activity is subject to oversight by the Florida Forest Service.</w:t>
      </w:r>
      <w:r w:rsidR="00855D98">
        <w:rPr>
          <w:rStyle w:val="FootnoteReference"/>
          <w:sz w:val="22"/>
          <w:szCs w:val="22"/>
        </w:rPr>
        <w:footnoteReference w:id="1"/>
      </w:r>
      <w:r w:rsidRPr="00B404DA">
        <w:rPr>
          <w:sz w:val="22"/>
          <w:szCs w:val="22"/>
        </w:rPr>
        <w:t xml:space="preserve"> </w:t>
      </w:r>
    </w:p>
    <w:p w14:paraId="30F8A46C" w14:textId="5C4F170B" w:rsidR="00B404DA" w:rsidRPr="00B404DA" w:rsidRDefault="00B404DA" w:rsidP="00B404DA">
      <w:pPr>
        <w:rPr>
          <w:sz w:val="22"/>
          <w:szCs w:val="22"/>
        </w:rPr>
      </w:pPr>
      <w:r w:rsidRPr="00B404DA">
        <w:rPr>
          <w:sz w:val="22"/>
          <w:szCs w:val="22"/>
        </w:rPr>
        <w:t>Based upon the limited comments received and single request for a public meeting, the Department determines that there is not sufficient interest and it will not hold a public meeting.</w:t>
      </w:r>
      <w:r w:rsidR="00855D98">
        <w:rPr>
          <w:sz w:val="22"/>
          <w:szCs w:val="22"/>
        </w:rPr>
        <w:t xml:space="preserve"> </w:t>
      </w:r>
      <w:r w:rsidRPr="00B404DA">
        <w:rPr>
          <w:sz w:val="22"/>
          <w:szCs w:val="22"/>
        </w:rPr>
        <w:t xml:space="preserve"> However, the Department </w:t>
      </w:r>
      <w:r w:rsidR="00D82116">
        <w:rPr>
          <w:sz w:val="22"/>
          <w:szCs w:val="22"/>
        </w:rPr>
        <w:t>is willing</w:t>
      </w:r>
      <w:r w:rsidRPr="00B404DA">
        <w:rPr>
          <w:sz w:val="22"/>
          <w:szCs w:val="22"/>
        </w:rPr>
        <w:t xml:space="preserve"> </w:t>
      </w:r>
      <w:r w:rsidR="00D82116">
        <w:rPr>
          <w:sz w:val="22"/>
          <w:szCs w:val="22"/>
        </w:rPr>
        <w:t xml:space="preserve">to </w:t>
      </w:r>
      <w:r w:rsidRPr="00B404DA">
        <w:rPr>
          <w:sz w:val="22"/>
          <w:szCs w:val="22"/>
        </w:rPr>
        <w:t>discuss this issue with representatives from the Sierra Club at their convenience.</w:t>
      </w:r>
      <w:r w:rsidR="00855D98">
        <w:rPr>
          <w:sz w:val="22"/>
          <w:szCs w:val="22"/>
        </w:rPr>
        <w:t xml:space="preserve"> </w:t>
      </w:r>
      <w:r w:rsidRPr="00B404DA">
        <w:rPr>
          <w:sz w:val="22"/>
          <w:szCs w:val="22"/>
        </w:rPr>
        <w:t xml:space="preserve"> </w:t>
      </w:r>
    </w:p>
    <w:p w14:paraId="30F8A46D" w14:textId="77777777" w:rsidR="00597FC5" w:rsidRDefault="00597FC5" w:rsidP="00B404DA">
      <w:pPr>
        <w:pStyle w:val="Heading1"/>
        <w:keepNext w:val="0"/>
        <w:rPr>
          <w:szCs w:val="22"/>
        </w:rPr>
      </w:pPr>
      <w:r>
        <w:rPr>
          <w:szCs w:val="22"/>
        </w:rPr>
        <w:t>CONCLUSION</w:t>
      </w:r>
    </w:p>
    <w:p w14:paraId="30F8A46E" w14:textId="77777777" w:rsidR="00597FC5" w:rsidRDefault="00597FC5" w:rsidP="00B404DA">
      <w:pPr>
        <w:pStyle w:val="BodyText3"/>
        <w:jc w:val="left"/>
        <w:rPr>
          <w:szCs w:val="22"/>
        </w:rPr>
      </w:pPr>
      <w:r>
        <w:rPr>
          <w:szCs w:val="22"/>
        </w:rPr>
        <w:t xml:space="preserve">The final action of the Department is to issue the </w:t>
      </w:r>
      <w:r w:rsidR="002928AA">
        <w:rPr>
          <w:szCs w:val="22"/>
        </w:rPr>
        <w:t xml:space="preserve">Title V </w:t>
      </w:r>
      <w:r w:rsidR="00F82B6A">
        <w:rPr>
          <w:szCs w:val="22"/>
        </w:rPr>
        <w:t xml:space="preserve">air </w:t>
      </w:r>
      <w:r w:rsidR="002928AA">
        <w:rPr>
          <w:szCs w:val="22"/>
        </w:rPr>
        <w:t xml:space="preserve">operation </w:t>
      </w:r>
      <w:r>
        <w:rPr>
          <w:szCs w:val="22"/>
        </w:rPr>
        <w:t xml:space="preserve">permit </w:t>
      </w:r>
      <w:r w:rsidR="00A07F15">
        <w:rPr>
          <w:szCs w:val="22"/>
        </w:rPr>
        <w:t>re</w:t>
      </w:r>
      <w:r w:rsidR="00A645A2">
        <w:rPr>
          <w:szCs w:val="22"/>
        </w:rPr>
        <w:t>newal</w:t>
      </w:r>
      <w:r w:rsidR="002928AA">
        <w:rPr>
          <w:szCs w:val="22"/>
        </w:rPr>
        <w:t xml:space="preserve"> </w:t>
      </w:r>
      <w:r>
        <w:rPr>
          <w:szCs w:val="22"/>
        </w:rPr>
        <w:t xml:space="preserve">with </w:t>
      </w:r>
      <w:r w:rsidR="002928AA">
        <w:rPr>
          <w:szCs w:val="22"/>
        </w:rPr>
        <w:t xml:space="preserve">the minor administrative </w:t>
      </w:r>
      <w:r w:rsidR="00C76F0B">
        <w:rPr>
          <w:szCs w:val="22"/>
        </w:rPr>
        <w:t>change</w:t>
      </w:r>
      <w:r w:rsidR="00237994">
        <w:rPr>
          <w:szCs w:val="22"/>
        </w:rPr>
        <w:t>s</w:t>
      </w:r>
      <w:r w:rsidR="002928AA">
        <w:rPr>
          <w:szCs w:val="22"/>
        </w:rPr>
        <w:t xml:space="preserve"> noted above</w:t>
      </w:r>
      <w:r w:rsidR="00C76F0B">
        <w:rPr>
          <w:szCs w:val="22"/>
        </w:rPr>
        <w:t>.</w:t>
      </w:r>
    </w:p>
    <w:sectPr w:rsidR="00597FC5" w:rsidSect="005D0181">
      <w:headerReference w:type="default" r:id="rId12"/>
      <w:footerReference w:type="default" r:id="rId13"/>
      <w:pgSz w:w="12240" w:h="15840" w:code="1"/>
      <w:pgMar w:top="636" w:right="1080" w:bottom="720" w:left="1080" w:header="450" w:footer="4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8A471" w14:textId="77777777" w:rsidR="00FB3110" w:rsidRDefault="00FB3110">
      <w:r>
        <w:separator/>
      </w:r>
    </w:p>
  </w:endnote>
  <w:endnote w:type="continuationSeparator" w:id="0">
    <w:p w14:paraId="30F8A472" w14:textId="77777777" w:rsidR="00FB3110" w:rsidRDefault="00FB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8A474" w14:textId="77777777" w:rsidR="00635CBB" w:rsidRPr="00635CBB" w:rsidRDefault="00635CBB" w:rsidP="00855D98">
    <w:pPr>
      <w:pBdr>
        <w:top w:val="single" w:sz="4" w:space="1" w:color="auto"/>
      </w:pBdr>
      <w:tabs>
        <w:tab w:val="right" w:pos="10080"/>
      </w:tabs>
      <w:rPr>
        <w:rStyle w:val="PageNumber"/>
      </w:rPr>
    </w:pPr>
    <w:r w:rsidRPr="00635CBB">
      <w:rPr>
        <w:rStyle w:val="PageNumber"/>
      </w:rPr>
      <w:t>Okeelanta Corporation</w:t>
    </w:r>
    <w:r w:rsidRPr="00635CBB">
      <w:rPr>
        <w:rStyle w:val="PageNumber"/>
      </w:rPr>
      <w:tab/>
      <w:t>Permit No. 0990005-040-AV</w:t>
    </w:r>
  </w:p>
  <w:p w14:paraId="30F8A475" w14:textId="77777777" w:rsidR="00855D98" w:rsidRDefault="00635CBB" w:rsidP="00855D98">
    <w:pPr>
      <w:pBdr>
        <w:top w:val="single" w:sz="4" w:space="1" w:color="auto"/>
      </w:pBdr>
      <w:tabs>
        <w:tab w:val="right" w:pos="10080"/>
      </w:tabs>
      <w:jc w:val="center"/>
      <w:rPr>
        <w:rStyle w:val="PageNumber"/>
      </w:rPr>
    </w:pPr>
    <w:r w:rsidRPr="00635CBB">
      <w:rPr>
        <w:rStyle w:val="PageNumber"/>
      </w:rPr>
      <w:t>New Hope Power Company</w:t>
    </w:r>
    <w:r w:rsidR="00855D98">
      <w:rPr>
        <w:rStyle w:val="PageNumber"/>
      </w:rPr>
      <w:tab/>
    </w:r>
    <w:r w:rsidRPr="00635CBB">
      <w:rPr>
        <w:rStyle w:val="PageNumber"/>
      </w:rPr>
      <w:t>Title</w:t>
    </w:r>
    <w:r w:rsidR="00855D98">
      <w:rPr>
        <w:rStyle w:val="PageNumber"/>
      </w:rPr>
      <w:t xml:space="preserve"> V Air Operation Permit Renewal</w:t>
    </w:r>
  </w:p>
  <w:p w14:paraId="30F8A476" w14:textId="77777777" w:rsidR="00BC2F07" w:rsidRDefault="00BC2F07" w:rsidP="00855D98">
    <w:pPr>
      <w:pBdr>
        <w:top w:val="single" w:sz="4" w:space="1" w:color="auto"/>
      </w:pBdr>
      <w:tabs>
        <w:tab w:val="right" w:pos="10080"/>
      </w:tabs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3DE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43DE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8A46F" w14:textId="77777777" w:rsidR="00FB3110" w:rsidRDefault="00FB3110">
      <w:r>
        <w:separator/>
      </w:r>
    </w:p>
  </w:footnote>
  <w:footnote w:type="continuationSeparator" w:id="0">
    <w:p w14:paraId="30F8A470" w14:textId="77777777" w:rsidR="00FB3110" w:rsidRDefault="00FB3110">
      <w:r>
        <w:continuationSeparator/>
      </w:r>
    </w:p>
  </w:footnote>
  <w:footnote w:id="1">
    <w:p w14:paraId="30F8A477" w14:textId="77777777" w:rsidR="00855D98" w:rsidRDefault="00855D98" w:rsidP="00855D98">
      <w:pPr>
        <w:pStyle w:val="FootnoteText"/>
        <w:spacing w:after="60"/>
      </w:pPr>
      <w:r>
        <w:rPr>
          <w:rStyle w:val="FootnoteReference"/>
        </w:rPr>
        <w:footnoteRef/>
      </w:r>
      <w:r>
        <w:t xml:space="preserve"> </w:t>
      </w:r>
      <w:r w:rsidRPr="00855D98">
        <w:t xml:space="preserve">See Rules, 5I-2.004(1), 5I-2.006(1) and 5I-2.006(2), F.A.C.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8A473" w14:textId="77777777" w:rsidR="00BC2F07" w:rsidRDefault="00BC2F07">
    <w:pPr>
      <w:pStyle w:val="Header"/>
      <w:pBdr>
        <w:bottom w:val="single" w:sz="8" w:space="1" w:color="auto"/>
      </w:pBdr>
      <w:spacing w:after="24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FINAL DETERMINATION – </w:t>
    </w:r>
    <w:r w:rsidR="00D87510">
      <w:rPr>
        <w:b/>
        <w:bCs/>
        <w:sz w:val="22"/>
        <w:szCs w:val="22"/>
      </w:rPr>
      <w:t xml:space="preserve">TITLE V </w:t>
    </w:r>
    <w:r>
      <w:rPr>
        <w:b/>
        <w:bCs/>
        <w:sz w:val="22"/>
        <w:szCs w:val="22"/>
      </w:rPr>
      <w:t xml:space="preserve">AIR </w:t>
    </w:r>
    <w:r w:rsidR="00D87510">
      <w:rPr>
        <w:b/>
        <w:bCs/>
        <w:sz w:val="22"/>
        <w:szCs w:val="22"/>
      </w:rPr>
      <w:t xml:space="preserve">OPERATION </w:t>
    </w:r>
    <w:r>
      <w:rPr>
        <w:b/>
        <w:bCs/>
        <w:sz w:val="22"/>
        <w:szCs w:val="22"/>
      </w:rPr>
      <w:t>PERMIT</w:t>
    </w:r>
    <w:r w:rsidR="00A07F15">
      <w:rPr>
        <w:b/>
        <w:bCs/>
        <w:sz w:val="22"/>
        <w:szCs w:val="22"/>
      </w:rPr>
      <w:t xml:space="preserve"> RE</w:t>
    </w:r>
    <w:r w:rsidR="00635CBB">
      <w:rPr>
        <w:b/>
        <w:bCs/>
        <w:sz w:val="22"/>
        <w:szCs w:val="22"/>
      </w:rPr>
      <w:t>NEWAL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30FD"/>
    <w:multiLevelType w:val="hybridMultilevel"/>
    <w:tmpl w:val="C8447D12"/>
    <w:lvl w:ilvl="0" w:tplc="DDEA0C5E">
      <w:start w:val="43"/>
      <w:numFmt w:val="decimal"/>
      <w:lvlText w:val="B.%1."/>
      <w:lvlJc w:val="left"/>
      <w:pPr>
        <w:tabs>
          <w:tab w:val="num" w:pos="900"/>
        </w:tabs>
        <w:ind w:left="468" w:hanging="288"/>
      </w:pPr>
      <w:rPr>
        <w:rFonts w:ascii="Times New Roman Bold" w:hAnsi="Times New Roman Bold" w:cs="Times New Roman" w:hint="default"/>
        <w:b/>
        <w:i w:val="0"/>
        <w:strike w:val="0"/>
        <w:d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4515"/>
    <w:multiLevelType w:val="hybridMultilevel"/>
    <w:tmpl w:val="722C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0783D"/>
    <w:multiLevelType w:val="hybridMultilevel"/>
    <w:tmpl w:val="115692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721B16"/>
    <w:multiLevelType w:val="hybridMultilevel"/>
    <w:tmpl w:val="AD54ED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CA20AE"/>
    <w:multiLevelType w:val="hybridMultilevel"/>
    <w:tmpl w:val="E38AE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F22590"/>
    <w:multiLevelType w:val="hybridMultilevel"/>
    <w:tmpl w:val="883851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AE4A7D"/>
    <w:multiLevelType w:val="hybridMultilevel"/>
    <w:tmpl w:val="D674E1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820154"/>
    <w:multiLevelType w:val="hybridMultilevel"/>
    <w:tmpl w:val="3B963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1041AB"/>
    <w:multiLevelType w:val="hybridMultilevel"/>
    <w:tmpl w:val="1EDA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229EA"/>
    <w:multiLevelType w:val="hybridMultilevel"/>
    <w:tmpl w:val="6BF03E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99"/>
  <w:displayHorizont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EE"/>
    <w:rsid w:val="00023831"/>
    <w:rsid w:val="0004293F"/>
    <w:rsid w:val="00042D83"/>
    <w:rsid w:val="00084842"/>
    <w:rsid w:val="000953BB"/>
    <w:rsid w:val="000B73F4"/>
    <w:rsid w:val="001021DB"/>
    <w:rsid w:val="0016063F"/>
    <w:rsid w:val="0018105F"/>
    <w:rsid w:val="00182E78"/>
    <w:rsid w:val="00186495"/>
    <w:rsid w:val="00194AC2"/>
    <w:rsid w:val="001A5C8C"/>
    <w:rsid w:val="001B334A"/>
    <w:rsid w:val="001B7CCC"/>
    <w:rsid w:val="001D582F"/>
    <w:rsid w:val="001E5274"/>
    <w:rsid w:val="00202194"/>
    <w:rsid w:val="00221667"/>
    <w:rsid w:val="00237994"/>
    <w:rsid w:val="00242E91"/>
    <w:rsid w:val="00250E21"/>
    <w:rsid w:val="00255B62"/>
    <w:rsid w:val="00273E90"/>
    <w:rsid w:val="002928AA"/>
    <w:rsid w:val="002A2365"/>
    <w:rsid w:val="002C63DB"/>
    <w:rsid w:val="002F5C8D"/>
    <w:rsid w:val="003019CF"/>
    <w:rsid w:val="003403AA"/>
    <w:rsid w:val="003405FA"/>
    <w:rsid w:val="0034596F"/>
    <w:rsid w:val="00353335"/>
    <w:rsid w:val="00354288"/>
    <w:rsid w:val="003727D9"/>
    <w:rsid w:val="00374B8B"/>
    <w:rsid w:val="003822DC"/>
    <w:rsid w:val="003A7200"/>
    <w:rsid w:val="003F6CEE"/>
    <w:rsid w:val="0040233D"/>
    <w:rsid w:val="0041579A"/>
    <w:rsid w:val="00421930"/>
    <w:rsid w:val="004407D8"/>
    <w:rsid w:val="004557EB"/>
    <w:rsid w:val="00464E07"/>
    <w:rsid w:val="0046524D"/>
    <w:rsid w:val="00493ED4"/>
    <w:rsid w:val="004A182E"/>
    <w:rsid w:val="004C4558"/>
    <w:rsid w:val="004C6FCE"/>
    <w:rsid w:val="004D19BA"/>
    <w:rsid w:val="004D5686"/>
    <w:rsid w:val="00504118"/>
    <w:rsid w:val="00510D54"/>
    <w:rsid w:val="005171D0"/>
    <w:rsid w:val="00520489"/>
    <w:rsid w:val="00523D5A"/>
    <w:rsid w:val="00550B3D"/>
    <w:rsid w:val="005703B2"/>
    <w:rsid w:val="00597FC5"/>
    <w:rsid w:val="005D0181"/>
    <w:rsid w:val="005D33AF"/>
    <w:rsid w:val="005E38DF"/>
    <w:rsid w:val="005F3987"/>
    <w:rsid w:val="00626A2B"/>
    <w:rsid w:val="00635CBB"/>
    <w:rsid w:val="0069346B"/>
    <w:rsid w:val="0069581C"/>
    <w:rsid w:val="006A5AB5"/>
    <w:rsid w:val="006C0BBA"/>
    <w:rsid w:val="006D69E9"/>
    <w:rsid w:val="006F051F"/>
    <w:rsid w:val="006F3E54"/>
    <w:rsid w:val="00706A47"/>
    <w:rsid w:val="00713000"/>
    <w:rsid w:val="007301E8"/>
    <w:rsid w:val="00776946"/>
    <w:rsid w:val="00777E19"/>
    <w:rsid w:val="00781D63"/>
    <w:rsid w:val="007B0F07"/>
    <w:rsid w:val="007E2D56"/>
    <w:rsid w:val="007E7A33"/>
    <w:rsid w:val="00824A38"/>
    <w:rsid w:val="008336F6"/>
    <w:rsid w:val="00855660"/>
    <w:rsid w:val="00855D98"/>
    <w:rsid w:val="00855EBF"/>
    <w:rsid w:val="0086110A"/>
    <w:rsid w:val="00863EEE"/>
    <w:rsid w:val="00866B55"/>
    <w:rsid w:val="00875D6F"/>
    <w:rsid w:val="008A3E5B"/>
    <w:rsid w:val="008C7133"/>
    <w:rsid w:val="008E43C9"/>
    <w:rsid w:val="0091534A"/>
    <w:rsid w:val="00942595"/>
    <w:rsid w:val="00954AD9"/>
    <w:rsid w:val="00955FF2"/>
    <w:rsid w:val="00962591"/>
    <w:rsid w:val="00975360"/>
    <w:rsid w:val="009919A8"/>
    <w:rsid w:val="009A7E11"/>
    <w:rsid w:val="009B467A"/>
    <w:rsid w:val="009C45F9"/>
    <w:rsid w:val="009D0D2C"/>
    <w:rsid w:val="00A07F15"/>
    <w:rsid w:val="00A12CD5"/>
    <w:rsid w:val="00A40173"/>
    <w:rsid w:val="00A52B25"/>
    <w:rsid w:val="00A645A2"/>
    <w:rsid w:val="00A87590"/>
    <w:rsid w:val="00A92813"/>
    <w:rsid w:val="00AD036C"/>
    <w:rsid w:val="00AE263E"/>
    <w:rsid w:val="00AF261B"/>
    <w:rsid w:val="00B06817"/>
    <w:rsid w:val="00B1520C"/>
    <w:rsid w:val="00B33C93"/>
    <w:rsid w:val="00B404DA"/>
    <w:rsid w:val="00B51386"/>
    <w:rsid w:val="00B54BB2"/>
    <w:rsid w:val="00B85D16"/>
    <w:rsid w:val="00B95AD7"/>
    <w:rsid w:val="00BB0365"/>
    <w:rsid w:val="00BC2F07"/>
    <w:rsid w:val="00BE1927"/>
    <w:rsid w:val="00BE2A47"/>
    <w:rsid w:val="00C15EE9"/>
    <w:rsid w:val="00C36F2B"/>
    <w:rsid w:val="00C4246F"/>
    <w:rsid w:val="00C43DEE"/>
    <w:rsid w:val="00C465A6"/>
    <w:rsid w:val="00C54AC1"/>
    <w:rsid w:val="00C76F0B"/>
    <w:rsid w:val="00CA561D"/>
    <w:rsid w:val="00CB145E"/>
    <w:rsid w:val="00CB31B2"/>
    <w:rsid w:val="00CC0332"/>
    <w:rsid w:val="00CC2343"/>
    <w:rsid w:val="00CC4D9F"/>
    <w:rsid w:val="00CC730C"/>
    <w:rsid w:val="00CE7064"/>
    <w:rsid w:val="00D15668"/>
    <w:rsid w:val="00D5390C"/>
    <w:rsid w:val="00D5440D"/>
    <w:rsid w:val="00D63EF3"/>
    <w:rsid w:val="00D64324"/>
    <w:rsid w:val="00D716DF"/>
    <w:rsid w:val="00D80E12"/>
    <w:rsid w:val="00D82116"/>
    <w:rsid w:val="00D87510"/>
    <w:rsid w:val="00DB188D"/>
    <w:rsid w:val="00DB4F6D"/>
    <w:rsid w:val="00DB58DA"/>
    <w:rsid w:val="00DC1C8E"/>
    <w:rsid w:val="00DC6622"/>
    <w:rsid w:val="00DE5F55"/>
    <w:rsid w:val="00DE683F"/>
    <w:rsid w:val="00E049F0"/>
    <w:rsid w:val="00E1040C"/>
    <w:rsid w:val="00E15279"/>
    <w:rsid w:val="00E16240"/>
    <w:rsid w:val="00E42BD6"/>
    <w:rsid w:val="00E5719D"/>
    <w:rsid w:val="00E631A1"/>
    <w:rsid w:val="00E67678"/>
    <w:rsid w:val="00E712D7"/>
    <w:rsid w:val="00E924D9"/>
    <w:rsid w:val="00E95F9C"/>
    <w:rsid w:val="00EA5460"/>
    <w:rsid w:val="00EF1809"/>
    <w:rsid w:val="00EF4AEA"/>
    <w:rsid w:val="00F07FB1"/>
    <w:rsid w:val="00F156C3"/>
    <w:rsid w:val="00F37D46"/>
    <w:rsid w:val="00F63A69"/>
    <w:rsid w:val="00F82B6A"/>
    <w:rsid w:val="00F82C85"/>
    <w:rsid w:val="00F843B6"/>
    <w:rsid w:val="00F97EBC"/>
    <w:rsid w:val="00FB3110"/>
    <w:rsid w:val="00FB381A"/>
    <w:rsid w:val="00FE63A2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30F8A42D"/>
  <w15:chartTrackingRefBased/>
  <w15:docId w15:val="{8D7982E3-876E-46DC-BF7E-31698EBD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after="120"/>
      <w:jc w:val="both"/>
      <w:outlineLvl w:val="3"/>
    </w:pPr>
    <w:rPr>
      <w:rFonts w:eastAsia="Arial Unicode MS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spacing w:after="120"/>
      <w:jc w:val="both"/>
      <w:outlineLvl w:val="4"/>
    </w:pPr>
    <w:rPr>
      <w:rFonts w:eastAsia="Arial Unicode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/>
      <w:jc w:val="both"/>
    </w:pPr>
    <w:rPr>
      <w:i/>
      <w:iCs/>
      <w:sz w:val="22"/>
    </w:rPr>
  </w:style>
  <w:style w:type="character" w:styleId="PageNumber">
    <w:name w:val="page number"/>
    <w:basedOn w:val="DefaultParagraphFont"/>
  </w:style>
  <w:style w:type="paragraph" w:styleId="BodyText">
    <w:name w:val="Body Text"/>
    <w:aliases w:val="SCA Body Text,SCA Body Text1,SCA Body Text2,SCA Body Text11"/>
    <w:basedOn w:val="Normal"/>
    <w:pPr>
      <w:spacing w:after="120"/>
    </w:pPr>
    <w:rPr>
      <w:sz w:val="22"/>
    </w:rPr>
  </w:style>
  <w:style w:type="paragraph" w:styleId="BodyText3">
    <w:name w:val="Body Text 3"/>
    <w:basedOn w:val="Normal"/>
    <w:pPr>
      <w:spacing w:after="120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C76F0B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B404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6C0BB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855D98"/>
  </w:style>
  <w:style w:type="character" w:customStyle="1" w:styleId="FootnoteTextChar">
    <w:name w:val="Footnote Text Char"/>
    <w:basedOn w:val="DefaultParagraphFont"/>
    <w:link w:val="FootnoteText"/>
    <w:rsid w:val="00855D98"/>
  </w:style>
  <w:style w:type="character" w:styleId="FootnoteReference">
    <w:name w:val="footnote reference"/>
    <w:basedOn w:val="DefaultParagraphFont"/>
    <w:rsid w:val="00855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rm-permit2k.dep.state.fl.us/psd/0990005/U0002534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9B7BF7129541A4276067DE165756" ma:contentTypeVersion="0" ma:contentTypeDescription="Create a new document." ma:contentTypeScope="" ma:versionID="3bd4afae7dd6a857f8266be106c95c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C3AC3-EF24-4C3B-B300-08EF4CBCE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8A17FF-6A1F-4876-B30D-ADAEEA611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ED034E-8AE2-486A-89BF-70B61EE51E13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D13C5A2-8165-4B2C-9296-0900A935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3815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Determination</vt:lpstr>
    </vt:vector>
  </TitlesOfParts>
  <Manager>Trina Vielhauer</Manager>
  <Company>FDEP/DARM/BAR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Determination</dc:title>
  <dc:subject>Final Permit</dc:subject>
  <dc:creator>Jeff Koerner</dc:creator>
  <cp:keywords/>
  <cp:lastModifiedBy>Scearce, Lynn</cp:lastModifiedBy>
  <cp:revision>2</cp:revision>
  <cp:lastPrinted>2010-05-17T11:20:00Z</cp:lastPrinted>
  <dcterms:created xsi:type="dcterms:W3CDTF">2015-08-20T14:43:00Z</dcterms:created>
  <dcterms:modified xsi:type="dcterms:W3CDTF">2015-08-20T14:43:00Z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0x01010018819B7BF7129541A4276067DE165756</vt:lpwstr>
  </property>
</Properties>
</file>